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700" w:right="1760" w:hanging="3692"/>
        <w:spacing w:after="0" w:line="500" w:lineRule="auto"/>
        <w:tabs>
          <w:tab w:leader="none" w:pos="3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January 31,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780" w:right="1740" w:hanging="3772"/>
        <w:spacing w:after="0" w:line="500" w:lineRule="auto"/>
        <w:tabs>
          <w:tab w:leader="none" w:pos="34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______to______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OCEAN POWER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436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22-2535818</w:t>
            </w:r>
          </w:p>
        </w:tc>
      </w:tr>
      <w:tr>
        <w:trPr>
          <w:trHeight w:val="216"/>
        </w:trPr>
        <w:tc>
          <w:tcPr>
            <w:tcW w:w="43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3"/>
              </w:rPr>
              <w:t>(State or Other Jurisdiction</w:t>
            </w:r>
          </w:p>
        </w:tc>
        <w:tc>
          <w:tcPr>
            <w:tcW w:w="326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60" w:type="dxa"/>
            <w:vAlign w:val="bottom"/>
          </w:tcPr>
          <w:p>
            <w:pPr>
              <w:jc w:val="center"/>
              <w:ind w:right="1810"/>
              <w:spacing w:after="0"/>
              <w:rPr>
                <w:sz w:val="20"/>
                <w:szCs w:val="20"/>
                <w:color w:val="auto"/>
              </w:rPr>
            </w:pPr>
            <w:r>
              <w:rPr>
                <w:rFonts w:ascii="Arial" w:cs="Arial" w:eastAsia="Arial" w:hAnsi="Arial"/>
                <w:sz w:val="18"/>
                <w:szCs w:val="18"/>
                <w:i w:val="1"/>
                <w:iCs w:val="1"/>
                <w:color w:val="auto"/>
                <w:w w:val="94"/>
              </w:rPr>
              <w:t>of Incorporation or Organization)</w:t>
            </w:r>
          </w:p>
        </w:tc>
        <w:tc>
          <w:tcPr>
            <w:tcW w:w="3260" w:type="dxa"/>
            <w:vAlign w:val="bottom"/>
          </w:tcPr>
          <w:p>
            <w:pPr>
              <w:jc w:val="center"/>
              <w:ind w:left="183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ENGELHARD DRIVE, SUITE B, MONROE TOWNSHIP, NJ 08831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32"/>
        </w:trPr>
        <w:tc>
          <w:tcPr>
            <w:tcW w:w="338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40" w:type="dxa"/>
            <w:vAlign w:val="bottom"/>
          </w:tcPr>
          <w:p>
            <w:pPr>
              <w:spacing w:after="0"/>
              <w:rPr>
                <w:sz w:val="24"/>
                <w:szCs w:val="24"/>
                <w:color w:val="auto"/>
              </w:rPr>
            </w:pPr>
          </w:p>
        </w:tc>
        <w:tc>
          <w:tcPr>
            <w:tcW w:w="3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4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OPTT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p>
      <w:pPr>
        <w:spacing w:after="0" w:line="207" w:lineRule="exact"/>
        <w:tabs>
          <w:tab w:leader="none" w:pos="3040" w:val="left"/>
          <w:tab w:leader="none" w:pos="5720" w:val="left"/>
          <w:tab w:leader="none" w:pos="84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As of March 14, 2022, the number of outstanding shares of common stock of the registrant was 55,894,213.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4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00" w:type="dxa"/>
            <w:vAlign w:val="bottom"/>
          </w:tcPr>
          <w:p>
            <w:pPr>
              <w:spacing w:after="0"/>
              <w:rPr>
                <w:sz w:val="17"/>
                <w:szCs w:val="17"/>
                <w:color w:val="auto"/>
              </w:rPr>
            </w:pPr>
          </w:p>
        </w:tc>
      </w:tr>
      <w:tr>
        <w:trPr>
          <w:trHeight w:val="434"/>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80" w:type="dxa"/>
            <w:vAlign w:val="bottom"/>
            <w:gridSpan w:val="10"/>
          </w:tcPr>
          <w:p>
            <w:pPr>
              <w:jc w:val="center"/>
              <w:ind w:right="2360"/>
              <w:spacing w:after="0"/>
              <w:rPr>
                <w:sz w:val="20"/>
                <w:szCs w:val="20"/>
                <w:color w:val="auto"/>
              </w:rPr>
            </w:pPr>
            <w:r>
              <w:rPr>
                <w:rFonts w:ascii="Arial" w:cs="Arial" w:eastAsia="Arial" w:hAnsi="Arial"/>
                <w:sz w:val="18"/>
                <w:szCs w:val="18"/>
                <w:b w:val="1"/>
                <w:bCs w:val="1"/>
                <w:color w:val="auto"/>
              </w:rPr>
              <w:t>OCEAN POWER TECHNOLOGIES, INC.</w:t>
            </w:r>
          </w:p>
        </w:tc>
        <w:tc>
          <w:tcPr>
            <w:tcW w:w="90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20" w:type="dxa"/>
            <w:vAlign w:val="bottom"/>
            <w:gridSpan w:val="9"/>
          </w:tcPr>
          <w:p>
            <w:pPr>
              <w:jc w:val="center"/>
              <w:ind w:right="3400"/>
              <w:spacing w:after="0"/>
              <w:rPr>
                <w:sz w:val="20"/>
                <w:szCs w:val="20"/>
                <w:color w:val="auto"/>
              </w:rPr>
            </w:pPr>
            <w:r>
              <w:rPr>
                <w:rFonts w:ascii="Arial" w:cs="Arial" w:eastAsia="Arial" w:hAnsi="Arial"/>
                <w:sz w:val="18"/>
                <w:szCs w:val="18"/>
                <w:b w:val="1"/>
                <w:bCs w:val="1"/>
                <w:color w:val="auto"/>
              </w:rPr>
              <w:t>INDEX TO FORM 10-Q</w:t>
            </w:r>
          </w:p>
        </w:tc>
        <w:tc>
          <w:tcPr>
            <w:tcW w:w="900" w:type="dxa"/>
            <w:vAlign w:val="bottom"/>
          </w:tcPr>
          <w:p>
            <w:pPr>
              <w:spacing w:after="0"/>
              <w:rPr>
                <w:sz w:val="20"/>
                <w:szCs w:val="20"/>
                <w:color w:val="auto"/>
              </w:rPr>
            </w:pPr>
          </w:p>
        </w:tc>
      </w:tr>
      <w:tr>
        <w:trPr>
          <w:trHeight w:val="41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34"/>
        </w:trPr>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90"/>
        </w:trPr>
        <w:tc>
          <w:tcPr>
            <w:tcW w:w="3260" w:type="dxa"/>
            <w:vAlign w:val="bottom"/>
            <w:tcBorders>
              <w:bottom w:val="single" w:sz="8" w:color="0000EE"/>
            </w:tcBorders>
            <w:gridSpan w:val="12"/>
            <w:shd w:val="clear" w:color="auto" w:fill="CCEEFF"/>
          </w:tcPr>
          <w:p>
            <w:pPr>
              <w:spacing w:after="0" w:line="169"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7080" w:type="dxa"/>
            <w:vAlign w:val="bottom"/>
            <w:tcBorders>
              <w:bottom w:val="single" w:sz="8" w:color="CCEEFF"/>
            </w:tcBorders>
            <w:gridSpan w:val="10"/>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75"/>
        </w:trPr>
        <w:tc>
          <w:tcPr>
            <w:tcW w:w="180" w:type="dxa"/>
            <w:vAlign w:val="bottom"/>
          </w:tcPr>
          <w:p>
            <w:pPr>
              <w:spacing w:after="0"/>
              <w:rPr>
                <w:sz w:val="15"/>
                <w:szCs w:val="15"/>
                <w:color w:val="auto"/>
              </w:rPr>
            </w:pPr>
          </w:p>
        </w:tc>
        <w:tc>
          <w:tcPr>
            <w:tcW w:w="10160" w:type="dxa"/>
            <w:vAlign w:val="bottom"/>
            <w:gridSpan w:val="21"/>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90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98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January 31, 2022 (unaudited) and April 30, 2021</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80" w:type="dxa"/>
            <w:vAlign w:val="bottom"/>
            <w:gridSpan w:val="20"/>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 for the three and nine months ended January 31, 2022 and 2021</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80" w:type="dxa"/>
            <w:vAlign w:val="bottom"/>
            <w:gridSpan w:val="20"/>
            <w:shd w:val="clear" w:color="auto" w:fill="CCEEFF"/>
          </w:tcPr>
          <w:p>
            <w:pPr>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Unaudited Consolidated Statements of Comprehensive Loss for the three and nine months ended January 31, 2022 and 2021</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176"/>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000" w:type="dxa"/>
            <w:vAlign w:val="bottom"/>
            <w:tcBorders>
              <w:top w:val="single" w:sz="8" w:color="0000EE"/>
            </w:tcBorders>
            <w:gridSpan w:val="19"/>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Consolidated Statement of Shareholders’ Equity for the three and nine months ended January 31, 2022 and 2021</w:t>
              </w:r>
            </w:hyperlink>
          </w:p>
        </w:tc>
        <w:tc>
          <w:tcPr>
            <w:tcW w:w="9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80" w:type="dxa"/>
            <w:vAlign w:val="bottom"/>
            <w:gridSpan w:val="20"/>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Unaudited Consolidated Statements of Cash Flows for the nine months ended January 31, 2022 and 2021</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r>
      <w:tr>
        <w:trPr>
          <w:trHeight w:val="175"/>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58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Unaudited Consolidated Financial Statements</w:t>
              </w:r>
            </w:hyperlink>
          </w:p>
        </w:tc>
        <w:tc>
          <w:tcPr>
            <w:tcW w:w="2400" w:type="dxa"/>
            <w:vAlign w:val="bottom"/>
            <w:tcBorders>
              <w:top w:val="single" w:sz="8" w:color="CCEEFF"/>
            </w:tcBorders>
            <w:gridSpan w:val="4"/>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9</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2. Management’s Discussion and Analysis of Financial Condition and Results of Operations</w:t>
              </w:r>
            </w:hyperlink>
          </w:p>
        </w:tc>
        <w:tc>
          <w:tcPr>
            <w:tcW w:w="314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176"/>
        </w:trPr>
        <w:tc>
          <w:tcPr>
            <w:tcW w:w="180" w:type="dxa"/>
            <w:vAlign w:val="bottom"/>
          </w:tcPr>
          <w:p>
            <w:pPr>
              <w:spacing w:after="0"/>
              <w:rPr>
                <w:sz w:val="15"/>
                <w:szCs w:val="15"/>
                <w:color w:val="auto"/>
              </w:rPr>
            </w:pPr>
          </w:p>
        </w:tc>
        <w:tc>
          <w:tcPr>
            <w:tcW w:w="10160" w:type="dxa"/>
            <w:vAlign w:val="bottom"/>
            <w:gridSpan w:val="21"/>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3. Quantitative and Qualitative Disclosures About Market Risk</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Item 4. Controls and Procedures</w:t>
              </w:r>
            </w:hyperlink>
          </w:p>
        </w:tc>
        <w:tc>
          <w:tcPr>
            <w:tcW w:w="782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176"/>
        </w:trPr>
        <w:tc>
          <w:tcPr>
            <w:tcW w:w="10340" w:type="dxa"/>
            <w:vAlign w:val="bottom"/>
            <w:gridSpan w:val="22"/>
          </w:tcPr>
          <w:p>
            <w:pPr>
              <w:spacing w:after="0" w:line="17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 — OTHER INFORMATION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Item 1. Legal Proceedings</w:t>
              </w:r>
            </w:hyperlink>
          </w:p>
        </w:tc>
        <w:tc>
          <w:tcPr>
            <w:tcW w:w="826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175"/>
        </w:trPr>
        <w:tc>
          <w:tcPr>
            <w:tcW w:w="180" w:type="dxa"/>
            <w:vAlign w:val="bottom"/>
          </w:tcPr>
          <w:p>
            <w:pPr>
              <w:spacing w:after="0"/>
              <w:rPr>
                <w:sz w:val="15"/>
                <w:szCs w:val="15"/>
                <w:color w:val="auto"/>
              </w:rPr>
            </w:pPr>
          </w:p>
        </w:tc>
        <w:tc>
          <w:tcPr>
            <w:tcW w:w="10160" w:type="dxa"/>
            <w:vAlign w:val="bottom"/>
            <w:gridSpan w:val="21"/>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1A. Risk Factors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1"/>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2. Unregistered Sales of Equity Securities and Use of Proceeds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176"/>
        </w:trPr>
        <w:tc>
          <w:tcPr>
            <w:tcW w:w="18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3. Defaults Upon Senior Securities</w:t>
              </w:r>
            </w:hyperlink>
          </w:p>
        </w:tc>
        <w:tc>
          <w:tcPr>
            <w:tcW w:w="526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Item 4. Mine Safety Disclosures</w:t>
              </w:r>
            </w:hyperlink>
          </w:p>
        </w:tc>
        <w:tc>
          <w:tcPr>
            <w:tcW w:w="782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176"/>
        </w:trPr>
        <w:tc>
          <w:tcPr>
            <w:tcW w:w="180" w:type="dxa"/>
            <w:vAlign w:val="bottom"/>
          </w:tcPr>
          <w:p>
            <w:pPr>
              <w:spacing w:after="0"/>
              <w:rPr>
                <w:sz w:val="15"/>
                <w:szCs w:val="15"/>
                <w:color w:val="auto"/>
              </w:rPr>
            </w:pPr>
          </w:p>
        </w:tc>
        <w:tc>
          <w:tcPr>
            <w:tcW w:w="10160" w:type="dxa"/>
            <w:vAlign w:val="bottom"/>
            <w:gridSpan w:val="21"/>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5. Other Information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1"/>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6. 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439"/>
        </w:trPr>
        <w:tc>
          <w:tcPr>
            <w:tcW w:w="18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gridSpan w:val="3"/>
          </w:tcPr>
          <w:p>
            <w:pPr>
              <w:spacing w:after="0"/>
              <w:rPr>
                <w:sz w:val="24"/>
                <w:szCs w:val="24"/>
                <w:color w:val="auto"/>
              </w:rPr>
            </w:pPr>
          </w:p>
        </w:tc>
        <w:tc>
          <w:tcPr>
            <w:tcW w:w="5060" w:type="dxa"/>
            <w:vAlign w:val="bottom"/>
            <w:tcBorders>
              <w:top w:val="single" w:sz="8" w:color="CCEEFF"/>
              <w:bottom w:val="single" w:sz="8" w:color="auto"/>
            </w:tcBorders>
            <w:gridSpan w:val="12"/>
          </w:tcPr>
          <w:p>
            <w:pPr>
              <w:jc w:val="center"/>
              <w:ind w:left="3410"/>
              <w:spacing w:after="0"/>
              <w:rPr>
                <w:sz w:val="20"/>
                <w:szCs w:val="20"/>
                <w:color w:val="auto"/>
              </w:rPr>
            </w:pPr>
            <w:r>
              <w:rPr>
                <w:rFonts w:ascii="Arial" w:cs="Arial" w:eastAsia="Arial" w:hAnsi="Arial"/>
                <w:sz w:val="18"/>
                <w:szCs w:val="18"/>
                <w:color w:val="auto"/>
                <w:w w:val="79"/>
              </w:rPr>
              <w:t>2</w:t>
            </w:r>
          </w:p>
        </w:tc>
        <w:tc>
          <w:tcPr>
            <w:tcW w:w="80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market and commercialize our products, and achieve and sustain profitability;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several factors, including market conditions, and our operating performance;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impact of the COVID-19 pandemic and its variants on our business, operations, customers, suppliers and manufacturers and personnel;</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product development, manufacturing and customer delivery deadlines that may be impacted by disruptions to our supply chain, primarily related to labor shortages and manufacturing and transportation delays both here in the U.S. and abroad;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acquisitions and our ability to integrate them into our operations may use significant resources, be unsuccessful or expose us to unforeseen liabilities;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future expenses,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services,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relationships with our strategic partners may not be successful and we may not be successful in establishing additional relationships;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American;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products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power output and survivability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current legislation, regulations and economic conditions that affect the demand for renewable energy, or restrict the use of our products;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personnel, including senior management, to achieve our business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operating losses, which we expect to continue for at least the short term and possibly longer;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2021,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ectPr>
          <w:pgSz w:w="11900" w:h="16838" w:orient="portrait"/>
          <w:cols w:equalWidth="0" w:num="1">
            <w:col w:w="11240"/>
          </w:cols>
          <w:pgMar w:left="320" w:top="233" w:right="339" w:bottom="771"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771"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$000’s,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January 31, 2022</w:t>
            </w:r>
          </w:p>
        </w:tc>
        <w:tc>
          <w:tcPr>
            <w:tcW w:w="20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April 30, 2021</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63,454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83,028</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Restricted cash, short-term</w:t>
            </w: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64,987</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Right-of-use asset, net</w:t>
            </w: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825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long-term</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7,754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78,356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176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522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liability, current portion</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Advance payable</w:t>
            </w: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payable</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Contingent liabilities</w:t>
            </w: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1,591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Paycheck protection program loan- current</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9"/>
        </w:trPr>
        <w:tc>
          <w:tcPr>
            <w:tcW w:w="74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4,199</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 loan, less current portion</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Right-of-use liability, less current portion</w:t>
            </w: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w w:val="99"/>
              </w:rPr>
              <w:t>Preferred stock, $0.001 par value; authorized 5,000,000 shares, none issued or outstanding</w:t>
            </w: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$0.001 par value; authorized 100,000,000 shares, issued 55,894,213 and</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52,458,011 shares, respectively</w:t>
            </w: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Treasury stock, at cost; 21,040 shares</w:t>
            </w:r>
          </w:p>
        </w:tc>
        <w:tc>
          <w:tcPr>
            <w:tcW w:w="160" w:type="dxa"/>
            <w:vAlign w:val="bottom"/>
          </w:tcPr>
          <w:p>
            <w:pPr>
              <w:spacing w:after="0"/>
              <w:rPr>
                <w:sz w:val="18"/>
                <w:szCs w:val="18"/>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322,626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315,821</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(248,617)</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(234,896)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73,542</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78,356</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5"/>
          </w:tcPr>
          <w:p>
            <w:pPr>
              <w:jc w:val="right"/>
              <w:ind w:right="641"/>
              <w:spacing w:after="0"/>
              <w:rPr>
                <w:sz w:val="20"/>
                <w:szCs w:val="20"/>
                <w:color w:val="auto"/>
              </w:rPr>
            </w:pPr>
            <w:r>
              <w:rPr>
                <w:rFonts w:ascii="Arial" w:cs="Arial" w:eastAsia="Arial" w:hAnsi="Arial"/>
                <w:sz w:val="18"/>
                <w:szCs w:val="18"/>
                <w:b w:val="1"/>
                <w:bCs w:val="1"/>
                <w:color w:val="auto"/>
                <w:w w:val="94"/>
              </w:rPr>
              <w:t>Three months ended January 31,</w:t>
            </w:r>
          </w:p>
        </w:tc>
        <w:tc>
          <w:tcPr>
            <w:tcW w:w="240" w:type="dxa"/>
            <w:vAlign w:val="bottom"/>
          </w:tcPr>
          <w:p>
            <w:pPr>
              <w:spacing w:after="0"/>
              <w:rPr>
                <w:sz w:val="20"/>
                <w:szCs w:val="20"/>
                <w:color w:val="auto"/>
              </w:rPr>
            </w:pPr>
          </w:p>
        </w:tc>
        <w:tc>
          <w:tcPr>
            <w:tcW w:w="3080" w:type="dxa"/>
            <w:vAlign w:val="bottom"/>
            <w:gridSpan w:val="6"/>
          </w:tcPr>
          <w:p>
            <w:pPr>
              <w:jc w:val="right"/>
              <w:ind w:right="421"/>
              <w:spacing w:after="0"/>
              <w:rPr>
                <w:sz w:val="20"/>
                <w:szCs w:val="20"/>
                <w:color w:val="auto"/>
              </w:rPr>
            </w:pPr>
            <w:r>
              <w:rPr>
                <w:rFonts w:ascii="Arial" w:cs="Arial" w:eastAsia="Arial" w:hAnsi="Arial"/>
                <w:sz w:val="18"/>
                <w:szCs w:val="18"/>
                <w:b w:val="1"/>
                <w:bCs w:val="1"/>
                <w:color w:val="auto"/>
                <w:w w:val="94"/>
              </w:rPr>
              <w:t>Nine months ended January 31,</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484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1,003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597</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8"/>
                <w:szCs w:val="18"/>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2,465</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18"/>
                <w:szCs w:val="18"/>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8"/>
                <w:szCs w:val="18"/>
                <w:color w:val="auto"/>
              </w:rPr>
              <w:t>7,518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2,974</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1,763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7,933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5,439</w:t>
            </w:r>
          </w:p>
        </w:tc>
        <w:tc>
          <w:tcPr>
            <w:tcW w:w="3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3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3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PPP loan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Foreign exchange gain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2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0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34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3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(0.26</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ind w:left="180"/>
              <w:spacing w:after="0" w:line="155" w:lineRule="exact"/>
              <w:rPr>
                <w:sz w:val="20"/>
                <w:szCs w:val="20"/>
                <w:color w:val="auto"/>
              </w:rPr>
            </w:pPr>
            <w:r>
              <w:rPr>
                <w:rFonts w:ascii="Arial" w:cs="Arial" w:eastAsia="Arial" w:hAnsi="Arial"/>
                <w:sz w:val="17"/>
                <w:szCs w:val="17"/>
                <w:color w:val="auto"/>
                <w:w w:val="98"/>
              </w:rPr>
              <w:t>Weighted average common shares used to compute</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80" w:type="dxa"/>
            <w:vAlign w:val="bottom"/>
            <w:gridSpan w:val="2"/>
            <w:vMerge w:val="restart"/>
            <w:shd w:val="clear" w:color="auto" w:fill="CCEEFF"/>
          </w:tcPr>
          <w:p>
            <w:pPr>
              <w:jc w:val="right"/>
              <w:ind w:right="261"/>
              <w:spacing w:after="0"/>
              <w:rPr>
                <w:sz w:val="20"/>
                <w:szCs w:val="20"/>
                <w:color w:val="auto"/>
              </w:rPr>
            </w:pPr>
            <w:r>
              <w:rPr>
                <w:rFonts w:ascii="Arial" w:cs="Arial" w:eastAsia="Arial" w:hAnsi="Arial"/>
                <w:sz w:val="18"/>
                <w:szCs w:val="18"/>
                <w:color w:val="auto"/>
              </w:rPr>
              <w:t>55,308,799</w:t>
            </w:r>
          </w:p>
        </w:tc>
        <w:tc>
          <w:tcPr>
            <w:tcW w:w="34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jc w:val="right"/>
              <w:ind w:right="261"/>
              <w:spacing w:after="0"/>
              <w:rPr>
                <w:sz w:val="20"/>
                <w:szCs w:val="20"/>
                <w:color w:val="auto"/>
              </w:rPr>
            </w:pPr>
            <w:r>
              <w:rPr>
                <w:rFonts w:ascii="Arial" w:cs="Arial" w:eastAsia="Arial" w:hAnsi="Arial"/>
                <w:sz w:val="18"/>
                <w:szCs w:val="18"/>
                <w:color w:val="auto"/>
              </w:rPr>
              <w:t>33,715,334</w:t>
            </w:r>
          </w:p>
        </w:tc>
        <w:tc>
          <w:tcPr>
            <w:tcW w:w="24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21"/>
              <w:spacing w:after="0"/>
              <w:rPr>
                <w:sz w:val="20"/>
                <w:szCs w:val="20"/>
                <w:color w:val="auto"/>
              </w:rPr>
            </w:pPr>
            <w:r>
              <w:rPr>
                <w:rFonts w:ascii="Arial" w:cs="Arial" w:eastAsia="Arial" w:hAnsi="Arial"/>
                <w:sz w:val="18"/>
                <w:szCs w:val="18"/>
                <w:color w:val="auto"/>
              </w:rPr>
              <w:t>53,408,998</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23,160,885</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loss per common share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60" w:right="100"/>
        <w:spacing w:after="0" w:line="306" w:lineRule="auto"/>
        <w:rPr>
          <w:sz w:val="20"/>
          <w:szCs w:val="20"/>
          <w:color w:val="auto"/>
        </w:rPr>
      </w:pPr>
      <w:r>
        <w:rPr>
          <w:rFonts w:ascii="Arial" w:cs="Arial" w:eastAsia="Arial" w:hAnsi="Arial"/>
          <w:sz w:val="17"/>
          <w:szCs w:val="17"/>
          <w:color w:val="auto"/>
        </w:rPr>
        <w:t>Foreign currency translation adjustment Total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500"/>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62" w:lineRule="exact"/>
        <w:rPr>
          <w:sz w:val="20"/>
          <w:szCs w:val="20"/>
          <w:color w:val="auto"/>
        </w:rPr>
      </w:pPr>
    </w:p>
    <w:p>
      <w:pPr>
        <w:jc w:val="center"/>
        <w:ind w:right="500"/>
        <w:spacing w:after="0"/>
        <w:rPr>
          <w:sz w:val="20"/>
          <w:szCs w:val="20"/>
          <w:color w:val="auto"/>
        </w:rPr>
      </w:pPr>
      <w:r>
        <w:rPr>
          <w:rFonts w:ascii="Arial" w:cs="Arial" w:eastAsia="Arial" w:hAnsi="Arial"/>
          <w:sz w:val="15"/>
          <w:szCs w:val="15"/>
          <w:b w:val="1"/>
          <w:bCs w:val="1"/>
          <w:color w:val="auto"/>
        </w:rPr>
        <w:t>Consolidated Statements of Comprehensive Loss</w:t>
      </w:r>
    </w:p>
    <w:p>
      <w:pPr>
        <w:spacing w:after="0" w:line="44"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(in $000’s)</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jc w:val="center"/>
        <w:ind w:left="-119"/>
        <w:spacing w:after="0"/>
        <w:rPr>
          <w:sz w:val="20"/>
          <w:szCs w:val="20"/>
          <w:color w:val="auto"/>
        </w:rPr>
      </w:pPr>
      <w:r>
        <w:rPr>
          <w:rFonts w:ascii="Arial" w:cs="Arial" w:eastAsia="Arial" w:hAnsi="Arial"/>
          <w:sz w:val="18"/>
          <w:szCs w:val="18"/>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17145</wp:posOffset>
            </wp:positionV>
            <wp:extent cx="2091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1100"/>
        <w:spacing w:after="0"/>
        <w:tabs>
          <w:tab w:leader="none" w:pos="29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17145</wp:posOffset>
            </wp:positionV>
            <wp:extent cx="2091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2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1"/>
              <w:spacing w:after="0"/>
              <w:rPr>
                <w:sz w:val="20"/>
                <w:szCs w:val="20"/>
                <w:color w:val="auto"/>
              </w:rPr>
            </w:pPr>
            <w:r>
              <w:rPr>
                <w:rFonts w:ascii="Arial" w:cs="Arial" w:eastAsia="Arial" w:hAnsi="Arial"/>
                <w:sz w:val="18"/>
                <w:szCs w:val="18"/>
                <w:color w:val="auto"/>
              </w:rPr>
              <w:t>(5,471)</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(3,151)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560" w:type="dxa"/>
            <w:vAlign w:val="bottom"/>
          </w:tcPr>
          <w:p>
            <w:pPr>
              <w:spacing w:after="0"/>
              <w:rPr>
                <w:sz w:val="21"/>
                <w:szCs w:val="21"/>
                <w:color w:val="auto"/>
              </w:rPr>
            </w:pPr>
          </w:p>
        </w:tc>
        <w:tc>
          <w:tcPr>
            <w:tcW w:w="1260" w:type="dxa"/>
            <w:vAlign w:val="bottom"/>
            <w:gridSpan w:val="2"/>
          </w:tcPr>
          <w:p>
            <w:pPr>
              <w:jc w:val="right"/>
              <w:ind w:right="201"/>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r>
      <w:tr>
        <w:trPr>
          <w:trHeight w:val="223"/>
        </w:trPr>
        <w:tc>
          <w:tcPr>
            <w:tcW w:w="5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-462280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-179070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17145</wp:posOffset>
            </wp:positionV>
            <wp:extent cx="2040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2022</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1"/>
        </w:trPr>
        <w:tc>
          <w:tcPr>
            <w:tcW w:w="1100" w:type="dxa"/>
            <w:vAlign w:val="bottom"/>
          </w:tcPr>
          <w:p>
            <w:pPr>
              <w:jc w:val="right"/>
              <w:ind w:right="50"/>
              <w:spacing w:after="0"/>
              <w:rPr>
                <w:sz w:val="20"/>
                <w:szCs w:val="20"/>
                <w:color w:val="auto"/>
              </w:rPr>
            </w:pPr>
            <w:r>
              <w:rPr>
                <w:rFonts w:ascii="Arial" w:cs="Arial" w:eastAsia="Arial" w:hAnsi="Arial"/>
                <w:sz w:val="18"/>
                <w:szCs w:val="18"/>
                <w:color w:val="auto"/>
              </w:rPr>
              <w:t>(13,721)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(9,560)</w:t>
            </w:r>
          </w:p>
        </w:tc>
      </w:tr>
      <w:tr>
        <w:trPr>
          <w:trHeight w:val="244"/>
        </w:trPr>
        <w:tc>
          <w:tcPr>
            <w:tcW w:w="110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3"/>
          </w:tcPr>
          <w:p>
            <w:pPr>
              <w:jc w:val="right"/>
              <w:ind w:right="21"/>
              <w:spacing w:after="0"/>
              <w:rPr>
                <w:sz w:val="20"/>
                <w:szCs w:val="20"/>
                <w:color w:val="auto"/>
              </w:rPr>
            </w:pPr>
            <w:r>
              <w:rPr>
                <w:rFonts w:ascii="Arial" w:cs="Arial" w:eastAsia="Arial" w:hAnsi="Arial"/>
                <w:sz w:val="18"/>
                <w:szCs w:val="18"/>
                <w:color w:val="auto"/>
              </w:rPr>
              <w:t>6</w:t>
            </w:r>
          </w:p>
        </w:tc>
      </w:tr>
      <w:tr>
        <w:trPr>
          <w:trHeight w:val="223"/>
        </w:trPr>
        <w:tc>
          <w:tcPr>
            <w:tcW w:w="1100" w:type="dxa"/>
            <w:vAlign w:val="bottom"/>
          </w:tcPr>
          <w:p>
            <w:pPr>
              <w:jc w:val="right"/>
              <w:ind w:right="50"/>
              <w:spacing w:after="0"/>
              <w:rPr>
                <w:sz w:val="20"/>
                <w:szCs w:val="20"/>
                <w:color w:val="auto"/>
              </w:rPr>
            </w:pPr>
            <w:r>
              <w:rPr>
                <w:rFonts w:ascii="Arial" w:cs="Arial" w:eastAsia="Arial" w:hAnsi="Arial"/>
                <w:sz w:val="18"/>
                <w:szCs w:val="18"/>
                <w:color w:val="auto"/>
              </w:rPr>
              <w:t>(13,735)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(9,554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-7620</wp:posOffset>
            </wp:positionV>
            <wp:extent cx="917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-607695</wp:posOffset>
            </wp:positionV>
            <wp:extent cx="917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020" w:space="720"/>
            <w:col w:w="4260" w:space="300"/>
            <w:col w:w="2900"/>
          </w:cols>
          <w:pgMar w:left="320" w:top="233" w:right="379" w:bottom="144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6" w:name="page7"/>
    <w:bookmarkEnd w:id="6"/>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12"/>
          </w:tcPr>
          <w:p>
            <w:pPr>
              <w:jc w:val="center"/>
              <w:ind w:right="361"/>
              <w:spacing w:after="0"/>
              <w:rPr>
                <w:sz w:val="20"/>
                <w:szCs w:val="20"/>
                <w:color w:val="auto"/>
              </w:rPr>
            </w:pPr>
            <w:r>
              <w:rPr>
                <w:rFonts w:ascii="Arial" w:cs="Arial" w:eastAsia="Arial" w:hAnsi="Arial"/>
                <w:sz w:val="18"/>
                <w:szCs w:val="18"/>
                <w:b w:val="1"/>
                <w:bCs w:val="1"/>
                <w:color w:val="auto"/>
                <w:w w:val="91"/>
              </w:rPr>
              <w:t>Nine Months Ended January 31, 2022</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8"/>
        </w:trPr>
        <w:tc>
          <w:tcPr>
            <w:tcW w:w="1800" w:type="dxa"/>
            <w:vAlign w:val="bottom"/>
          </w:tcPr>
          <w:p>
            <w:pPr>
              <w:spacing w:after="0"/>
              <w:rPr>
                <w:sz w:val="21"/>
                <w:szCs w:val="21"/>
                <w:color w:val="auto"/>
              </w:rPr>
            </w:pPr>
          </w:p>
        </w:tc>
        <w:tc>
          <w:tcPr>
            <w:tcW w:w="1500" w:type="dxa"/>
            <w:vAlign w:val="bottom"/>
            <w:gridSpan w:val="4"/>
          </w:tcPr>
          <w:p>
            <w:pPr>
              <w:ind w:left="220"/>
              <w:spacing w:after="0"/>
              <w:rPr>
                <w:sz w:val="20"/>
                <w:szCs w:val="20"/>
                <w:color w:val="auto"/>
              </w:rPr>
            </w:pPr>
            <w:r>
              <w:rPr>
                <w:rFonts w:ascii="Arial" w:cs="Arial" w:eastAsia="Arial" w:hAnsi="Arial"/>
                <w:sz w:val="18"/>
                <w:szCs w:val="18"/>
                <w:b w:val="1"/>
                <w:bCs w:val="1"/>
                <w:color w:val="auto"/>
                <w:w w:val="88"/>
              </w:rPr>
              <w:t>Common Shares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6"/>
          </w:tcPr>
          <w:p>
            <w:pPr>
              <w:jc w:val="right"/>
              <w:ind w:right="221"/>
              <w:spacing w:after="0"/>
              <w:rPr>
                <w:sz w:val="20"/>
                <w:szCs w:val="20"/>
                <w:color w:val="auto"/>
              </w:rPr>
            </w:pPr>
            <w:r>
              <w:rPr>
                <w:rFonts w:ascii="Arial" w:cs="Arial" w:eastAsia="Arial" w:hAnsi="Arial"/>
                <w:sz w:val="18"/>
                <w:szCs w:val="18"/>
                <w:b w:val="1"/>
                <w:bCs w:val="1"/>
                <w:color w:val="auto"/>
                <w:w w:val="93"/>
              </w:rPr>
              <w:t>Treasury Shares</w:t>
            </w:r>
          </w:p>
        </w:tc>
        <w:tc>
          <w:tcPr>
            <w:tcW w:w="10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rPr>
              <w:t>Subscription</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8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9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88"/>
              </w:rPr>
              <w:t>Amount</w:t>
            </w:r>
          </w:p>
        </w:tc>
        <w:tc>
          <w:tcPr>
            <w:tcW w:w="200" w:type="dxa"/>
            <w:vAlign w:val="bottom"/>
          </w:tcPr>
          <w:p>
            <w:pPr>
              <w:spacing w:after="0"/>
              <w:rPr>
                <w:sz w:val="18"/>
                <w:szCs w:val="18"/>
                <w:color w:val="auto"/>
              </w:rPr>
            </w:pPr>
          </w:p>
        </w:tc>
        <w:tc>
          <w:tcPr>
            <w:tcW w:w="760" w:type="dxa"/>
            <w:vAlign w:val="bottom"/>
            <w:tcBorders>
              <w:top w:val="single" w:sz="8" w:color="auto"/>
            </w:tcBorders>
            <w:gridSpan w:val="2"/>
          </w:tcPr>
          <w:p>
            <w:pPr>
              <w:jc w:val="right"/>
              <w:ind w:right="101"/>
              <w:spacing w:after="0"/>
              <w:rPr>
                <w:sz w:val="20"/>
                <w:szCs w:val="20"/>
                <w:color w:val="auto"/>
              </w:rPr>
            </w:pPr>
            <w:r>
              <w:rPr>
                <w:rFonts w:ascii="Arial" w:cs="Arial" w:eastAsia="Arial" w:hAnsi="Arial"/>
                <w:sz w:val="18"/>
                <w:szCs w:val="18"/>
                <w:b w:val="1"/>
                <w:bCs w:val="1"/>
                <w:color w:val="auto"/>
                <w:w w:val="93"/>
              </w:rPr>
              <w:t>Shares</w:t>
            </w:r>
          </w:p>
        </w:tc>
        <w:tc>
          <w:tcPr>
            <w:tcW w:w="70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88"/>
              </w:rPr>
              <w:t>Amount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Receivable</w:t>
            </w:r>
          </w:p>
        </w:tc>
        <w:tc>
          <w:tcPr>
            <w:tcW w:w="180" w:type="dxa"/>
            <w:vAlign w:val="bottom"/>
          </w:tcPr>
          <w:p>
            <w:pPr>
              <w:spacing w:after="0"/>
              <w:rPr>
                <w:sz w:val="18"/>
                <w:szCs w:val="18"/>
                <w:color w:val="auto"/>
              </w:rPr>
            </w:pPr>
          </w:p>
        </w:tc>
        <w:tc>
          <w:tcPr>
            <w:tcW w:w="102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8"/>
                <w:szCs w:val="18"/>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 May 1,</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52,479,051</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(21,040)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315,821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(234,896)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80,468</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(13,721)</w:t>
            </w:r>
          </w:p>
        </w:tc>
        <w:tc>
          <w:tcPr>
            <w:tcW w:w="2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(13,721)</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Proceeds from stock</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options exercises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for</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3,330,162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gain/(loss)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8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Balance, January 31,</w:t>
            </w: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00" w:type="dxa"/>
            <w:vAlign w:val="bottom"/>
            <w:vMerge w:val="continue"/>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55,894,213</w:t>
            </w:r>
          </w:p>
        </w:tc>
        <w:tc>
          <w:tcPr>
            <w:tcW w:w="8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9"/>
              </w:rPr>
              <w:t>56</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(21,040)</w:t>
            </w:r>
          </w:p>
        </w:tc>
        <w:tc>
          <w:tcPr>
            <w:tcW w:w="2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(338)</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322,626</w:t>
            </w:r>
          </w:p>
        </w:tc>
        <w:tc>
          <w:tcPr>
            <w:tcW w:w="2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(248,617)</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80" w:type="dxa"/>
            <w:vAlign w:val="bottom"/>
            <w:vMerge w:val="restart"/>
            <w:shd w:val="clear" w:color="auto" w:fill="CCEEFF"/>
          </w:tcPr>
          <w:p>
            <w:pPr>
              <w:jc w:val="right"/>
              <w:ind w:right="14"/>
              <w:spacing w:after="0"/>
              <w:rPr>
                <w:sz w:val="20"/>
                <w:szCs w:val="20"/>
                <w:color w:val="auto"/>
              </w:rPr>
            </w:pPr>
            <w:r>
              <w:rPr>
                <w:rFonts w:ascii="Arial" w:cs="Arial" w:eastAsia="Arial" w:hAnsi="Arial"/>
                <w:sz w:val="15"/>
                <w:szCs w:val="15"/>
                <w:color w:val="auto"/>
                <w:w w:val="71"/>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73,542</w:t>
            </w:r>
          </w:p>
        </w:tc>
        <w:tc>
          <w:tcPr>
            <w:tcW w:w="0" w:type="dxa"/>
            <w:vAlign w:val="bottom"/>
          </w:tcPr>
          <w:p>
            <w:pPr>
              <w:spacing w:after="0"/>
              <w:rPr>
                <w:sz w:val="1"/>
                <w:szCs w:val="1"/>
                <w:color w:val="auto"/>
              </w:rPr>
            </w:pPr>
          </w:p>
        </w:tc>
      </w:tr>
      <w:tr>
        <w:trPr>
          <w:trHeight w:val="217"/>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2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80" w:type="dxa"/>
            <w:vAlign w:val="bottom"/>
            <w:tcBorders>
              <w:right w:val="single" w:sz="8" w:color="CCEEFF"/>
            </w:tcBorders>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12"/>
          </w:tcPr>
          <w:p>
            <w:pPr>
              <w:jc w:val="center"/>
              <w:ind w:right="361"/>
              <w:spacing w:after="0"/>
              <w:rPr>
                <w:sz w:val="20"/>
                <w:szCs w:val="20"/>
                <w:color w:val="auto"/>
              </w:rPr>
            </w:pPr>
            <w:r>
              <w:rPr>
                <w:rFonts w:ascii="Arial" w:cs="Arial" w:eastAsia="Arial" w:hAnsi="Arial"/>
                <w:sz w:val="18"/>
                <w:szCs w:val="18"/>
                <w:b w:val="1"/>
                <w:bCs w:val="1"/>
                <w:color w:val="auto"/>
                <w:w w:val="91"/>
              </w:rPr>
              <w:t>Nine Months Ended January 31, 2021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8"/>
        </w:trPr>
        <w:tc>
          <w:tcPr>
            <w:tcW w:w="1800" w:type="dxa"/>
            <w:vAlign w:val="bottom"/>
          </w:tcPr>
          <w:p>
            <w:pPr>
              <w:spacing w:after="0"/>
              <w:rPr>
                <w:sz w:val="21"/>
                <w:szCs w:val="21"/>
                <w:color w:val="auto"/>
              </w:rPr>
            </w:pPr>
          </w:p>
        </w:tc>
        <w:tc>
          <w:tcPr>
            <w:tcW w:w="1500" w:type="dxa"/>
            <w:vAlign w:val="bottom"/>
            <w:gridSpan w:val="4"/>
          </w:tcPr>
          <w:p>
            <w:pPr>
              <w:ind w:left="220"/>
              <w:spacing w:after="0"/>
              <w:rPr>
                <w:sz w:val="20"/>
                <w:szCs w:val="20"/>
                <w:color w:val="auto"/>
              </w:rPr>
            </w:pPr>
            <w:r>
              <w:rPr>
                <w:rFonts w:ascii="Arial" w:cs="Arial" w:eastAsia="Arial" w:hAnsi="Arial"/>
                <w:sz w:val="18"/>
                <w:szCs w:val="18"/>
                <w:b w:val="1"/>
                <w:bCs w:val="1"/>
                <w:color w:val="auto"/>
                <w:w w:val="88"/>
              </w:rPr>
              <w:t>Common Shares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6"/>
          </w:tcPr>
          <w:p>
            <w:pPr>
              <w:jc w:val="right"/>
              <w:ind w:right="221"/>
              <w:spacing w:after="0"/>
              <w:rPr>
                <w:sz w:val="20"/>
                <w:szCs w:val="20"/>
                <w:color w:val="auto"/>
              </w:rPr>
            </w:pPr>
            <w:r>
              <w:rPr>
                <w:rFonts w:ascii="Arial" w:cs="Arial" w:eastAsia="Arial" w:hAnsi="Arial"/>
                <w:sz w:val="18"/>
                <w:szCs w:val="18"/>
                <w:b w:val="1"/>
                <w:bCs w:val="1"/>
                <w:color w:val="auto"/>
                <w:w w:val="93"/>
              </w:rPr>
              <w:t>Treasury Shares</w:t>
            </w:r>
          </w:p>
        </w:tc>
        <w:tc>
          <w:tcPr>
            <w:tcW w:w="10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rPr>
              <w:t>Subscription</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8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9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88"/>
              </w:rPr>
              <w:t>Amount</w:t>
            </w:r>
          </w:p>
        </w:tc>
        <w:tc>
          <w:tcPr>
            <w:tcW w:w="200" w:type="dxa"/>
            <w:vAlign w:val="bottom"/>
          </w:tcPr>
          <w:p>
            <w:pPr>
              <w:spacing w:after="0"/>
              <w:rPr>
                <w:sz w:val="18"/>
                <w:szCs w:val="18"/>
                <w:color w:val="auto"/>
              </w:rPr>
            </w:pPr>
          </w:p>
        </w:tc>
        <w:tc>
          <w:tcPr>
            <w:tcW w:w="760" w:type="dxa"/>
            <w:vAlign w:val="bottom"/>
            <w:tcBorders>
              <w:top w:val="single" w:sz="8" w:color="auto"/>
            </w:tcBorders>
            <w:gridSpan w:val="2"/>
          </w:tcPr>
          <w:p>
            <w:pPr>
              <w:jc w:val="right"/>
              <w:ind w:right="101"/>
              <w:spacing w:after="0"/>
              <w:rPr>
                <w:sz w:val="20"/>
                <w:szCs w:val="20"/>
                <w:color w:val="auto"/>
              </w:rPr>
            </w:pPr>
            <w:r>
              <w:rPr>
                <w:rFonts w:ascii="Arial" w:cs="Arial" w:eastAsia="Arial" w:hAnsi="Arial"/>
                <w:sz w:val="18"/>
                <w:szCs w:val="18"/>
                <w:b w:val="1"/>
                <w:bCs w:val="1"/>
                <w:color w:val="auto"/>
                <w:w w:val="93"/>
              </w:rPr>
              <w:t>Shares</w:t>
            </w:r>
          </w:p>
        </w:tc>
        <w:tc>
          <w:tcPr>
            <w:tcW w:w="70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88"/>
              </w:rPr>
              <w:t>Amount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Receivable</w:t>
            </w:r>
          </w:p>
        </w:tc>
        <w:tc>
          <w:tcPr>
            <w:tcW w:w="180" w:type="dxa"/>
            <w:vAlign w:val="bottom"/>
          </w:tcPr>
          <w:p>
            <w:pPr>
              <w:spacing w:after="0"/>
              <w:rPr>
                <w:sz w:val="18"/>
                <w:szCs w:val="18"/>
                <w:color w:val="auto"/>
              </w:rPr>
            </w:pPr>
          </w:p>
        </w:tc>
        <w:tc>
          <w:tcPr>
            <w:tcW w:w="102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8"/>
                <w:szCs w:val="18"/>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 May 1,</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12,939,420</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231,101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(220,136)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10,492</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(9,560)</w:t>
            </w:r>
          </w:p>
        </w:tc>
        <w:tc>
          <w:tcPr>
            <w:tcW w:w="2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(9,560)</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Proceeds from stock</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options exercises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175,500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common</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warrants, net of costs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677,500</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stock- Aspire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financing, net of</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issuance costs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7,275,000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9,976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9,983</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stock- AGP At The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Market offering, net of</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29,522,389</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30</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66,136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66,166</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Acquisition of treasury</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stock</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(16,789)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4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gain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line="201" w:lineRule="exact"/>
              <w:rPr>
                <w:sz w:val="20"/>
                <w:szCs w:val="20"/>
                <w:color w:val="auto"/>
              </w:rPr>
            </w:pPr>
            <w:r>
              <w:rPr>
                <w:rFonts w:ascii="Arial" w:cs="Arial" w:eastAsia="Arial" w:hAnsi="Arial"/>
                <w:sz w:val="18"/>
                <w:szCs w:val="18"/>
                <w:color w:val="auto"/>
              </w:rPr>
              <w:t>Balances at January</w:t>
            </w: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00" w:type="dxa"/>
            <w:vAlign w:val="bottom"/>
            <w:vMerge w:val="continue"/>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7"/>
              </w:rPr>
              <w:t>50,589,809</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9"/>
              </w:rPr>
              <w:t>51</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(21,040)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vMerge w:val="restart"/>
          </w:tcPr>
          <w:p>
            <w:pPr>
              <w:jc w:val="right"/>
              <w:ind w:right="4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5"/>
                <w:szCs w:val="15"/>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310,342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(1,983)</w:t>
            </w:r>
          </w:p>
        </w:tc>
        <w:tc>
          <w:tcPr>
            <w:tcW w:w="180" w:type="dxa"/>
            <w:vAlign w:val="bottom"/>
          </w:tcPr>
          <w:p>
            <w:pPr>
              <w:spacing w:after="0"/>
              <w:rPr>
                <w:sz w:val="15"/>
                <w:szCs w:val="15"/>
                <w:color w:val="auto"/>
              </w:rPr>
            </w:pPr>
          </w:p>
        </w:tc>
        <w:tc>
          <w:tcPr>
            <w:tcW w:w="1020" w:type="dxa"/>
            <w:vAlign w:val="bottom"/>
            <w:gridSpan w:val="2"/>
            <w:vMerge w:val="restart"/>
          </w:tcPr>
          <w:p>
            <w:pPr>
              <w:jc w:val="right"/>
              <w:ind w:right="41"/>
              <w:spacing w:after="0"/>
              <w:rPr>
                <w:sz w:val="20"/>
                <w:szCs w:val="20"/>
                <w:color w:val="auto"/>
              </w:rPr>
            </w:pPr>
            <w:r>
              <w:rPr>
                <w:rFonts w:ascii="Arial" w:cs="Arial" w:eastAsia="Arial" w:hAnsi="Arial"/>
                <w:sz w:val="18"/>
                <w:szCs w:val="18"/>
                <w:color w:val="auto"/>
              </w:rPr>
              <w:t>(229,696)</w:t>
            </w:r>
          </w:p>
        </w:tc>
        <w:tc>
          <w:tcPr>
            <w:tcW w:w="220" w:type="dxa"/>
            <w:vAlign w:val="bottom"/>
          </w:tcPr>
          <w:p>
            <w:pPr>
              <w:spacing w:after="0"/>
              <w:rPr>
                <w:sz w:val="15"/>
                <w:szCs w:val="15"/>
                <w:color w:val="auto"/>
              </w:rPr>
            </w:pPr>
          </w:p>
        </w:tc>
        <w:tc>
          <w:tcPr>
            <w:tcW w:w="11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78,199</w:t>
            </w:r>
          </w:p>
        </w:tc>
        <w:tc>
          <w:tcPr>
            <w:tcW w:w="0" w:type="dxa"/>
            <w:vAlign w:val="bottom"/>
          </w:tcPr>
          <w:p>
            <w:pPr>
              <w:spacing w:after="0"/>
              <w:rPr>
                <w:sz w:val="1"/>
                <w:szCs w:val="1"/>
                <w:color w:val="auto"/>
              </w:rPr>
            </w:pPr>
          </w:p>
        </w:tc>
      </w:tr>
      <w:tr>
        <w:trPr>
          <w:trHeight w:val="217"/>
        </w:trPr>
        <w:tc>
          <w:tcPr>
            <w:tcW w:w="1800" w:type="dxa"/>
            <w:vAlign w:val="bottom"/>
          </w:tcPr>
          <w:p>
            <w:pPr>
              <w:spacing w:after="0"/>
              <w:rPr>
                <w:sz w:val="20"/>
                <w:szCs w:val="20"/>
                <w:color w:val="auto"/>
              </w:rPr>
            </w:pPr>
            <w:r>
              <w:rPr>
                <w:rFonts w:ascii="Arial" w:cs="Arial" w:eastAsia="Arial" w:hAnsi="Arial"/>
                <w:sz w:val="18"/>
                <w:szCs w:val="18"/>
                <w:color w:val="auto"/>
              </w:rPr>
              <w:t>31, 2021</w:t>
            </w:r>
          </w:p>
        </w:tc>
        <w:tc>
          <w:tcPr>
            <w:tcW w:w="90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12"/>
          </w:tcPr>
          <w:p>
            <w:pPr>
              <w:jc w:val="center"/>
              <w:ind w:right="381"/>
              <w:spacing w:after="0"/>
              <w:rPr>
                <w:sz w:val="20"/>
                <w:szCs w:val="20"/>
                <w:color w:val="auto"/>
              </w:rPr>
            </w:pPr>
            <w:r>
              <w:rPr>
                <w:rFonts w:ascii="Arial" w:cs="Arial" w:eastAsia="Arial" w:hAnsi="Arial"/>
                <w:sz w:val="18"/>
                <w:szCs w:val="18"/>
                <w:b w:val="1"/>
                <w:bCs w:val="1"/>
                <w:color w:val="auto"/>
                <w:w w:val="91"/>
              </w:rPr>
              <w:t>Three Months Ended January 31, 2022</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8"/>
        </w:trPr>
        <w:tc>
          <w:tcPr>
            <w:tcW w:w="1800" w:type="dxa"/>
            <w:vAlign w:val="bottom"/>
          </w:tcPr>
          <w:p>
            <w:pPr>
              <w:spacing w:after="0"/>
              <w:rPr>
                <w:sz w:val="21"/>
                <w:szCs w:val="21"/>
                <w:color w:val="auto"/>
              </w:rPr>
            </w:pPr>
          </w:p>
        </w:tc>
        <w:tc>
          <w:tcPr>
            <w:tcW w:w="1500" w:type="dxa"/>
            <w:vAlign w:val="bottom"/>
            <w:gridSpan w:val="4"/>
          </w:tcPr>
          <w:p>
            <w:pPr>
              <w:ind w:left="220"/>
              <w:spacing w:after="0"/>
              <w:rPr>
                <w:sz w:val="20"/>
                <w:szCs w:val="20"/>
                <w:color w:val="auto"/>
              </w:rPr>
            </w:pPr>
            <w:r>
              <w:rPr>
                <w:rFonts w:ascii="Arial" w:cs="Arial" w:eastAsia="Arial" w:hAnsi="Arial"/>
                <w:sz w:val="18"/>
                <w:szCs w:val="18"/>
                <w:b w:val="1"/>
                <w:bCs w:val="1"/>
                <w:color w:val="auto"/>
                <w:w w:val="88"/>
              </w:rPr>
              <w:t>Common Shares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6"/>
          </w:tcPr>
          <w:p>
            <w:pPr>
              <w:jc w:val="right"/>
              <w:ind w:right="221"/>
              <w:spacing w:after="0"/>
              <w:rPr>
                <w:sz w:val="20"/>
                <w:szCs w:val="20"/>
                <w:color w:val="auto"/>
              </w:rPr>
            </w:pPr>
            <w:r>
              <w:rPr>
                <w:rFonts w:ascii="Arial" w:cs="Arial" w:eastAsia="Arial" w:hAnsi="Arial"/>
                <w:sz w:val="18"/>
                <w:szCs w:val="18"/>
                <w:b w:val="1"/>
                <w:bCs w:val="1"/>
                <w:color w:val="auto"/>
                <w:w w:val="93"/>
              </w:rPr>
              <w:t>Treasury Shares</w:t>
            </w:r>
          </w:p>
        </w:tc>
        <w:tc>
          <w:tcPr>
            <w:tcW w:w="10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rPr>
              <w:t>Subscription</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8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9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88"/>
              </w:rPr>
              <w:t>Amount</w:t>
            </w:r>
          </w:p>
        </w:tc>
        <w:tc>
          <w:tcPr>
            <w:tcW w:w="200" w:type="dxa"/>
            <w:vAlign w:val="bottom"/>
          </w:tcPr>
          <w:p>
            <w:pPr>
              <w:spacing w:after="0"/>
              <w:rPr>
                <w:sz w:val="18"/>
                <w:szCs w:val="18"/>
                <w:color w:val="auto"/>
              </w:rPr>
            </w:pPr>
          </w:p>
        </w:tc>
        <w:tc>
          <w:tcPr>
            <w:tcW w:w="760" w:type="dxa"/>
            <w:vAlign w:val="bottom"/>
            <w:tcBorders>
              <w:top w:val="single" w:sz="8" w:color="auto"/>
            </w:tcBorders>
            <w:gridSpan w:val="2"/>
          </w:tcPr>
          <w:p>
            <w:pPr>
              <w:jc w:val="right"/>
              <w:ind w:right="101"/>
              <w:spacing w:after="0"/>
              <w:rPr>
                <w:sz w:val="20"/>
                <w:szCs w:val="20"/>
                <w:color w:val="auto"/>
              </w:rPr>
            </w:pPr>
            <w:r>
              <w:rPr>
                <w:rFonts w:ascii="Arial" w:cs="Arial" w:eastAsia="Arial" w:hAnsi="Arial"/>
                <w:sz w:val="18"/>
                <w:szCs w:val="18"/>
                <w:b w:val="1"/>
                <w:bCs w:val="1"/>
                <w:color w:val="auto"/>
                <w:w w:val="93"/>
              </w:rPr>
              <w:t>Shares</w:t>
            </w:r>
          </w:p>
        </w:tc>
        <w:tc>
          <w:tcPr>
            <w:tcW w:w="70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88"/>
              </w:rPr>
              <w:t>Amount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Receivable</w:t>
            </w:r>
          </w:p>
        </w:tc>
        <w:tc>
          <w:tcPr>
            <w:tcW w:w="180" w:type="dxa"/>
            <w:vAlign w:val="bottom"/>
          </w:tcPr>
          <w:p>
            <w:pPr>
              <w:spacing w:after="0"/>
              <w:rPr>
                <w:sz w:val="18"/>
                <w:szCs w:val="18"/>
                <w:color w:val="auto"/>
              </w:rPr>
            </w:pPr>
          </w:p>
        </w:tc>
        <w:tc>
          <w:tcPr>
            <w:tcW w:w="102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8"/>
                <w:szCs w:val="18"/>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Balances at November</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1, 2021</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52,499,051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(21,040)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316,389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(243,191)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72,773</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(5,471)</w:t>
            </w:r>
          </w:p>
        </w:tc>
        <w:tc>
          <w:tcPr>
            <w:tcW w:w="2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(5,471)</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Proceeds from stock</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options exercises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for</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3,330,162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gain/(loss)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2"/>
        </w:trPr>
        <w:tc>
          <w:tcPr>
            <w:tcW w:w="1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31,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55,894,213</w:t>
            </w: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w:t>
            </w:r>
          </w:p>
        </w:tc>
        <w:tc>
          <w:tcPr>
            <w:tcW w:w="20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Borders>
              <w:top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322,626</w:t>
            </w: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(248,617</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73,542</w:t>
            </w: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233"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12"/>
          </w:tcPr>
          <w:p>
            <w:pPr>
              <w:jc w:val="right"/>
              <w:ind w:right="720"/>
              <w:spacing w:after="0"/>
              <w:rPr>
                <w:sz w:val="20"/>
                <w:szCs w:val="20"/>
                <w:color w:val="auto"/>
              </w:rPr>
            </w:pPr>
            <w:r>
              <w:rPr>
                <w:rFonts w:ascii="Arial" w:cs="Arial" w:eastAsia="Arial" w:hAnsi="Arial"/>
                <w:sz w:val="18"/>
                <w:szCs w:val="18"/>
                <w:b w:val="1"/>
                <w:bCs w:val="1"/>
                <w:color w:val="auto"/>
              </w:rPr>
              <w:t>Three Months Ended January 31, 2021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8"/>
        </w:trPr>
        <w:tc>
          <w:tcPr>
            <w:tcW w:w="1800" w:type="dxa"/>
            <w:vAlign w:val="bottom"/>
          </w:tcPr>
          <w:p>
            <w:pPr>
              <w:spacing w:after="0"/>
              <w:rPr>
                <w:sz w:val="21"/>
                <w:szCs w:val="21"/>
                <w:color w:val="auto"/>
              </w:rPr>
            </w:pPr>
          </w:p>
        </w:tc>
        <w:tc>
          <w:tcPr>
            <w:tcW w:w="1500" w:type="dxa"/>
            <w:vAlign w:val="bottom"/>
            <w:gridSpan w:val="4"/>
          </w:tcPr>
          <w:p>
            <w:pPr>
              <w:ind w:left="220"/>
              <w:spacing w:after="0"/>
              <w:rPr>
                <w:sz w:val="20"/>
                <w:szCs w:val="20"/>
                <w:color w:val="auto"/>
              </w:rPr>
            </w:pPr>
            <w:r>
              <w:rPr>
                <w:rFonts w:ascii="Arial" w:cs="Arial" w:eastAsia="Arial" w:hAnsi="Arial"/>
                <w:sz w:val="18"/>
                <w:szCs w:val="18"/>
                <w:b w:val="1"/>
                <w:bCs w:val="1"/>
                <w:color w:val="auto"/>
                <w:w w:val="88"/>
              </w:rPr>
              <w:t>Common Shares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3"/>
              </w:rPr>
              <w:t>Treasury Shares</w:t>
            </w:r>
          </w:p>
        </w:tc>
        <w:tc>
          <w:tcPr>
            <w:tcW w:w="60" w:type="dxa"/>
            <w:vAlign w:val="bottom"/>
          </w:tcPr>
          <w:p>
            <w:pPr>
              <w:spacing w:after="0"/>
              <w:rPr>
                <w:sz w:val="21"/>
                <w:szCs w:val="21"/>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Paid-In</w:t>
            </w:r>
          </w:p>
        </w:tc>
        <w:tc>
          <w:tcPr>
            <w:tcW w:w="11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Subscription</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Accumulated</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9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88"/>
              </w:rPr>
              <w:t>Amount</w:t>
            </w:r>
          </w:p>
        </w:tc>
        <w:tc>
          <w:tcPr>
            <w:tcW w:w="200" w:type="dxa"/>
            <w:vAlign w:val="bottom"/>
          </w:tcPr>
          <w:p>
            <w:pPr>
              <w:spacing w:after="0"/>
              <w:rPr>
                <w:sz w:val="18"/>
                <w:szCs w:val="18"/>
                <w:color w:val="auto"/>
              </w:rPr>
            </w:pPr>
          </w:p>
        </w:tc>
        <w:tc>
          <w:tcPr>
            <w:tcW w:w="76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3"/>
              </w:rPr>
              <w:t>Shares</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Receivable</w:t>
            </w:r>
          </w:p>
        </w:tc>
        <w:tc>
          <w:tcPr>
            <w:tcW w:w="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Balances at November</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1, 2020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24,153,554</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(302)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240,782</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(226,545)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(3,151)</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Proceeds from stock</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options exercises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175,500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common</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warrants, net of costs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677,500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(1,839)</w:t>
            </w:r>
          </w:p>
        </w:tc>
        <w:tc>
          <w:tcPr>
            <w:tcW w:w="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stock- Aspire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financing, net of</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issuance costs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1,750,000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6,740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stock- AGP At The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Market offering, net of</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23,833,255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59,914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Acquisition of treasury</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stock</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(16,789)</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gain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line="201" w:lineRule="exact"/>
              <w:rPr>
                <w:sz w:val="20"/>
                <w:szCs w:val="20"/>
                <w:color w:val="auto"/>
              </w:rPr>
            </w:pPr>
            <w:r>
              <w:rPr>
                <w:rFonts w:ascii="Arial" w:cs="Arial" w:eastAsia="Arial" w:hAnsi="Arial"/>
                <w:sz w:val="18"/>
                <w:szCs w:val="18"/>
                <w:color w:val="auto"/>
              </w:rPr>
              <w:t>Balances at January</w:t>
            </w: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00" w:type="dxa"/>
            <w:vAlign w:val="bottom"/>
            <w:vMerge w:val="continue"/>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7"/>
              </w:rPr>
              <w:t>50,589,809</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9"/>
              </w:rPr>
              <w:t>51</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(21,040)</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(338)</w:t>
            </w: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310,342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(1,983)</w:t>
            </w:r>
          </w:p>
        </w:tc>
        <w:tc>
          <w:tcPr>
            <w:tcW w:w="12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(229,696)</w:t>
            </w:r>
          </w:p>
        </w:tc>
        <w:tc>
          <w:tcPr>
            <w:tcW w:w="220" w:type="dxa"/>
            <w:vAlign w:val="bottom"/>
          </w:tcPr>
          <w:p>
            <w:pPr>
              <w:spacing w:after="0"/>
              <w:rPr>
                <w:sz w:val="15"/>
                <w:szCs w:val="15"/>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78,199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00" w:type="dxa"/>
            <w:vAlign w:val="bottom"/>
          </w:tcPr>
          <w:p>
            <w:pPr>
              <w:spacing w:after="0"/>
              <w:rPr>
                <w:sz w:val="20"/>
                <w:szCs w:val="20"/>
                <w:color w:val="auto"/>
              </w:rPr>
            </w:pPr>
            <w:r>
              <w:rPr>
                <w:rFonts w:ascii="Arial" w:cs="Arial" w:eastAsia="Arial" w:hAnsi="Arial"/>
                <w:sz w:val="18"/>
                <w:szCs w:val="18"/>
                <w:color w:val="auto"/>
              </w:rPr>
              <w:t>31, 2021</w:t>
            </w:r>
          </w:p>
        </w:tc>
        <w:tc>
          <w:tcPr>
            <w:tcW w:w="90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January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(13,721)</w:t>
            </w:r>
          </w:p>
        </w:tc>
        <w:tc>
          <w:tcPr>
            <w:tcW w:w="1100" w:type="dxa"/>
            <w:vAlign w:val="bottom"/>
          </w:tcPr>
          <w:p>
            <w:pPr>
              <w:jc w:val="right"/>
              <w:ind w:right="944"/>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(9,560)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 loss (gain)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fixed assets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104</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18</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right of use asset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211</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159</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Loss on disposal of property, plant and equipment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2</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extinguishment of PPP Loan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(890)</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864</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338</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(60)</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acquisition:</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237</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Contract assets</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(217)</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188</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(193)</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51</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(165)</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(589)</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1,192</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 in lease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(228)</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Contract liabilities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15</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Litigation payable</w:t>
            </w:r>
          </w:p>
        </w:tc>
        <w:tc>
          <w:tcPr>
            <w:tcW w:w="10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(1,224)</w:t>
            </w:r>
          </w:p>
        </w:tc>
        <w:tc>
          <w:tcPr>
            <w:tcW w:w="1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74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(15,787</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(319)</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for MAR acquisition, net of cash acquired</w:t>
            </w:r>
          </w:p>
        </w:tc>
        <w:tc>
          <w:tcPr>
            <w:tcW w:w="10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(3,544)</w:t>
            </w:r>
          </w:p>
        </w:tc>
        <w:tc>
          <w:tcPr>
            <w:tcW w:w="1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74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(3,863</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Paycheck Protection Program Loan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890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loan payable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467</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Payments of loan payable</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option exercises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90</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Aspire financing net of issuance costs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9,983</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Proceeds from issuance of common stock- AGP At The Market offering, net of issuance costs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66,166</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associated with exercise of common stock warrants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769</w:t>
            </w: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treasury stock</w:t>
            </w:r>
          </w:p>
        </w:tc>
        <w:tc>
          <w:tcPr>
            <w:tcW w:w="10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74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77,987</w:t>
            </w:r>
          </w:p>
        </w:tc>
        <w:tc>
          <w:tcPr>
            <w:tcW w:w="10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10"/>
        </w:trPr>
        <w:tc>
          <w:tcPr>
            <w:tcW w:w="7440" w:type="dxa"/>
            <w:vAlign w:val="bottom"/>
          </w:tcPr>
          <w:p>
            <w:pPr>
              <w:ind w:left="720"/>
              <w:spacing w:after="0"/>
              <w:rPr>
                <w:sz w:val="20"/>
                <w:szCs w:val="20"/>
                <w:color w:val="auto"/>
              </w:rPr>
            </w:pPr>
            <w:r>
              <w:rPr>
                <w:rFonts w:ascii="Arial" w:cs="Arial" w:eastAsia="Arial" w:hAnsi="Arial"/>
                <w:sz w:val="18"/>
                <w:szCs w:val="18"/>
                <w:color w:val="auto"/>
              </w:rPr>
              <w:t>Net (decrease) / increase in cash, cash equivalents and restricted cash</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(19,574)</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69,477</w:t>
            </w:r>
          </w:p>
        </w:tc>
        <w:tc>
          <w:tcPr>
            <w:tcW w:w="10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83,634</w:t>
            </w:r>
          </w:p>
        </w:tc>
        <w:tc>
          <w:tcPr>
            <w:tcW w:w="1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10,930</w:t>
            </w:r>
          </w:p>
        </w:tc>
      </w:tr>
      <w:tr>
        <w:trPr>
          <w:trHeight w:val="263"/>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80" w:type="dxa"/>
            <w:vAlign w:val="bottom"/>
            <w:tcBorders>
              <w:top w:val="single" w:sz="8" w:color="auto"/>
              <w:bottom w:val="single" w:sz="8" w:color="auto"/>
            </w:tcBorders>
          </w:tcPr>
          <w:p>
            <w:pPr>
              <w:jc w:val="right"/>
              <w:ind w:right="9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64,060</w:t>
            </w:r>
          </w:p>
        </w:tc>
        <w:tc>
          <w:tcPr>
            <w:tcW w:w="32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94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80,407</w:t>
            </w:r>
          </w:p>
        </w:tc>
        <w:tc>
          <w:tcPr>
            <w:tcW w:w="100" w:type="dxa"/>
            <w:vAlign w:val="bottom"/>
            <w:tcBorders>
              <w:bottom w:val="single" w:sz="8" w:color="CCEEFF"/>
            </w:tcBorders>
          </w:tcPr>
          <w:p>
            <w:pPr>
              <w:spacing w:after="0"/>
              <w:rPr>
                <w:sz w:val="22"/>
                <w:szCs w:val="22"/>
                <w:color w:val="auto"/>
              </w:rPr>
            </w:pPr>
          </w:p>
        </w:tc>
      </w:tr>
      <w:tr>
        <w:trPr>
          <w:trHeight w:val="197"/>
        </w:trPr>
        <w:tc>
          <w:tcPr>
            <w:tcW w:w="7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Supplemental disclosure of noncash operating activities: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financing costs reported in accrued expenses</w:t>
            </w: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44"/>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w:t>
            </w: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Acquisition of property, plant and equipment through accounts payable</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44"/>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9</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in acquisition of MAR</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5,855</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Advance payable – MAR</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456</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1,591</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Outstanding receivable for sale of shares from warrant exercises</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44"/>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1,838</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receivable for sale of shares from stock option exercises</w:t>
            </w: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44"/>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233"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Background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Ocean Power Technologies, Inc. (the “Company”) was founded in 1984 in New Jersey, commenced business operations in 1994 and re-incorporated in Delaware in 2007. We are a complete solutions provider, controlling the design, manufacturing, sales, installation, operations and maintenance of our products and services. Our solutions provide distributed offshore power which is persistent, reliable, and economical along with power and communications for remote surface and subsea applications. Historically, funding from government agencies, such as research and development grants, accounted for a significant portion of the Company’s revenues. Today our goal is to generate the majority of our revenue from the sale or lease of our products and solutions, and sales of services to support our business operations. As we continue to develop and commercialize our products and services, we expect to have a net decrease in cash due to the use of cash from operating activities unless and until we achieve positive cash flow from the commercialization of products, solutions and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10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2021, as filed with the SEC and elsewhere in this Form 10-Q. Certain items have been reclassified from prior periods to be consistent with current GAAP presentations.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Liquidity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nine months ended January 31, 2022, and the fiscal year ended April 30, 2021, the Company incurred net losses of approximately $13.7 million and $14.8 million, respectively, and used cash in operating activities of approximately $15.8 million and $11.7 million, respectively. The Company has continued to make investments in ongoing product development efforts in anticipation of future growth, including its recent acquisition of Marine Advanced Robotics, Inc., as described in Note 18.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technology development, scalability of technology and production, ability to attract and retain key personnel, concentration of customers and suppliers, deployment risks and integration of acquisitions, pending or threatened litigation, and the impact of COVID-19, and any variants on its business. The Company previously obtained equity financing through its At the Market Offering Agreement (“ATM”) with A.G.P/Alliance Global Partners (“AGP”) and through its equity line financing with Aspire Capital Fund, LLC (“Aspire Capital”), but the Company cannot be sure that additional equity and/or debt financing will be available to the Company as needed on acceptable terms, or at all. For fiscal year 2022 to date, management has not obtained any additional capital financing. Management believes the Company’s current cash balance of $63.5 million is sufficient to fund its planned expenditures through at least March 2023.</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7, 2019, the Company entered into an At the Market Offering Agreement with AGP (the “2019 ATM Facility”), under which the Company could issue and sell to or through AGP, acting as agent and/or principal, shares of the Company’s common stock having an aggregate offering price of up to $25.0 million. From inception of the program through its termination on December 8, 2020, under the 2019 ATM Facility, the Company sold and issued an aggregate of 17,595,472 shares of its common stock with an aggregate market value of $23.4 million at an average price of $1.33 per share, including 12,342,506 shares in fiscal year 2021 with an aggregate market value of $18.7 million at an average price of $1.51 per share and paid AGP a sales commission of approximately $0.8 million related to those shares. The agreement was fully utilized and terminated on December 8, 2020.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20, 2020, the Company entered into another At the Market Offering Agreement with AGP (the “2020 ATM Facility”), having capacity up to $100.0 million. On December 4, 2020, the Company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January 31, 2022, the Company had sold and issued an aggregate of 17,179,883 shares of its common stock with an aggregate market value of $50.0 million at an average price of $2.91 per share and paid AGP a sales commission of approximately $1.6 million related to those shares. A prospectus supplement was filed on January 10, 2022 to allow the Company to sell an additional $25.0 million (or an aggregate of $75.0 million) under the 2020 ATM Facility, none of which has been sold to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 Common Stock Purchase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24, 2019, the Company entered into a common stock purchase agreement with Aspire Capital which provided that, subject to certain terms, conditions and limitations, Aspire Capital was committed to purchase up to an aggregate of $10.0 million shares of the Company’s common stock over a 30-month period. Through September 18, 2020, the Company had sold an aggregate of 6,424,205 shares of common stock with an aggregate market value of $4.0 million at an average price of $0.63 per share pursuant to this common stock purchase agreement, including 5,025,000 shares in fiscal year 2021 with an aggregate market value of $2.9 million at an average price of $0.57 per share. The agreement was fully utilized and terminated on September 18, 2020.</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18, 2020, the Company entered into a new common stock purchase agreement with Aspire 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shareholders on December 23, 2020 for the sale of 9,864,706 additional shares of common stock to Aspire Capital, which exceeded the 19.99% limit of the outstanding common stock on the date of the agreement. Through January 31, 2022, the Company had sold an aggregate of 3,722,251 shares of common stock with an aggregate market value of $11.8 million at an average price of $3.17 per share pursuant to this common stock purchase agreement with approximately $1.0 million remaining on the facility as of January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consolidated financial statements requires management of the Company to make a number of estimates and assumptions relating to the reported amounts of assets and liabilities at the date of the consolidated financial statements and the reported amounts of revenues and expenses during the period. Significant items subject to such estimates and assumptions include, among other items, valuations, purchase price allocations and contingent consideration related to business combinations, expected future cash flows including growth rates, discount rates, terminal values and other assumptions and estimates used to evaluate the recoverability of long-lived assets, goodwill and other intangible assets and the related amortization methods and periods, estimated costs to complete projects and percentage of completion of customer contracts for purposes of revenue recognition. Actual results could differ from those estimates.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considers all highly liquid investments with a maturity of three months or less when purchased to be cash equivalents. The Company invests excess cash in a money market account. The following table summarizes cash and cash equivalents as of January 31, 2022 and April 30,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 2022</w:t>
            </w: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2021</w:t>
            </w:r>
          </w:p>
        </w:tc>
      </w:tr>
      <w:tr>
        <w:trPr>
          <w:trHeight w:val="224"/>
        </w:trPr>
        <w:tc>
          <w:tcPr>
            <w:tcW w:w="7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gridSpan w:val="4"/>
          </w:tcPr>
          <w:p>
            <w:pPr>
              <w:jc w:val="right"/>
              <w:ind w:right="125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9"/>
                <w:szCs w:val="19"/>
                <w:color w:val="auto"/>
              </w:rPr>
            </w:pPr>
          </w:p>
        </w:tc>
      </w:tr>
      <w:tr>
        <w:trPr>
          <w:trHeight w:val="202"/>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Money market account</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61,935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81,178</w:t>
            </w:r>
          </w:p>
        </w:tc>
      </w:tr>
      <w:tr>
        <w:trPr>
          <w:trHeight w:val="209"/>
        </w:trPr>
        <w:tc>
          <w:tcPr>
            <w:tcW w:w="74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letter of credit agreement with Santander Bank, N.A. (“Santander”). Cash of $157,000 is on deposit at Santander and serves as security for a letter of credit issued by Santander for the lease of warehouse/office space in Monroe Township, New Jersey. This agreement cannot be extended beyond July 31, 2025 and is cancellable at the discretion of Santander.</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Santander also issued two letters of credit to subsidiaries of Enel Green Power (“EGP”) pursuant to the Company’s contracts with EGP. The first letter of credit was issued in the amount of $126,000 that will be released 12 months after the PB3 PowerBuoy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(“PB3”) is fully deployed. The second letter of credit was issued in the amount of $645,000 and was reduced to $323,000 in August 2020. The second letter of credit will be reduced by $259,000 once the PB3 is fully deployed and passes final acceptance testing. The remaining restricted amount of $64,000 will be released 12 months after the buoy is fully deployed.</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total to the same amounts shown in the 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 2022</w:t>
            </w:r>
          </w:p>
        </w:tc>
        <w:tc>
          <w:tcPr>
            <w:tcW w:w="20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30, 2021</w:t>
            </w:r>
          </w:p>
        </w:tc>
      </w:tr>
      <w:tr>
        <w:trPr>
          <w:trHeight w:val="209"/>
        </w:trPr>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4"/>
          </w:tcPr>
          <w:p>
            <w:pPr>
              <w:jc w:val="right"/>
              <w:ind w:right="1250"/>
              <w:spacing w:after="0"/>
              <w:rPr>
                <w:sz w:val="20"/>
                <w:szCs w:val="20"/>
                <w:color w:val="auto"/>
              </w:rPr>
            </w:pPr>
            <w:r>
              <w:rPr>
                <w:rFonts w:ascii="Arial" w:cs="Arial" w:eastAsia="Arial" w:hAnsi="Arial"/>
                <w:sz w:val="18"/>
                <w:szCs w:val="18"/>
                <w:color w:val="auto"/>
              </w:rPr>
              <w:t>(in thousands)</w:t>
            </w:r>
          </w:p>
        </w:tc>
        <w:tc>
          <w:tcPr>
            <w:tcW w:w="10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63,454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83,028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r>
      <w:tr>
        <w:trPr>
          <w:trHeight w:val="209"/>
        </w:trPr>
        <w:tc>
          <w:tcPr>
            <w:tcW w:w="74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64,060</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83,634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Concentration of Credit Risk</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instruments that potentially subject the Company to credit risk consist principally of accounts receivable and cash and cash equivalents. The Company believes that its current contracts do not represent a risk of collectability on its receivables. The Company invests its excess cash in a money market account and does not believe that it is exposed to any significant risks related to its cash and money market accounts. Cash and cash equivalents are also maintained at foreign financial institutions. Cash and cash equivalents in foreign financial institutions as of January 31, 2022 was $30,000.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shows the amount of the Company’s revenues derived from customers whose revenues accounted for at least 10% of the Company’s consolidated revenues for at least one of the periods indicated:</w:t>
      </w:r>
    </w:p>
    <w:p>
      <w:pPr>
        <w:sectPr>
          <w:pgSz w:w="11900" w:h="16838" w:orient="portrait"/>
          <w:cols w:equalWidth="0" w:num="1">
            <w:col w:w="11240"/>
          </w:cols>
          <w:pgMar w:left="320" w:top="233" w:right="339" w:bottom="1440" w:gutter="0" w:footer="0" w:header="0"/>
        </w:sectPr>
      </w:pPr>
    </w:p>
    <w:p>
      <w:pPr>
        <w:spacing w:after="0" w:line="166" w:lineRule="exact"/>
        <w:rPr>
          <w:sz w:val="20"/>
          <w:szCs w:val="20"/>
          <w:color w:val="auto"/>
        </w:rPr>
      </w:pPr>
    </w:p>
    <w:p>
      <w:pPr>
        <w:jc w:val="center"/>
        <w:ind w:left="428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31750</wp:posOffset>
            </wp:positionV>
            <wp:extent cx="2091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4840"/>
        <w:spacing w:after="0"/>
        <w:tabs>
          <w:tab w:leader="none" w:pos="664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Nine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31750</wp:posOffset>
            </wp:positionV>
            <wp:extent cx="2040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19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3" w:lineRule="exact"/>
        <w:rPr>
          <w:sz w:val="20"/>
          <w:szCs w:val="20"/>
          <w:color w:val="auto"/>
        </w:rPr>
      </w:pPr>
    </w:p>
    <w:p>
      <w:pPr>
        <w:sectPr>
          <w:pgSz w:w="11900" w:h="16838" w:orient="portrait"/>
          <w:cols w:equalWidth="0" w:num="2">
            <w:col w:w="7580" w:space="720"/>
            <w:col w:w="294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(in thousands)</w:t>
            </w: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4"/>
          </w:tcPr>
          <w:p>
            <w:pPr>
              <w:jc w:val="right"/>
              <w:ind w:right="327"/>
              <w:spacing w:after="0"/>
              <w:rPr>
                <w:sz w:val="20"/>
                <w:szCs w:val="20"/>
                <w:color w:val="auto"/>
              </w:rPr>
            </w:pPr>
            <w:r>
              <w:rPr>
                <w:rFonts w:ascii="Arial" w:cs="Arial" w:eastAsia="Arial" w:hAnsi="Arial"/>
                <w:sz w:val="18"/>
                <w:szCs w:val="18"/>
                <w:color w:val="auto"/>
              </w:rPr>
              <w:t>(in thousands)</w:t>
            </w: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5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760" w:type="dxa"/>
            <w:vAlign w:val="bottom"/>
            <w:gridSpan w:val="2"/>
            <w:shd w:val="clear" w:color="auto" w:fill="CCEEFF"/>
          </w:tcPr>
          <w:p>
            <w:pPr>
              <w:jc w:val="right"/>
              <w:ind w:right="587"/>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Department of Energy</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102</w:t>
            </w:r>
          </w:p>
        </w:tc>
        <w:tc>
          <w:tcPr>
            <w:tcW w:w="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ACET</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Valaris (1)</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Brigham Young University (2)</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Nippon Kaiyo (2)</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Naval Surface Warfare Center (2)</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98</w:t>
            </w:r>
          </w:p>
        </w:tc>
        <w:tc>
          <w:tcPr>
            <w:tcW w:w="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(no customer over 10%)</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w:t>
            </w:r>
          </w:p>
        </w:tc>
        <w:tc>
          <w:tcPr>
            <w:tcW w:w="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3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3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60" w:hanging="314"/>
        <w:spacing w:after="0"/>
        <w:tabs>
          <w:tab w:leader="none" w:pos="4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3Dent related consulting</w:t>
      </w:r>
    </w:p>
    <w:p>
      <w:pPr>
        <w:spacing w:after="0" w:line="23" w:lineRule="exact"/>
        <w:rPr>
          <w:rFonts w:ascii="Arial" w:cs="Arial" w:eastAsia="Arial" w:hAnsi="Arial"/>
          <w:sz w:val="18"/>
          <w:szCs w:val="18"/>
          <w:color w:val="auto"/>
        </w:rPr>
      </w:pPr>
    </w:p>
    <w:p>
      <w:pPr>
        <w:ind w:left="4560" w:hanging="314"/>
        <w:spacing w:after="0"/>
        <w:tabs>
          <w:tab w:leader="none" w:pos="4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 related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Share-Based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following table summarizes share-based compensation related to the Company’s share-based plans by expense category for the three and nine months ended January 31, 2022 and 2021:</w:t>
      </w:r>
    </w:p>
    <w:p>
      <w:pPr>
        <w:sectPr>
          <w:pgSz w:w="11900" w:h="16838" w:orient="portrait"/>
          <w:cols w:equalWidth="0" w:num="1">
            <w:col w:w="11240"/>
          </w:cols>
          <w:pgMar w:left="320" w:top="233" w:right="339" w:bottom="1440" w:gutter="0" w:footer="0" w:header="0"/>
          <w:type w:val="continuous"/>
        </w:sectPr>
      </w:pPr>
    </w:p>
    <w:p>
      <w:pPr>
        <w:spacing w:after="0" w:line="180" w:lineRule="exact"/>
        <w:rPr>
          <w:sz w:val="20"/>
          <w:szCs w:val="20"/>
          <w:color w:val="auto"/>
        </w:rPr>
      </w:pPr>
    </w:p>
    <w:p>
      <w:pPr>
        <w:jc w:val="center"/>
        <w:ind w:left="428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31750</wp:posOffset>
            </wp:positionV>
            <wp:extent cx="2091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ind w:left="4840"/>
        <w:spacing w:after="0"/>
        <w:tabs>
          <w:tab w:leader="none" w:pos="664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Nine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31750</wp:posOffset>
            </wp:positionV>
            <wp:extent cx="2040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19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3" w:lineRule="exact"/>
        <w:rPr>
          <w:sz w:val="20"/>
          <w:szCs w:val="20"/>
          <w:color w:val="auto"/>
        </w:rPr>
      </w:pPr>
    </w:p>
    <w:p>
      <w:pPr>
        <w:sectPr>
          <w:pgSz w:w="11900" w:h="16838" w:orient="portrait"/>
          <w:cols w:equalWidth="0" w:num="2">
            <w:col w:w="7580" w:space="720"/>
            <w:col w:w="294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(in thousands)</w:t>
            </w: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(in thousands)</w:t>
            </w: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w:t>
            </w:r>
          </w:p>
        </w:tc>
        <w:tc>
          <w:tcPr>
            <w:tcW w:w="12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w:t>
            </w:r>
          </w:p>
        </w:tc>
        <w:tc>
          <w:tcPr>
            <w:tcW w:w="9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83</w:t>
            </w:r>
          </w:p>
        </w:tc>
        <w:tc>
          <w:tcPr>
            <w:tcW w:w="6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r>
      <w:tr>
        <w:trPr>
          <w:trHeight w:val="21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January 31, 2022 or 2021. The Company presents shipping and handling costs, that occur after control of the promised goods or services transfer to the customer, as fulfillment costs rather than evaluating whether the shipping and handling activities are promised services to the customer.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incentive awards, change orders, claims, anticipated losses, and others are recorded in the accounting period in which the events indicating a loss are known and the loss can be reasonably estimated. These loss projects are re-assessed for each subsequent reporting period until the project is complete. Such revisions could occur at any time and the effects may be material.</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and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nine-month periods ended January 31, 2022 and 2021, all of the Company’s contracts were classified as firm fixed price.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31, 2022, the Company’s total remaining performance obligations, also referred to as backlog, totaled $0.8 million. The Company expects to recognize 100% of the remaining performance obligations as revenue over the next twelve months.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enters into lease arrangements for its PB3 and our Wave Adaptive Modular Vessels (“WAM-V”) with certain customers.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Solutions Leasing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enters into lease arrangements with certain customers for their products and solutions. As of January 31, 2022, the Company had one lease arrangement with a remaining operating lease term of less than 7 months.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classifies leases as either operating or financing in accordance with the authoritative accounting guidance contained within ASC Topic 842,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At inception of the contract, the Company evaluates the lease against the lease classification criteria within ASC Topic 842. If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or sales-type classification criteria are met, then the lease is accounted for as a finance lease. All other leases are treated as operating leases.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recognizes revenue from operating lease arrangements generally on a straight-line basis over the lease term which is presented in Revenues in the Consolidated Statements of Operations. The lease revenue for the nine months ended January 31, 2022 and 2021 was immaterial.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Net Loss per Common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and diluted net loss per common share for all periods presented is computed by dividing net loss by the weighted average number of shares of common stock and common stock equivalents outstanding during the periods. The pre-funded warrants were determined to be common stock equivalents and have been included in the weighted average number of shares outstanding for calculation of basic net loss per common share . Due to the Company’s net losses, potentially dilutive securities, consisting of options to purchase shares of common stock, warrants on common stock and unvested restricted stock issued to employees and non-employee directors, were excluded from the diluted net loss per common share calculation due to their anti-dilutive effect.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computing diluted net loss per common share on the Consolidated Statements of Operations, warrants exercisable for common stock, options to purchase shares of common stock and non-vested restricted stock issued to employees and non-employee directors, totaling 6,356,123 and 5,221,258 for the nine months ended January 31, 2022 and 2021, respectively, were excluded from each of the computations as the effect would be anti-dilutive due to the Company’s net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Recently Issued Accounting Standards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Financial Accounting Standards Board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This amendment replaces the incurred loss impairment methodology in current GAAP with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Instruments—Credit Losses (Topic 326), Derivatives and Hedging (Topic 815), and Leases (Topic 842)</w:t>
      </w:r>
      <w:r>
        <w:rPr>
          <w:rFonts w:ascii="Arial" w:cs="Arial" w:eastAsia="Arial" w:hAnsi="Arial"/>
          <w:sz w:val="17"/>
          <w:szCs w:val="17"/>
          <w:color w:val="auto"/>
        </w:rPr>
        <w:t>, which deferred the effective date of 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for Smaller Reporting Companies for fiscal years beginning after December 15, 2022, including interim periods within those fiscal years. The Company is currently evaluating the impact of the adoption of ASU 2016-13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 Receivable and Contract Assets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provides further details on the balance sheet accounts of accounts receivable and contract assets from contracts with customers: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January 31, 2022</w:t>
            </w:r>
          </w:p>
        </w:tc>
        <w:tc>
          <w:tcPr>
            <w:tcW w:w="36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2021</w:t>
            </w:r>
          </w:p>
        </w:tc>
      </w:tr>
      <w:tr>
        <w:trPr>
          <w:trHeight w:val="210"/>
        </w:trPr>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3"/>
          </w:tcPr>
          <w:p>
            <w:pPr>
              <w:jc w:val="right"/>
              <w:ind w:right="125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18"/>
                <w:szCs w:val="18"/>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407</w:t>
            </w:r>
          </w:p>
        </w:tc>
        <w:tc>
          <w:tcPr>
            <w:tcW w:w="3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to its customers, generally without collateral, under normal payment terms (typically 30 to 60 days after invoicing). Generally, invoicing occurs after the related services are performed or control of goods have transferred to the customer. Accounts receivable represent an unconditional right to consideration arising from the Company’s performance under contracts with customers. The carrying value of such receivables represents their estimated realizable value.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Contract assets include unbilled amounts typically resulting from arrangements whereby the right to payment is conditioned on completing additional tasks or services for a performance obligation. Significant changes in the contract assets balance during the period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January 31, 2022</w:t>
            </w:r>
          </w:p>
        </w:tc>
        <w:tc>
          <w:tcPr>
            <w:tcW w:w="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6"/>
              <w:spacing w:after="0"/>
              <w:rPr>
                <w:sz w:val="20"/>
                <w:szCs w:val="20"/>
                <w:color w:val="auto"/>
              </w:rPr>
            </w:pPr>
            <w:r>
              <w:rPr>
                <w:rFonts w:ascii="Arial" w:cs="Arial" w:eastAsia="Arial" w:hAnsi="Arial"/>
                <w:sz w:val="18"/>
                <w:szCs w:val="18"/>
                <w:color w:val="auto"/>
                <w:w w:val="89"/>
              </w:rPr>
              <w:t>(in thousands)</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Transferred to receivables from contract assets recognized at the beginning of the period</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Revenue recognized and not billed as of the end of the period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contract assets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(4) Other Current Assets</w:t>
            </w: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Other current assets consisted of the following at January 31, 2022 and April 30, 2021:</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January 31, 2022</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30, 2021</w:t>
            </w: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5"/>
          </w:tcPr>
          <w:p>
            <w:pPr>
              <w:jc w:val="right"/>
              <w:ind w:right="956"/>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1600" w:type="dxa"/>
            <w:vAlign w:val="bottom"/>
            <w:gridSpan w:val="2"/>
            <w:shd w:val="clear" w:color="auto" w:fill="CCEEFF"/>
          </w:tcPr>
          <w:p>
            <w:pPr>
              <w:jc w:val="right"/>
              <w:ind w:right="1216"/>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software &amp; licenses</w:t>
            </w:r>
          </w:p>
        </w:tc>
        <w:tc>
          <w:tcPr>
            <w:tcW w:w="1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Prepaid sales and marketing</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recruiting</w:t>
            </w:r>
          </w:p>
        </w:tc>
        <w:tc>
          <w:tcPr>
            <w:tcW w:w="1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other</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121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487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as of January 31, 2022 and April 30, 2021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January 31, 2022</w:t>
            </w:r>
          </w:p>
        </w:tc>
        <w:tc>
          <w:tcPr>
            <w:tcW w:w="200" w:type="dxa"/>
            <w:vAlign w:val="bottom"/>
          </w:tcPr>
          <w:p>
            <w:pPr>
              <w:spacing w:after="0"/>
              <w:rPr>
                <w:sz w:val="20"/>
                <w:szCs w:val="20"/>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9"/>
              </w:rPr>
              <w:t>April 30, 2021</w:t>
            </w:r>
          </w:p>
        </w:tc>
      </w:tr>
      <w:tr>
        <w:trPr>
          <w:trHeight w:val="210"/>
        </w:trPr>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4"/>
          </w:tcPr>
          <w:p>
            <w:pPr>
              <w:jc w:val="right"/>
              <w:ind w:right="1250"/>
              <w:spacing w:after="0"/>
              <w:rPr>
                <w:sz w:val="20"/>
                <w:szCs w:val="20"/>
                <w:color w:val="auto"/>
              </w:rPr>
            </w:pPr>
            <w:r>
              <w:rPr>
                <w:rFonts w:ascii="Arial" w:cs="Arial" w:eastAsia="Arial" w:hAnsi="Arial"/>
                <w:sz w:val="18"/>
                <w:szCs w:val="18"/>
                <w:color w:val="auto"/>
              </w:rPr>
              <w:t>(in thousands)</w:t>
            </w:r>
          </w:p>
        </w:tc>
        <w:tc>
          <w:tcPr>
            <w:tcW w:w="10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equipment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(1,317)</w:t>
            </w:r>
          </w:p>
        </w:tc>
        <w:tc>
          <w:tcPr>
            <w:tcW w:w="2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(1,213)</w:t>
            </w:r>
          </w:p>
        </w:tc>
      </w:tr>
      <w:tr>
        <w:trPr>
          <w:trHeight w:val="223"/>
        </w:trPr>
        <w:tc>
          <w:tcPr>
            <w:tcW w:w="7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approximately $104,000 and $106,000 for the nine month periods ended January 31, 2022 and 2021,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Information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January 31, 2022, the Company has one lease which has been classified as an operating lease per accounting guidance contained within ASC Topic 842,” </w:t>
      </w:r>
      <w:r>
        <w:rPr>
          <w:rFonts w:ascii="Arial" w:cs="Arial" w:eastAsia="Arial" w:hAnsi="Arial"/>
          <w:sz w:val="18"/>
          <w:szCs w:val="18"/>
          <w:i w:val="1"/>
          <w:iCs w:val="1"/>
          <w:color w:val="auto"/>
        </w:rPr>
        <w:t>Leases”</w:t>
      </w:r>
      <w:r>
        <w:rPr>
          <w:rFonts w:ascii="Arial" w:cs="Arial" w:eastAsia="Arial" w:hAnsi="Arial"/>
          <w:sz w:val="18"/>
          <w:szCs w:val="18"/>
          <w:color w:val="auto"/>
        </w:rPr>
        <w:t>. The Company’s remaining term on this operating lease is less than 7 months. The maturity of lease payments remaining on this lease is immaterial.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Information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lease for its facility located in Monroe Township, New Jersey that is used as warehouse/production space and the Company’s principal offices and corporate headquarters. The initial lease term is for seven years which expires in November of 2024 with an option to extend the lease for another five years. The lease is classified as an operating lease. The operating lease is included in right-of-use assets, lease liabilities- current and lease liabilities- long-term on the Company’s Consolidated Balance Sheets.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also has two leases for properties located in Houston, Texas. The first was acquired as part of the 3Dent acquisition (see Note 18) that is used as office space. The lease term is for 3 years and is set to expire in January of 2023. The lease is classified as an operating lease and included in the right-of-use assets, lease liabilities- current and lease liabilities- long-term on the Company’s Consolidated Balance Sheets.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other Houston lease is for additional office space and was renewed for a 12-month term ending on June 30, 2022. In accordance with ASC 842-20-5-2, since the lease term at the time of renewal was 12 months, the asset was recognized directly to the profit and loss statement on a straight-line basis and was not recognized as a right-of-use asset.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has a lease with the University of California Berkeley in Berkeley, California that was acquired as part of the MAR acquisition (see Note 18). The lease expires on June 30, 2022. In accordance with ASC 842-20-5-2, since the remaining lease term at the time of the acquisition of MAR was less than 12 months, the asset was recognized directly to the profit and loss statement on a straight-line basis and was not recognized as a right-of-use asset.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Lease expense for minimum lease payments is recognized on a straight- line basis over the lease term and consists of interest on the lease liability and the amortization of the right of use asset. Variable lease expenses, if any, are recorded as incurred.</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operating lease cash flow payments for the three months ended January 31, 2022 and 2021 were $111,000 and $91,000, respectively. The operating lease cash flow payments for the nine months ended January 31, 2022 and 2021 were $315,000 and $259,000,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components of lease expense in the Consolidated Statements of Operations for the three and nine months ended January 31, 2022 and 2021 were as follows:</w:t>
      </w:r>
    </w:p>
    <w:p>
      <w:pPr>
        <w:sectPr>
          <w:pgSz w:w="11900" w:h="16838" w:orient="portrait"/>
          <w:cols w:equalWidth="0" w:num="1">
            <w:col w:w="11240"/>
          </w:cols>
          <w:pgMar w:left="320" w:top="233" w:right="339" w:bottom="1440" w:gutter="0" w:footer="0" w:header="0"/>
        </w:sectPr>
      </w:pPr>
    </w:p>
    <w:p>
      <w:pPr>
        <w:spacing w:after="0" w:line="166" w:lineRule="exact"/>
        <w:rPr>
          <w:sz w:val="20"/>
          <w:szCs w:val="20"/>
          <w:color w:val="auto"/>
        </w:rPr>
      </w:pPr>
    </w:p>
    <w:p>
      <w:pPr>
        <w:jc w:val="center"/>
        <w:ind w:left="428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31750</wp:posOffset>
            </wp:positionV>
            <wp:extent cx="2091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4840"/>
        <w:spacing w:after="0"/>
        <w:tabs>
          <w:tab w:leader="none" w:pos="664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Nine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31750</wp:posOffset>
            </wp:positionV>
            <wp:extent cx="2040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19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3" w:lineRule="exact"/>
        <w:rPr>
          <w:sz w:val="20"/>
          <w:szCs w:val="20"/>
          <w:color w:val="auto"/>
        </w:rPr>
      </w:pPr>
    </w:p>
    <w:p>
      <w:pPr>
        <w:sectPr>
          <w:pgSz w:w="11900" w:h="16838" w:orient="portrait"/>
          <w:cols w:equalWidth="0" w:num="2">
            <w:col w:w="7580" w:space="720"/>
            <w:col w:w="294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1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(in thousands)</w:t>
            </w: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6"/>
          </w:tcPr>
          <w:p>
            <w:pPr>
              <w:ind w:left="360"/>
              <w:spacing w:after="0"/>
              <w:rPr>
                <w:sz w:val="20"/>
                <w:szCs w:val="20"/>
                <w:color w:val="auto"/>
              </w:rPr>
            </w:pPr>
            <w:r>
              <w:rPr>
                <w:rFonts w:ascii="Arial" w:cs="Arial" w:eastAsia="Arial" w:hAnsi="Arial"/>
                <w:sz w:val="18"/>
                <w:szCs w:val="18"/>
                <w:color w:val="auto"/>
              </w:rPr>
              <w:t>(in thousands)</w:t>
            </w:r>
          </w:p>
        </w:tc>
        <w:tc>
          <w:tcPr>
            <w:tcW w:w="3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8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18"/>
                <w:szCs w:val="18"/>
                <w:color w:val="auto"/>
              </w:rPr>
            </w:pPr>
          </w:p>
        </w:tc>
        <w:tc>
          <w:tcPr>
            <w:tcW w:w="760" w:type="dxa"/>
            <w:vAlign w:val="bottom"/>
            <w:gridSpan w:val="4"/>
          </w:tcPr>
          <w:p>
            <w:pPr>
              <w:ind w:left="52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60" w:type="dxa"/>
            <w:vAlign w:val="bottom"/>
            <w:gridSpan w:val="10"/>
          </w:tcPr>
          <w:p>
            <w:pPr>
              <w:spacing w:after="0"/>
              <w:rPr>
                <w:sz w:val="20"/>
                <w:szCs w:val="20"/>
                <w:color w:val="auto"/>
              </w:rPr>
            </w:pPr>
            <w:r>
              <w:rPr>
                <w:rFonts w:ascii="Arial" w:cs="Arial" w:eastAsia="Arial" w:hAnsi="Arial"/>
                <w:sz w:val="18"/>
                <w:szCs w:val="18"/>
                <w:color w:val="auto"/>
                <w:w w:val="94"/>
              </w:rPr>
              <w:t>Information related to the Company’s right-of use assets and lease liabilities as of January 31, 2022 was as follows: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gridSpan w:val="5"/>
          </w:tcPr>
          <w:p>
            <w:pPr>
              <w:ind w:left="40"/>
              <w:spacing w:after="0"/>
              <w:rPr>
                <w:sz w:val="20"/>
                <w:szCs w:val="20"/>
                <w:color w:val="auto"/>
              </w:rPr>
            </w:pPr>
            <w:r>
              <w:rPr>
                <w:rFonts w:ascii="Arial" w:cs="Arial" w:eastAsia="Arial" w:hAnsi="Arial"/>
                <w:sz w:val="18"/>
                <w:szCs w:val="18"/>
                <w:b w:val="1"/>
                <w:bCs w:val="1"/>
                <w:color w:val="auto"/>
              </w:rPr>
              <w:t>January 31, 2022</w:t>
            </w: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w w:val="89"/>
              </w:rPr>
              <w:t>(in thousands)</w:t>
            </w:r>
          </w:p>
        </w:tc>
        <w:tc>
          <w:tcPr>
            <w:tcW w:w="3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lease:</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200" w:type="dxa"/>
            <w:vAlign w:val="bottom"/>
            <w:gridSpan w:val="2"/>
          </w:tcPr>
          <w:p>
            <w:pPr>
              <w:spacing w:after="0"/>
              <w:rPr>
                <w:sz w:val="20"/>
                <w:szCs w:val="20"/>
                <w:color w:val="auto"/>
              </w:rPr>
            </w:pPr>
            <w:r>
              <w:rPr>
                <w:rFonts w:ascii="Arial" w:cs="Arial" w:eastAsia="Arial" w:hAnsi="Arial"/>
                <w:sz w:val="18"/>
                <w:szCs w:val="18"/>
                <w:color w:val="auto"/>
              </w:rPr>
              <w:t>Operating right-of-use asset, net</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18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Right-of-use liability- current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Right-of-use liability- long term</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lease liability</w:t>
            </w: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w w:val="90"/>
              </w:rPr>
              <w:t>Weighted average remaining lease term- operating leases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jc w:val="right"/>
              <w:ind w:right="160"/>
              <w:spacing w:after="0"/>
              <w:rPr>
                <w:sz w:val="20"/>
                <w:szCs w:val="20"/>
                <w:color w:val="auto"/>
              </w:rPr>
            </w:pPr>
            <w:r>
              <w:rPr>
                <w:rFonts w:ascii="Arial" w:cs="Arial" w:eastAsia="Arial" w:hAnsi="Arial"/>
                <w:sz w:val="18"/>
                <w:szCs w:val="18"/>
                <w:color w:val="auto"/>
              </w:rPr>
              <w:t>2.61 years</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 operating leases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32"/>
        </w:trPr>
        <w:tc>
          <w:tcPr>
            <w:tcW w:w="6920" w:type="dxa"/>
            <w:vAlign w:val="bottom"/>
            <w:gridSpan w:val="7"/>
          </w:tcPr>
          <w:p>
            <w:pPr>
              <w:spacing w:after="0"/>
              <w:rPr>
                <w:sz w:val="20"/>
                <w:szCs w:val="20"/>
                <w:color w:val="auto"/>
              </w:rPr>
            </w:pPr>
            <w:r>
              <w:rPr>
                <w:rFonts w:ascii="Arial" w:cs="Arial" w:eastAsia="Arial" w:hAnsi="Arial"/>
                <w:sz w:val="18"/>
                <w:szCs w:val="18"/>
                <w:color w:val="auto"/>
              </w:rPr>
              <w:t>Total remaining lease payments under the Company’s operating leases are as follows: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gridSpan w:val="5"/>
          </w:tcPr>
          <w:p>
            <w:pPr>
              <w:ind w:left="100"/>
              <w:spacing w:after="0"/>
              <w:rPr>
                <w:sz w:val="20"/>
                <w:szCs w:val="20"/>
                <w:color w:val="auto"/>
              </w:rPr>
            </w:pPr>
            <w:r>
              <w:rPr>
                <w:rFonts w:ascii="Arial" w:cs="Arial" w:eastAsia="Arial" w:hAnsi="Arial"/>
                <w:sz w:val="18"/>
                <w:szCs w:val="18"/>
                <w:b w:val="1"/>
                <w:bCs w:val="1"/>
                <w:color w:val="auto"/>
              </w:rPr>
              <w:t>January 31, 2022</w:t>
            </w: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w w:val="89"/>
              </w:rPr>
              <w:t>(in thousands)</w:t>
            </w:r>
          </w:p>
        </w:tc>
        <w:tc>
          <w:tcPr>
            <w:tcW w:w="3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year 2022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2023</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2025</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at January 31, 2022 and April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 2022</w:t>
            </w: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2021</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8"/>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Contract loss reserve</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bottom w:val="single" w:sz="8" w:color="CCEEFF"/>
            </w:tcBorders>
            <w:shd w:val="clear" w:color="auto" w:fill="CCEEFF"/>
          </w:tcPr>
          <w:p>
            <w:pPr>
              <w:spacing w:after="0"/>
              <w:rPr>
                <w:sz w:val="18"/>
                <w:szCs w:val="18"/>
                <w:color w:val="auto"/>
              </w:rPr>
            </w:pPr>
          </w:p>
        </w:tc>
        <w:tc>
          <w:tcPr>
            <w:tcW w:w="35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80" w:type="dxa"/>
            <w:vAlign w:val="bottom"/>
            <w:vMerge w:val="restart"/>
          </w:tcPr>
          <w:p>
            <w:pPr>
              <w:jc w:val="right"/>
              <w:ind w:right="163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8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Classified Warrants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20,850 shares of Common Stock together with warrants to purchase up to an aggregate of 7,298 shares of Common Stock. Each share of common stock was sold together with a warrant to purchase 0.35 of a share of common stock at a combined purchase price of $92.00. The warrants have an exercise price of $121.60 per share, became exercisable on December 3, 2016 (“Initial Exercise Date”), and expired on December 3, 2021, five years following the Initial Exercise Date. As of the expiration date, none of the warrants had been exercised.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29,750 shares of Common Stock together with warrants to purchase up to an aggregate of 8,925 shares of Common Stock. Each share of common stock was sold together with a warrant to purchase 0.30 of a share of common stock at a combined purchase price of $135.00. The warrants were exercisable immediately at an exercise price of $187.20 per share. The warrants expired on January 23, 2022, the fifth (5th) anniversary of the initial exercise date of January 23, 2017. As of the expiration date, none of the warrants had been exercised.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Classified Warrants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8, 2019, the Company issued and sold 1,542,000 shares of common stock and pre-funded warrants to purchase up to 3,385,680 shares of common stock and common warrants to purchase up to 4,927,680 shares of our common stock in an underwritten public offering. The public offering price for the pre-funded warrants was equal to the public offering price of the common stock, less the $0.01 per share exercise price of each warrant. The pre-funded warrants have no expiration date. As of January 31, 2022, all of the pre-funded warrants had been exercised. The common stock warrants have an exercise price of $3.85 per share and expire five years from the issuance date. As of January 31, 2022, all of the common warrants had been exercised.</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warrants issued in connection with its June 2016 and July 2016 public offerings in accordance with the guidance on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in Topic 480 which provides that the Company classify the warrant instruments as a liability at its fair value. The warrant liabilities are subject to re-measurement at each balance sheet date using the Black-Scholes option pricing model. The June 2016 and July 2016 warrants contained a feature whereby they could require the transfer of assets and therefore are classified as a liability award in accordance with the guidance in Topic 480. The warrants were all expired as of January 31, 2022 and had a value near zero as of April 30, 2021. The pre-funded and common warrants issued in the Company’s April 8, 2019 public offering did not meet the criteria to be classified as a liability award and therefore were treated as an equity award and recorded as a component of shareholders’ equity in the Consolidated Balance Sheets.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Paycheck Protection Program Loan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the U.S. Government passed into law the Coronavirus Aid, Relief and Economic Security Act, or the (“CARES Act”). On May 3, 2020, the Company signed a Paycheck Protection Program (“PPP”) loan with Santander as the lender for approximately $890,000 in support through the Small Business Association (“SBA”) under the PPP Loan. The PPP Loan was unsecured and evidenced by a note in favor of Santander as the lender and governed by a Loan Agreement with Santander. The Company received the proceeds on May 5, 2020.</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filed its loan forgiveness application at the end of February 2021 asking for 100% forgiveness of the loan. In June 2021, the Company was informed that its application was approved, and that the loan is now fully forgiven. The Company recognized a gain on extinguishment of PPP loan of approximately $890,000 during the nine months ended October 31, 2021 as reflected on the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January 31, 2022, no shares of preferred stock had been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authorized 100,000,000 shares of common stock with a par value of $0.001 per share. As of January 31, 2022, 55,894,213 shares had been issued and are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each of the nine months ended January 31, 2022 and 2021, no shares of common stock were purchased by the Company from employees to pay taxes related to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2015, upon approval by the Company’s shareholders,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January 31, 2022, the Company has 696,627 shares available for future issuance under the 2015 Plan which reflects adjustments made for the departure of our former CEO as well as other departures.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711(a) of the NYSE American Company Guide, awards under the Inducement Plan may only be made to individuals not previously employed by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January 31, 2022, there were 11,487 shares available for grant under the 2018 Inducement Plan. On February 9, 2022 the 2018 Inducement Plan was amended to increase the authorized shares by 250,000 to 275,000.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estimates the fair value of each stock option award granted with service-based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is estimated using the “simplified” method as permitted by the SEC’s Staff Accounting Bulletin No. 110,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Expected volatility is based on the Company’s historical volatility over the expected life of the stock option granted. The Company granted options to acquire 793,850 and 248,876 shares of stock options during the three and nine months ended January 31, 2022 and 2021, respectively. The following assumptions were used to value the awards:</w:t>
      </w:r>
    </w:p>
    <w:p>
      <w:pPr>
        <w:spacing w:after="0" w:line="160"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Nine months ended 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121.9%</w:t>
            </w:r>
          </w:p>
        </w:tc>
        <w:tc>
          <w:tcPr>
            <w:tcW w:w="1840" w:type="dxa"/>
            <w:vAlign w:val="bottom"/>
            <w:gridSpan w:val="4"/>
          </w:tcPr>
          <w:p>
            <w:pPr>
              <w:jc w:val="right"/>
              <w:ind w:right="20"/>
              <w:spacing w:after="0"/>
              <w:rPr>
                <w:sz w:val="20"/>
                <w:szCs w:val="20"/>
                <w:color w:val="auto"/>
              </w:rPr>
            </w:pPr>
            <w:r>
              <w:rPr>
                <w:rFonts w:ascii="Arial" w:cs="Arial" w:eastAsia="Arial" w:hAnsi="Arial"/>
                <w:sz w:val="18"/>
                <w:szCs w:val="18"/>
                <w:color w:val="auto"/>
              </w:rPr>
              <w:t>136.5%</w:t>
            </w:r>
          </w:p>
        </w:tc>
      </w:tr>
      <w:tr>
        <w:trPr>
          <w:trHeight w:val="418"/>
        </w:trPr>
        <w:tc>
          <w:tcPr>
            <w:tcW w:w="7360" w:type="dxa"/>
            <w:vAlign w:val="bottom"/>
            <w:gridSpan w:val="3"/>
          </w:tcPr>
          <w:p>
            <w:pPr>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18"/>
                <w:szCs w:val="18"/>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30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160" w:type="dxa"/>
            <w:vAlign w:val="bottom"/>
          </w:tcPr>
          <w:p>
            <w:pPr>
              <w:jc w:val="center"/>
              <w:ind w:left="430"/>
              <w:spacing w:after="0"/>
              <w:rPr>
                <w:sz w:val="20"/>
                <w:szCs w:val="20"/>
                <w:color w:val="auto"/>
              </w:rPr>
            </w:pPr>
            <w:r>
              <w:rPr>
                <w:rFonts w:ascii="Arial" w:cs="Arial" w:eastAsia="Arial" w:hAnsi="Arial"/>
                <w:sz w:val="18"/>
                <w:szCs w:val="18"/>
                <w:b w:val="1"/>
                <w:bCs w:val="1"/>
                <w:color w:val="auto"/>
                <w:w w:val="90"/>
              </w:rPr>
              <w:t>Average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530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Underlying</w:t>
            </w:r>
          </w:p>
        </w:tc>
        <w:tc>
          <w:tcPr>
            <w:tcW w:w="100" w:type="dxa"/>
            <w:vAlign w:val="bottom"/>
          </w:tcPr>
          <w:p>
            <w:pPr>
              <w:spacing w:after="0"/>
              <w:rPr>
                <w:sz w:val="18"/>
                <w:szCs w:val="18"/>
                <w:color w:val="auto"/>
              </w:rPr>
            </w:pPr>
          </w:p>
        </w:tc>
        <w:tc>
          <w:tcPr>
            <w:tcW w:w="1160" w:type="dxa"/>
            <w:vAlign w:val="bottom"/>
          </w:tcPr>
          <w:p>
            <w:pPr>
              <w:jc w:val="center"/>
              <w:ind w:left="430"/>
              <w:spacing w:after="0"/>
              <w:rPr>
                <w:sz w:val="20"/>
                <w:szCs w:val="20"/>
                <w:color w:val="auto"/>
              </w:rPr>
            </w:pPr>
            <w:r>
              <w:rPr>
                <w:rFonts w:ascii="Arial" w:cs="Arial" w:eastAsia="Arial" w:hAnsi="Arial"/>
                <w:sz w:val="18"/>
                <w:szCs w:val="18"/>
                <w:b w:val="1"/>
                <w:bCs w:val="1"/>
                <w:color w:val="auto"/>
                <w:w w:val="86"/>
              </w:rPr>
              <w:t>Exercise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Term</w:t>
            </w:r>
          </w:p>
        </w:tc>
      </w:tr>
      <w:tr>
        <w:trPr>
          <w:trHeight w:val="234"/>
        </w:trPr>
        <w:tc>
          <w:tcPr>
            <w:tcW w:w="5300" w:type="dxa"/>
            <w:vAlign w:val="bottom"/>
          </w:tcPr>
          <w:p>
            <w:pPr>
              <w:spacing w:after="0"/>
              <w:rPr>
                <w:sz w:val="20"/>
                <w:szCs w:val="20"/>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160" w:type="dxa"/>
            <w:vAlign w:val="bottom"/>
          </w:tcPr>
          <w:p>
            <w:pPr>
              <w:jc w:val="center"/>
              <w:ind w:left="430"/>
              <w:spacing w:after="0"/>
              <w:rPr>
                <w:sz w:val="20"/>
                <w:szCs w:val="20"/>
                <w:color w:val="auto"/>
              </w:rPr>
            </w:pPr>
            <w:r>
              <w:rPr>
                <w:rFonts w:ascii="Arial" w:cs="Arial" w:eastAsia="Arial" w:hAnsi="Arial"/>
                <w:sz w:val="18"/>
                <w:szCs w:val="18"/>
                <w:b w:val="1"/>
                <w:bCs w:val="1"/>
                <w:color w:val="auto"/>
                <w:w w:val="90"/>
              </w:rPr>
              <w:t>Price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2021</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516,827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Granted</w:t>
            </w: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793,850</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(44,332)</w:t>
            </w:r>
          </w:p>
        </w:tc>
        <w:tc>
          <w:tcPr>
            <w:tcW w:w="126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Expired</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(1,806)</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32.62</w:t>
            </w: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Cancelled/forfeited</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(121,383)</w:t>
            </w:r>
          </w:p>
        </w:tc>
        <w:tc>
          <w:tcPr>
            <w:tcW w:w="126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January 31, 2022</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1,143,156</w:t>
            </w:r>
          </w:p>
        </w:tc>
        <w:tc>
          <w:tcPr>
            <w:tcW w:w="26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gridSpan w:val="2"/>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tcPr>
          <w:p>
            <w:pPr>
              <w:jc w:val="right"/>
              <w:ind w:right="260"/>
              <w:spacing w:after="0"/>
              <w:rPr>
                <w:sz w:val="20"/>
                <w:szCs w:val="20"/>
                <w:color w:val="auto"/>
              </w:rPr>
            </w:pPr>
            <w:r>
              <w:rPr>
                <w:rFonts w:ascii="Arial" w:cs="Arial" w:eastAsia="Arial" w:hAnsi="Arial"/>
                <w:sz w:val="18"/>
                <w:szCs w:val="18"/>
                <w:color w:val="auto"/>
              </w:rPr>
              <w:t>2.34</w:t>
            </w:r>
          </w:p>
        </w:tc>
        <w:tc>
          <w:tcPr>
            <w:tcW w:w="1840" w:type="dxa"/>
            <w:vAlign w:val="bottom"/>
            <w:tcBorders>
              <w:bottom w:val="single" w:sz="8" w:color="CCEEFF"/>
            </w:tcBorders>
            <w:gridSpan w:val="4"/>
          </w:tcPr>
          <w:p>
            <w:pPr>
              <w:jc w:val="right"/>
              <w:ind w:right="100"/>
              <w:spacing w:after="0"/>
              <w:rPr>
                <w:sz w:val="20"/>
                <w:szCs w:val="20"/>
                <w:color w:val="auto"/>
              </w:rPr>
            </w:pPr>
            <w:r>
              <w:rPr>
                <w:rFonts w:ascii="Arial" w:cs="Arial" w:eastAsia="Arial" w:hAnsi="Arial"/>
                <w:sz w:val="18"/>
                <w:szCs w:val="18"/>
                <w:color w:val="auto"/>
              </w:rPr>
              <w:t>9.4</w:t>
            </w:r>
          </w:p>
        </w:tc>
      </w:tr>
      <w:tr>
        <w:trPr>
          <w:trHeight w:val="196"/>
        </w:trPr>
        <w:tc>
          <w:tcPr>
            <w:tcW w:w="53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as of January 31, 2022</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308,481</w:t>
            </w:r>
          </w:p>
        </w:tc>
        <w:tc>
          <w:tcPr>
            <w:tcW w:w="2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970"/>
              <w:spacing w:after="0" w:line="19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shd w:val="clear" w:color="auto" w:fill="CCEEFF"/>
          </w:tcPr>
          <w:p>
            <w:pPr>
              <w:jc w:val="right"/>
              <w:ind w:right="260"/>
              <w:spacing w:after="0" w:line="190" w:lineRule="exact"/>
              <w:rPr>
                <w:sz w:val="20"/>
                <w:szCs w:val="20"/>
                <w:color w:val="auto"/>
              </w:rPr>
            </w:pPr>
            <w:r>
              <w:rPr>
                <w:rFonts w:ascii="Arial" w:cs="Arial" w:eastAsia="Arial" w:hAnsi="Arial"/>
                <w:sz w:val="18"/>
                <w:szCs w:val="18"/>
                <w:color w:val="auto"/>
              </w:rPr>
              <w:t>4.59</w:t>
            </w:r>
          </w:p>
        </w:tc>
        <w:tc>
          <w:tcPr>
            <w:tcW w:w="1840" w:type="dxa"/>
            <w:vAlign w:val="bottom"/>
            <w:tcBorders>
              <w:bottom w:val="single" w:sz="8" w:color="CCEEFF"/>
            </w:tcBorders>
            <w:gridSpan w:val="4"/>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8.1</w:t>
            </w:r>
          </w:p>
        </w:tc>
      </w:tr>
      <w:tr>
        <w:trPr>
          <w:trHeight w:val="20"/>
        </w:trPr>
        <w:tc>
          <w:tcPr>
            <w:tcW w:w="53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January 31, 2022, the total intrinsic value of outstanding and exercisable options was approximately $11,560. As of January 31, 2022, approximately 835,000 additional options were unvested, which had an intrinsic value of zero and a weighted average remaining contractual term of 9.9 years. There was approximately $183,000 and $296,000 of total recognized compensation cost related to stock options during each of the nine months ended January 31, 2022 and 2021, respectively. As of January 31, 2022, there was approximately $102,000 of total unrecognized compensation cost related to non-vested stock options granted under the plans. This cost is expected to be recognized over a weighted-average period of 1.0 year.</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acquisition of 3Dent (See Note 18) was valued at the fair value of the stock on the acquisition date of $1,451,584 (361,991 shares at $4.01). Since the share restrictions were set to expire on February 1, 2022, within one year of the closing of the acquisition, and lacked marketability, the Company applied a 20% discount to the purchase price making the adjusted fair value $1,161,267. Additionally, as the sellers must be employed for 12 months from the date of acquisition to retain all of their shares, the difference between the calculated fair value and the net assets acquired represents the value of the compensation expense to be recognized over the period of the agreed upon employment.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Borders>
              <w:top w:val="single" w:sz="8" w:color="0000EE"/>
            </w:tcBorders>
          </w:tcPr>
          <w:p>
            <w:pPr>
              <w:spacing w:after="0"/>
              <w:rPr>
                <w:sz w:val="20"/>
                <w:szCs w:val="20"/>
                <w:color w:val="auto"/>
              </w:rPr>
            </w:pPr>
          </w:p>
        </w:tc>
        <w:tc>
          <w:tcPr>
            <w:tcW w:w="4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Purchase</w:t>
            </w:r>
          </w:p>
        </w:tc>
        <w:tc>
          <w:tcPr>
            <w:tcW w:w="40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1,161,267</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Total Acquired Assets</w:t>
            </w:r>
          </w:p>
        </w:tc>
        <w:tc>
          <w:tcPr>
            <w:tcW w:w="40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(593,571)</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Acquired Liabilities</w:t>
            </w:r>
          </w:p>
        </w:tc>
        <w:tc>
          <w:tcPr>
            <w:tcW w:w="40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117,106</w:t>
            </w:r>
          </w:p>
        </w:tc>
      </w:tr>
      <w:tr>
        <w:trPr>
          <w:trHeight w:val="210"/>
        </w:trPr>
        <w:tc>
          <w:tcPr>
            <w:tcW w:w="5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Compensation Expense</w:t>
            </w:r>
          </w:p>
        </w:tc>
        <w:tc>
          <w:tcPr>
            <w:tcW w:w="33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684,802</w:t>
            </w:r>
          </w:p>
        </w:tc>
        <w:tc>
          <w:tcPr>
            <w:tcW w:w="100" w:type="dxa"/>
            <w:vAlign w:val="bottom"/>
            <w:tcBorders>
              <w:bottom w:val="single" w:sz="8" w:color="CCEEFF"/>
            </w:tcBorders>
          </w:tcPr>
          <w:p>
            <w:pPr>
              <w:spacing w:after="0"/>
              <w:rPr>
                <w:sz w:val="18"/>
                <w:szCs w:val="18"/>
                <w:color w:val="auto"/>
              </w:rPr>
            </w:pPr>
          </w:p>
        </w:tc>
      </w:tr>
      <w:tr>
        <w:trPr>
          <w:trHeight w:val="209"/>
        </w:trPr>
        <w:tc>
          <w:tcPr>
            <w:tcW w:w="5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Quarterly Compensation Expense</w:t>
            </w:r>
          </w:p>
        </w:tc>
        <w:tc>
          <w:tcPr>
            <w:tcW w:w="3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recognized approximately $171,000 of compensation expense on a quarterly basis for the consideration paid for 12 months from the acquisition date of February 2, 2021. The last of this compensation expense was recognized during the quarter ended January 31,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2020, the Company issued 81,337 performance-based stock options to two of its executives. There were 40,668 shares that were vested and outstanding, which were set to expire on December 15, 2021, all of which were exercised prior to the expiration date.</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January 2021, the Company issued 344,723 performance-based stock options to employees and executives. The awards vest over 2 years provided there is positive total shareholder return (e.g. share price increase) as measured by the closing share price on January 14, 2022 and January 14, 2023. There were 230,000 shares unvested and outstanding at January 31, 2022. None of the shares granted to our former President and CEO under this issuance vested prior to June 18, 2021, his last day of employment. These unvested shares are included in the Cancelled/forfeited figure in the table below. A summary of performance stock options under our stock incentive plans is detailed in the following table.</w:t>
      </w:r>
    </w:p>
    <w:tbl>
      <w:tblPr>
        <w:tblLayout w:type="fixed"/>
        <w:tblInd w:w="0" w:type="dxa"/>
        <w:tblCellMar>
          <w:top w:w="0" w:type="dxa"/>
          <w:left w:w="0" w:type="dxa"/>
          <w:bottom w:w="0" w:type="dxa"/>
          <w:right w:w="0" w:type="dxa"/>
        </w:tblCellMar>
      </w:tblPr>
      <w:tr>
        <w:trPr>
          <w:trHeight w:val="200"/>
        </w:trPr>
        <w:tc>
          <w:tcPr>
            <w:tcW w:w="5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jc w:val="center"/>
              <w:ind w:right="100"/>
              <w:spacing w:after="0" w:line="200"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Weighted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1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Average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1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Underlying</w:t>
            </w: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86"/>
              </w:rPr>
              <w:t>Exercise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21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Options</w:t>
            </w: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Price</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2021</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424,790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Granted</w:t>
            </w:r>
          </w:p>
        </w:tc>
        <w:tc>
          <w:tcPr>
            <w:tcW w:w="2160" w:type="dxa"/>
            <w:vAlign w:val="bottom"/>
            <w:gridSpan w:val="3"/>
          </w:tcPr>
          <w:p>
            <w:pPr>
              <w:jc w:val="right"/>
              <w:ind w:right="360"/>
              <w:spacing w:after="0"/>
              <w:rPr>
                <w:sz w:val="20"/>
                <w:szCs w:val="20"/>
                <w:color w:val="auto"/>
              </w:rPr>
            </w:pPr>
            <w:r>
              <w:rPr>
                <w:rFonts w:ascii="Arial" w:cs="Arial" w:eastAsia="Arial" w:hAnsi="Arial"/>
                <w:sz w:val="18"/>
                <w:szCs w:val="18"/>
                <w:color w:val="auto"/>
              </w:rPr>
              <w:t>66,667</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0.62</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(40,668)</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Cancelled/forfeited</w:t>
            </w:r>
          </w:p>
        </w:tc>
        <w:tc>
          <w:tcPr>
            <w:tcW w:w="2160" w:type="dxa"/>
            <w:vAlign w:val="bottom"/>
            <w:gridSpan w:val="3"/>
          </w:tcPr>
          <w:p>
            <w:pPr>
              <w:jc w:val="right"/>
              <w:ind w:right="300"/>
              <w:spacing w:after="0"/>
              <w:rPr>
                <w:sz w:val="20"/>
                <w:szCs w:val="20"/>
                <w:color w:val="auto"/>
              </w:rPr>
            </w:pPr>
            <w:r>
              <w:rPr>
                <w:rFonts w:ascii="Arial" w:cs="Arial" w:eastAsia="Arial" w:hAnsi="Arial"/>
                <w:sz w:val="18"/>
                <w:szCs w:val="18"/>
                <w:color w:val="auto"/>
              </w:rPr>
              <w:t>(220,766)</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2.58</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31, 2022</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w:t>
            </w:r>
          </w:p>
        </w:tc>
        <w:tc>
          <w:tcPr>
            <w:tcW w:w="1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Exercisable as of January 31, 2022</w:t>
            </w: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gridSpan w:val="2"/>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line="20" w:lineRule="exact"/>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January 31, 2022, the total intrinsic value of both outstanding and exercisable options was approximately zero. As of January 31, 2022, approximately 230,000 options were unvested, which had an intrinsic value of zero and a weighted average remaining contractual term of 9.1 years. There was approximately $123,000 and $43,000 of total recognized compensation cost related to stock options during each of the nine months ended January 31, 2022 and 2021, respectively. As of January 31, 2022, there was approximately $242,000 of total unrecognized compensation cost related to non-vested stock options granted under the plans. This cost is expected to be recognized over a weighted-average period of 1.1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 for non-vested restricted stock is generally recorded based on its market value on the date of grant and recognized ratably over the associated service and performance period. During the nine months ended January 31, 2022 and 2021, the Company granted 777,764 and 10,000 shares, respectively, that were subject to service-based vesting requirements.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440" w:type="dxa"/>
            <w:vAlign w:val="bottom"/>
            <w:gridSpan w:val="2"/>
          </w:tcPr>
          <w:p>
            <w:pPr>
              <w:spacing w:after="0"/>
              <w:rPr>
                <w:sz w:val="20"/>
                <w:szCs w:val="20"/>
                <w:color w:val="auto"/>
              </w:rPr>
            </w:pPr>
            <w:r>
              <w:rPr>
                <w:rFonts w:ascii="Arial" w:cs="Arial" w:eastAsia="Arial" w:hAnsi="Arial"/>
                <w:sz w:val="18"/>
                <w:szCs w:val="18"/>
                <w:color w:val="auto"/>
              </w:rPr>
              <w:t>A summary of non-vested restricted stock under our stock incentive plans is as follows:</w:t>
            </w: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 Price per</w:t>
            </w:r>
          </w:p>
        </w:tc>
      </w:tr>
      <w:tr>
        <w:trPr>
          <w:trHeight w:val="234"/>
        </w:trPr>
        <w:tc>
          <w:tcPr>
            <w:tcW w:w="12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0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of Shares</w:t>
            </w: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r>
      <w:tr>
        <w:trPr>
          <w:trHeight w:val="209"/>
        </w:trPr>
        <w:tc>
          <w:tcPr>
            <w:tcW w:w="7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Issued and unvested at April 30,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777,764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Cancelled/forfeited</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Issued and unvested at January 31, 2022</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777,764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was approximately $43,000 and $12,000 of total recognized compensation cost related to restricted stock for the nine months ended January 31, 2022 and 2021, respectively. As of January 31, 2022, there is approximately $54,000 of unrecognized compensation cost remaining related to unvested restricted stock granted under our plans. This cost is expected to be recognized over a weighted-average period of approximately 1.4 years.</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December 2019, the Company granted 51,547 shares to an employee, subject to service-based vesting requirements, that were outside the Company stock incentive plans. There was approximately zero and $30,000 of total recognized compensation cost related to this award for the three months ended January 31, 2022 and 2021, respectively. As of January 31, 2022, there was no unrecognized compensation cost remaining related to this award.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for identical assets or liabilities that the Company has the ability to access at the measurement date.</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 active markets that are observable for the asset or liability, either directly or indirectly.</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that are unobservable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that are not re-measured at fair value include cash, cash equivalents, restricted cash, accounts receivable, contract assets and liabilities, deposits, accounts payable, and accrued expenses. The carrying values of these financial instruments approximate their fair values and are viewed as Level 1 items. The Company’s warrant liabilities represent the only asset or liability classified financial instrument that is measured at fair value on a recurring basis.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the Company’s warrant liabilities (refer to Note 8) is based on the Black-Scholes pricing model which is based on Level 3 unobservable inputs for which there is little or no market data, requiring the Company to develop its own assumptions. The assumptions used by the Company are the quoted price of the Company’s common stock in an active market, risk-free interest rate, volatility and expected life, and assumes no dividends.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 The fair value on a recurring basis as of January 31, 2022 and April 30, 2021 was near zero.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unrealized gains or losses for the three and nine months ended January 31, 2022 or 2021. When incurred, gains and losses are included within “Gain (loss) due to change in fair value of warrant liabilities” in the Consolidated Statements of Operations. The Company determined the fair value using the Black-Scholes pricing model with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2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January 31, 2022</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January 31, 2021</w:t>
            </w:r>
          </w:p>
        </w:tc>
      </w:tr>
      <w:tr>
        <w:trPr>
          <w:trHeight w:val="209"/>
        </w:trPr>
        <w:tc>
          <w:tcPr>
            <w:tcW w:w="74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Risk-free rate</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N/A - N/A</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0.07% - 0.08%</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0.5 - 0.8</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Expected volatility</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146.1%</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hierarchy levels during each of the three and nine months ended January 31, 2022 or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Litigation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28, 2018, counsel for Charles Dunleavy, the Company’s former President &amp; Chief Executive Officer who was terminated for cause effective June 9, 2014, filed a demand for arbitration, captioned Charles F. Dunleavy v. Ocean Power Technologies, Inc., Case No. 01-18-0003-2374, before the American Arbitration Association in New Jersey. The demand alleged various claims relating to Mr. Dunleavy’s termination. After the hearings in the proceeding were conducted, on December 11, 2020, the arbitration panel issued an interim award finding, among other things, that the termination for cause of Mr. Dunleavy was in breach of his employment contract and awarded him compensatory damages in the amount of $438,254.54. On May 3, 2021, the panel issued a second interim award and therein awarded Mr. Dunleavy attorneys’ fees, costs and pre-judgment interest. The Company agreed, on May 24, 2021, to pay Mr. Dunleavy $1,223,963.14, representing the total compensatory damages, attorneys’ fees, costs and pre-judgment interest, which is the full amount awarded by the arbitration panel. The Company made the required payment on May 26, 2021, and the matter is now closed.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underwent an income tax audit in Spain for the period from 2011 to 2014, when our Spanish branch was closed. On July 30, 2018, the Spanish tax inspector concluded that although there was no tax owed in light of losses reported, the Company’s Spanish branch owed penalties for failure to properly account for the income associated with the funding grant. During the nine months ended January 31, 2021, the Company received notice from the Spanish Central Economic and Administrative Tribunal that it agreed with the inspector and ruled that the Company owes the full amount of the penalty in the amount of €279,870 or approximately $331,000. On January 25, 2021, the Company paid the Spanish Tax Administration €279,870. Notwithstanding that payment, on April 30, 2021, the Company filed its appeal of the decision of the Central Court to the Spanish National Court. There is no schedule for a ruling from the Spanish National Court.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At January 31, 2022, the Company had no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sold New Jersey State net operating losses and research development credits under the NJEDA Tax Transfer program in the amount of approximately $12.0 million for the year ended April 30, 2021, for net proceeds of approximately $1.0 million which was received in May 2021 and recorded in the Company’s Statement of Operations in fiscal year 2022. This results from a program where New Jersey-based technology or biotechnology companies with fewer than 225 US employees may be eligible to sell net operating losses and research and development tax credits to unaffiliated corporations, up to a maximum lifetime benefit of $20.0 million per business. As of January 31, 2022 we have approximately $5.0 million still available to sell should we chose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Operating Segments and Geographic Information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business consists of one segment as this represents how our Chief Operating Decision Maker views the Company’s operations and financial position. The Company operates on a worldwide basis with two wholly-owned subsidiaries, 3Dent and MAR, and subsidiaries in the UK and in Australia. Revenues and expenses are generally attributed to the operating company that bills the customers. During each of the nine months ended January 31, 2022 and 2021, the Company’s primary business operations were in North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3dent Technologies, LLC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 2021, the Company acquired all of the outstanding equity interest of 3dent Technologies, LLC (“3Dent”), a Houston, Texas based company that offers offshore energy engineering and design services that are complementary to the Company’s technology and products. As consideration for the purchase, the Company issued 361,991 shares of its common stock to the sellers, subject to a 12-month post acquisition employment condition, which has now been achieved. In addition, the former owners of 3Dent would have been eligible for awards of performance stock with a potential value of $360,000 if certain revenue targets are achieved over the 12 month-period post acquisition. As of January 31, 2022, it was determined that 3Dent did not meet these revenue targets.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Marine Advance Robotics, Inc.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15, 2021, the Company acquired all of the outstanding equity interest of Marine Advanced Robotics, Inc. (“MAR”), a Richmond (San Francisco Bay Area), California-based developer and manufacturer of autonomous surface vehicles.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accounted for the transaction as a business combination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Accordingly, the assets and liabilities acquired were recorded at their estimated fair value on the date of acquisition. Under ASC 805, acquisition-related transaction costs of approximately $0.3 million (such as advisory, legal, valuation, other professional fees) were expensed in the Consolidated Statement of Operations in the period incurred.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paid cash consideration of $4.0 million and issued 3,330,162 shares of our common stock valued at approximately $5.9 million based on the closing price of $2.10 and reduced by a lack of marketability discount since they were restricted. The Company assumed liability for advances payable to the former owners of MAR for approximately $456,000.</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contingent consideration is based on the achievement of certain milestones over a 30-month period. As of the acquisition date, the contingent consideration had a fair value of $1.6 million. Under the terms of the MAR purchase agreement, the contingent consideration consists of two earn-out periods, one running from the date of the acquisition through April 30, 2023 in which the maximum earn-out is $1.5 million and the other from May 1, 2023 through April 30, 2024 where the maximum earn-out is $2 million. The fair value as of the date of acquisition was determined using a simulation model based on an estimate of revenues during these periods and discount factors ranging from 5.8% to 14.5%. As discussed in Note 14 per ASC Topic 820 we consider this to be a Level 3 liability.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Total consideration including cash, restricted shares, liabilities assumed, and contingent consideration was valued at approximately $11.9 million.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Purchase consideration consisted of the following: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0039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Fair value of restricted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 value of contingent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0395"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1300" w:hanging="1297"/>
        <w:spacing w:after="0"/>
        <w:tabs>
          <w:tab w:leader="none" w:pos="1300" w:val="left"/>
        </w:tabs>
        <w:numPr>
          <w:ilvl w:val="0"/>
          <w:numId w:val="6"/>
        </w:numPr>
        <w:rPr>
          <w:rFonts w:ascii="Arial" w:cs="Arial" w:eastAsia="Arial" w:hAnsi="Arial"/>
          <w:sz w:val="15"/>
          <w:szCs w:val="15"/>
          <w:color w:val="auto"/>
        </w:rPr>
      </w:pPr>
      <w:r>
        <w:rPr>
          <w:rFonts w:ascii="Arial" w:cs="Arial" w:eastAsia="Arial" w:hAnsi="Arial"/>
          <w:sz w:val="15"/>
          <w:szCs w:val="15"/>
          <w:color w:val="auto"/>
        </w:rPr>
        <w:t>4,000</w:t>
      </w:r>
    </w:p>
    <w:p>
      <w:pPr>
        <w:spacing w:after="0" w:line="57" w:lineRule="exact"/>
        <w:rPr>
          <w:rFonts w:ascii="Arial" w:cs="Arial" w:eastAsia="Arial" w:hAnsi="Arial"/>
          <w:sz w:val="15"/>
          <w:szCs w:val="15"/>
          <w:color w:val="auto"/>
        </w:rPr>
      </w:pPr>
    </w:p>
    <w:p>
      <w:pPr>
        <w:ind w:left="1440"/>
        <w:spacing w:after="0"/>
        <w:rPr>
          <w:rFonts w:ascii="Arial" w:cs="Arial" w:eastAsia="Arial" w:hAnsi="Arial"/>
          <w:sz w:val="15"/>
          <w:szCs w:val="15"/>
          <w:color w:val="auto"/>
        </w:rPr>
      </w:pPr>
      <w:r>
        <w:rPr>
          <w:rFonts w:ascii="Arial" w:cs="Arial" w:eastAsia="Arial" w:hAnsi="Arial"/>
          <w:sz w:val="15"/>
          <w:szCs w:val="15"/>
          <w:color w:val="auto"/>
        </w:rPr>
        <w:t>456</w:t>
      </w:r>
    </w:p>
    <w:p>
      <w:pPr>
        <w:spacing w:after="0" w:line="44" w:lineRule="exact"/>
        <w:rPr>
          <w:sz w:val="20"/>
          <w:szCs w:val="20"/>
          <w:color w:val="auto"/>
        </w:rPr>
      </w:pPr>
    </w:p>
    <w:p>
      <w:pPr>
        <w:jc w:val="right"/>
        <w:ind w:right="2340"/>
        <w:spacing w:after="0"/>
        <w:rPr>
          <w:sz w:val="20"/>
          <w:szCs w:val="20"/>
          <w:color w:val="auto"/>
        </w:rPr>
      </w:pPr>
      <w:r>
        <w:rPr>
          <w:rFonts w:ascii="Arial" w:cs="Arial" w:eastAsia="Arial" w:hAnsi="Arial"/>
          <w:sz w:val="18"/>
          <w:szCs w:val="18"/>
          <w:color w:val="auto"/>
        </w:rPr>
        <w:t>5,855</w:t>
      </w:r>
    </w:p>
    <w:p>
      <w:pPr>
        <w:spacing w:after="0" w:line="9" w:lineRule="exact"/>
        <w:rPr>
          <w:sz w:val="20"/>
          <w:szCs w:val="20"/>
          <w:color w:val="auto"/>
        </w:rPr>
      </w:pPr>
    </w:p>
    <w:p>
      <w:pPr>
        <w:jc w:val="right"/>
        <w:ind w:right="2340"/>
        <w:spacing w:after="0"/>
        <w:rPr>
          <w:sz w:val="20"/>
          <w:szCs w:val="20"/>
          <w:color w:val="auto"/>
        </w:rPr>
      </w:pPr>
      <w:r>
        <w:rPr>
          <w:rFonts w:ascii="Arial" w:cs="Arial" w:eastAsia="Arial" w:hAnsi="Arial"/>
          <w:sz w:val="18"/>
          <w:szCs w:val="18"/>
          <w:color w:val="auto"/>
        </w:rPr>
        <w:t>1,591</w:t>
      </w:r>
    </w:p>
    <w:p>
      <w:pPr>
        <w:spacing w:after="0" w:line="35" w:lineRule="exact"/>
        <w:rPr>
          <w:sz w:val="20"/>
          <w:szCs w:val="20"/>
          <w:color w:val="auto"/>
        </w:rPr>
      </w:pPr>
    </w:p>
    <w:p>
      <w:pPr>
        <w:ind w:left="1220" w:hanging="1217"/>
        <w:spacing w:after="0"/>
        <w:tabs>
          <w:tab w:leader="none" w:pos="1220" w:val="left"/>
        </w:tabs>
        <w:numPr>
          <w:ilvl w:val="0"/>
          <w:numId w:val="7"/>
        </w:numPr>
        <w:rPr>
          <w:rFonts w:ascii="Arial" w:cs="Arial" w:eastAsia="Arial" w:hAnsi="Arial"/>
          <w:sz w:val="15"/>
          <w:szCs w:val="15"/>
          <w:color w:val="auto"/>
        </w:rPr>
      </w:pPr>
      <w:r>
        <w:rPr>
          <w:rFonts w:ascii="Arial" w:cs="Arial" w:eastAsia="Arial" w:hAnsi="Arial"/>
          <w:sz w:val="15"/>
          <w:szCs w:val="15"/>
          <w:color w:val="auto"/>
        </w:rPr>
        <w:t>11,902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10801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6480" w:space="720"/>
            <w:col w:w="4040"/>
          </w:cols>
          <w:pgMar w:left="320" w:top="233" w:right="339" w:bottom="1440" w:gutter="0" w:footer="0" w:header="0"/>
        </w:sectPr>
      </w:pPr>
    </w:p>
    <w:p>
      <w:pPr>
        <w:spacing w:after="0" w:line="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preliminary allocation of the fair value of the MAR acquisition is shown in the table below. The allocation of the fair value will be finalized when the valuation is completed, and the differences will be trued up for the final allocated amounts, hence, actual results may differ from preliminary estimate.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32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11,902</w:t>
            </w:r>
          </w:p>
        </w:tc>
      </w:tr>
      <w:tr>
        <w:trPr>
          <w:trHeight w:val="209"/>
        </w:trPr>
        <w:tc>
          <w:tcPr>
            <w:tcW w:w="4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2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Inventory</w:t>
            </w:r>
          </w:p>
        </w:tc>
        <w:tc>
          <w:tcPr>
            <w:tcW w:w="2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Trademarks</w:t>
            </w:r>
          </w:p>
        </w:tc>
        <w:tc>
          <w:tcPr>
            <w:tcW w:w="2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2,755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1,193</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7,754</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net assets were recorded at their estimated fair value. In valuing acquired assets and liabilities, fair value estimates were based primarily on future expected cash flows, market rate assumptions, and appropriate discount rates. In connection with the acquisition of MAR, we acquired approximately $3.9 million of intangible assets including trademarks with an indefinite life and patents that will be amortized over a useful life of nine years.</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Goodwill is considered an indefinite-lived asset that relates primarily to intangible assets that do not qualify for separate recognition. The Company is currently evaluating the tax implications on the business combination accounting and compiling the information needed for a pro forma disclosure related to the acquisition of MAR which is expected in our year end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Net Operating Loss Transfer Program</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2022, the Company sold New Jersey State net operating losses and research and development credits in the amount of $4.0 million, resulting in the recognition of income tax benefits of $0.4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2021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2021 refers to the year ended April 30,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mission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under the laws of the State of New Jersey in April 1984 and began commercial operations in 1994. On April 23, 2007, we reincorporated in Delaware.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an ocean data, marine power, and consulting services provider. We control the design, manufacture, sales, installation, operations and maintenance of our solutions and services while working closely with commercial, technical, and other development partners that provide software, controls, mechatronics, sensors, integration services, and marine installation services. We believe our renewable autonomous ocean solutions enable technologies for data collection, analysis, communication in remote ocean environments, as well as generate actionable intelligence and control certain equipment linked to edge and cloud environments.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mission and purpose are to provide intelligent maritime solutions and services that enable more secure and more productive utilization of our oceans and waterways, green energy power services, and sophisticated surface and sub-surface marine domain awareness solutions. We achieve this through our proprietary, state-of-the-art technologies that are at the core of our clean and renewable energy platforms upon which we offer our solutions and services as well as through working with select partners.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marketing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strategy includes developing complete solutions and services, including cloud-based delivery systems for ocean data and predictive analytics to provide actionable intelligence for our clients.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and communications, either by supplying electric power to payloads that are integrated directly with our product or located in its vicinity, such as on the seabed and in the water column. Our recent projects have been in the offshore energy and science and research industries.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our market research and publicly available data, including but not limited to the U.S. Department of Energy (“DOE”) 2019 Powering the Blue Economy Report, the Westwood Energy World ROV Operations Forecast 2019-2023, and the World Bank Database, we believe there is an increasing need for our products and services in maritime domain awareness applications and numerous markets may have a direct need for our solutions. Potential customers include, but are not limited to, defense and security, offshore energy, science and research, and offshore wind markets, as well as government applications in fishery protection and marine protected areas.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solutions focus on three major services areas, Data as a Service, supported and enabled by Power as a Service, and underpinned by our Strategic Consulting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Data as a Service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Data as a Service solution concept was originally based on the work we performed for Harbour Energy (formerly known as Premier Oil) in the North Sea. With the support of our key software and mechatronics partners, and based on feedback from participants in the government, defense, and security markets, we have evolved this concept into our commercial development programs. These include our custom software development efforts to further extend our edge computing and cloud hosting capabilities solution with the ability to support artificial intelligence modules that can be delivered to customers via secure cloud environments. The initial release of our new solution will be deployed onto a multi-buoy array off the coast of New Jersey, creating a floating test bed for current capabilities and future developments.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Domain Awareness Solution (“MDAS”)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International Maritime Organization defines Maritime Domain Awareness (“MDA”) as the effective understanding of any activity that could impact upon the security, safety, economy, or environment. Since 2002, the United States of America, for example, has had an active strategy to secure the Maritime Domain. Furthermore, in 2020 the U.S. Coast Guard elevated Illegal, Unreported and Unregulated (“IUU”) fisheries, one aspect of MDA security, as the leading global maritime threat.</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designed a solution to provide detailed, localized maritime domain awareness that can be utilized for a wide range of applications across market segments. Our MDAS base configuration consists of a high-definition radar, stabilized high-definition optical and thermal imaging camera, vessel automatic identification system (“AIS”) detection, and integrated command and control software that can be installed on a range of platforms, including our buoys and autonomous vehicles. Additional sensors can be added as customer needs dictate. Capabilities include 24/7 vessel tracking, automatic radar plotting, automated vessel warnings, and high-definition optical and thermal video surveillance capable of providing actionable intelligence promptly.</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that data from our MDAS will be processed onboard our buoys using edge computing, transmitted to our cloud-based analytics platform via secure Wi-Fi, cellular, and/or satellite systems. Surveillance data can be integrated with readily available marine monitoring software or with our own MDA software solution developed together with leading partners in the technology industry to provide command and control features of a multi-buoy surveillance network. The data can also be integrated with satellite, weather, bathymetric, and other third party data feeds to form a detailed surface and subsea picture of a monitored area.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development of our MDAS is underway, and we launched the first offshore system supporting the demonstration of the newly developed system with our hardware and TimeZero software in October 2021. To date we have collected more than 2,000 radar and AIS tracks from our previous New Jersey deployments. This data is being used to refine the design of our MDAS. We are working on the deployment of additional systems to test the next generation of solutions during fiscal calendar Q4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2020, the Company entered into an agreement with Adams Communication &amp; Engineering Technology, Inc. (“ACET”) to conduct a feasibility study for the evaluation of a PB3 power and 5G communications solution in support of the U.S. Navy’s Naval Postgraduate School’s Sea, Land, Air, Military Research Initiative (“SLAMR”). This forms part of our Data as a Service division.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Autonomous Vehicles (“WAM-V”)</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15, 2021, the Company acquired all of the outstanding equity interest of MAR. Founded in 2004, MAR is the developer of the patented Wave Adaptive Modular Vessel (WAM-V®) technology, which enables roaming capabilities for uncrewed maritime systems in waters around the world. MAR launched the first WAM-V in 2007 as a new vessel class with a mission to manufacture and deliver to customers the most reliable and robust autonomous surface vehicles available on the market. MAR also provides RaaS (Robotics as a Service) allowing customers to leverage WAM-V technology and MAR expertise on a per project basis. Today, WAM-Vs operate in 11 countries for commercial, military and scientific customers.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acquisition immediately provided the Company with an established, innovative inshore, nearshore and offshore product line that highly complements the Company’s business strategy. Since the acquisition, MAR has continued to grow and is further expanding into its core marine survey and maritime security markets in Europe, Asia, Oceania and the Americas. As we continue to bring MAR and the WAM-V technology into the OPT family, we expect to expand on the synergistic opportunities we have identified. For example, we plan to integrate the MDAS platform onto the WAM-V to expand our MDA offering to provide a roaming MDA solution to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Power as a Service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Power as a Service solutions deliver value to customers by utilizing our managed power platforms. We continue to develop and commercialize our proprietary power platforms that generate electricity by harnessing the renewable energy of ocean waves for our PowerBuoy® (“PB3”), and solar power for our hybrid PowerBuoy® (the “hPB”) as well as subsea battery for topside and subsea power applications. The PB3 uses proprietary technologies that convert the kinetic energy created by the motion of ocean waves into electricity. Our focus for these solutions is on bringing autonomous clean power to our customers wherever it is required.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2020, the Company entered into an agreement to provide engineering and technical services to the DeepStar Global Technology Consortium Program showcasing our Power as a Service. This project was completed in July 2021, and we have used the findings of the study to advance marketing activities for our Power as a Service solution.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our project with Eni S.p.A. (“Eni”), we utilized a PB3, which operated in the Adriatic Sea for over 700 days of continuous operation as part of Eni’s resident autonomous underwater vehicle (“AUV”) feasibility studies. During commercial operations, an AUV would remain on site to perform various inspection, maintenance, and repair tasks. As demonstrated during our project with Eni, our solutions generated sufficient power that could, with client assets, extend missions for longer durations.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2021, the Company was notified of a pre-award for a Department of Energy (“DOE”) Small Business Innovation Research program (“SBIR”) to support the development of the next generation of our wave energy conversion systems. In August 2021, we completed all required documentation and signed the DOE contract. The 9-month project began in the second quarter of fiscal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PB3 PowerBuoy</w:t>
      </w:r>
      <w:r>
        <w:rPr>
          <w:rFonts w:ascii="Arial" w:cs="Arial" w:eastAsia="Arial" w:hAnsi="Arial"/>
          <w:sz w:val="29"/>
          <w:szCs w:val="29"/>
          <w:b w:val="1"/>
          <w:bCs w:val="1"/>
          <w:color w:val="auto"/>
          <w:vertAlign w:val="superscript"/>
        </w:rPr>
        <w:t>®</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PB3 generates electricity by harnessing the renewable energy of ocean waves. The PB3 features a unique onboard power take-off (“PTO”) system, which incorporates both energy storage and energy management and control systems. The PB3 generates a nominal name-plated capacity rating of up to 3 kilowatts (“kW”) of peak power during recharging of the onboard batteries. Power generation is deployment-site dependent. Our standard energy storage system (“ESS”) has an energy capacity of up to a nominal 150 kW-hours to meet specific application requirements.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PB3 is designed to generate power for use independent of the power grid in remote offshore locations. The hull consists of a main spar structure loosely moored to the seabed and surrounded by a floating annular structure that can freely move up and down in response to the passage of the waves. The PTO system includes a mechanical actuating system, an electrical generator, a power electronics system, our control system, and our ESS which is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collected within an ESS.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operation of the PB3 is controlled by our customized, proprietary control system. 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prevent the PB3 from being damaged by storms.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PB3 can be transported over land to the deployment port using conventional transportation methods. Once at port, the PB3 can be lifted into the water or onboard a vessel using a readily available crane of appropriate capacity. The PB3 may then be towed to a site using a standard vessel (if the location is within an appropriate distance from the port), or the PB3 may be carried aboard a vessel to its offshore location and craned into the water at site. The PB3 is then attached to the mooring system, which is installed during a separate operation, after which a brief commissioning process places the PB3 into operation.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single MDAS equipped PB3 can monitor vessel traffic, with or without AIS turned on, across an area approximately 1,300 square kilometers of ocean territory, with the ability to link multiple surveillance assets together over large ocean areas giving end-users visibility into potentially damaging environmental or illegal activities. Customized solutions are also available including the addition of subsea sensors to monitor for acoustic signatures, including tsunami, and water quality.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hybrid PowerBuoy®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currently optimizing the design of our original hPB. The hPB is capable of utilizing solar and wind power, in addition to wave energy. Based on prototype testing, we are optimizing the solar and wind generation, as well as increasing the battery energy storage capacity. The hPB is capable of providing reliable power in remote offshore locations, regardless of ocean wave conditions. We believe this product is complementary to the PB3 by providing the Company the opportunity to address a broader spectrum of customer deployment needs, including low-wave environments, with the potential for greater product integration within each customer project. The hPB is intended to provide a stable energy platform for our MDAS solution, and for agile deployment of subsea power applications, such as recharging and surface communications hub for electric remotely operated vehicles (“eROV”) such as our WAM-V and AUV used for underwater inspections and short-term maintenance, subsea equipment monitoring and control. The design has a high payload capacity for surveillance and communications equipment, with the capability of being tethered to subsea payloads such as batteries, or with a conventional anchor mooring system. Energy is stored in onboard batteries which power subsea and topside payloads. The hPB is designed to be able to operate over a broad range of temperature and ocean wave conditions.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with the PB3, the control system uses sensors and an onboard computer to continuously monitor the hPB subsystems. The load is powered by the onboard Lithium Ion batteries, so that payloads are powered no matter what the weather or sun conditions.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hPB can be transported over land to the deployment port using conventional transportation methods. Once at port, it can be lifted into the water or onboard a vessel using a readily available crane of appropriate capacity. The hPB may then be towed to a site using a standard vessel, or the hPB may be carried aboard a vessel to its offshore location and craned into the water at 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 Battery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product launched a subsea battery that is complementary to both the PB3 and hPB products and can be deployed together with our PowerBuoys® or on its own. It offers customers the option of placing additional modular and expandable energy storage on the seabed near existing, or to be installed, subsea equipment. Our pressure tested lithium-ion subsea batteries supply power that can enable subsea equipment, sensors, communications and AUV and eROV recharge. Our PB3 and hPB are complimentary to the subsea batteries by providing a means for recharging during longer term deployments, or the batteries can be used independently for shorter term deployments.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subsea battery has been designed to provide continuous and/or short-term power supply from its integrated energy storage system, enabling us to supply into a range of industries and applications, from backup power to critical subsea infrastructure to continuous operation of subsea equipment, such as electric valves. The base design of the subsea battery has a nominal 100kW-hours of energy storage. The subsea battery can be transported over land to the deployment port using conventional transportation methods. Once at port, the subsea battery can be lifted onboard a vessel using a readily available crane of appropriate capacity. The battery can then be carried aboard a vessel to its offshore location and craned into the water at site. It comes installed on a ready deployable subsea skid suitable for installation on the seabed. The subsea battery can be integrated into other subsea equipment on land prior to deployment.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Strategic Consulting Services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Strategic Consulting Services were materially expanded with the acquisition of 3dent Technology, LLC (“3Dent”), in February 2021. As part of our continued strategic operations, we intend to continue to grow our service sectors and develop, evolve, and strengthen our solutions through internal developments, partnerships, and potential acquisitions. Our team of dedicated consultants/designers has expertise in structural engineering, hydrodynamics and naval architecture. Among its services is a focus on addressing the issues current or would-be offshore drill rig owners, including owners of floaters, jackups, and lift boats. Consulting services include simulation engineering, software engineering, concept design and motion analysis. During the third quarter of fiscal 2022, the Company saw an increase in consulting services activity for conventional offshore energy and offshore wind projects.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focus of our Strategic Consulting Services is on delivering value to our customers in the areas of ocean engineering, structural and dynamic analysis, Front End Engineering and Design (“FEED”) studies, and motion simulation. These services can be integrated well into our broader Power and/or Data as a Service solutions, utilizing our solutions or on a standalone basis. In the near term, we will focus on increasing our market share in the offshore wind market and the broader floating foundation design market, as well as our business with offshore energy customers.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work performed by the Company for the DeepStar project, through our Strategic Consulting Services group, we also offer a full range of high-level offshore engineering, including providing consulting engineering and design services to offshore wind developers, offshore construction companies, drilling contractors, major oil companies, service companies, shipyards, and engineering firms.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 Regarding COVID-19 and its variants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pandemic presented substantial health and economic risks, uncertainties and challenges to our business, the global economy and financial markets. In March 2020, one of the Company’s customers cancelled a portion of their contract due to the outbreak of COVID-19 and instead extended an existing lease. In April 2020, the Company declared force majeure on a contract with a different customer and delayed the deployment of its PB3 PowerBouy® in Chile. For additional information on various uncertainties and risks posed by the COVID-19 pandemic, see Part I, Item 1A “Risk Factors” of our Annual Report on Form 10-K for the year ended April 30, 2021.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the U.S. Government passed into law the Coronavirus Aid, Relief and Economic Security Act, or the (“CARES Act”). On May 3, 2020, the Company signed a Paycheck Protection Program (“PPP”) loan with Santander as the lender for approximately $890,000. The PPP loan was unsecured and evidenced by a note in favor of Santander as the lender and governed by a Loan Agreement with Santander. The Company received the proceeds on May 5, 2020.</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filed its loan forgiveness application at the end of February 2021 asking for 100% forgiveness of the loan. In June 2021, the Company was informed that its application was approved, and that the loan is now fully forgiven. The Company recognized a gain on extinguishment of PPP loan of approximately $890,000 in the Consolidated Statement of Operations for the nine months ending January 31, 2022.</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2020 we started to experience some delays related to the impact of COVID-19 on the international supply chain. We were able to mitigate much of the impact by consuming not only internal inventory but also by expanding our supply base. We have a global supply chain, and in addition to domestic sources, we obtain components from Asia and Europe. We use a combination of off-the-shelf components and equipment (COTS) as well as custom developed parts. There have been a number of disruptions throughout the global supply chain which have impacted our development and manufacturing. As the global economy continues to open up, it is driving the demand for certain components. This has outpaced the return of the global supply chain to full production. Although we have been able to find alternatives for many component shortages, we experienced, and continue to experience, some delays and cost increases with respect to container shortages, ocean shipping and air freight. In addition, our key suppliers have experienced longer lead times and cost increases for raw materials and have experienced periods of interruption to production due to COVID-19 and its variants affecting manpower. Though local manpower and similar Covid-related problems are starting to ease, we continue to have concerns over component shortages, particularly for semiconductors and specialty metals which we foresee to continue at least through the first half of calendar 2022.</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spikes in COVID-19 and its variants occur in regions in which our supply chain operates, we could experience periodic interruptions or impacts due to delays in components and incur further freight price increases. We continue to monitor and adjust our operations, as appropriate. in response to the COVID-19 pandemic.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The table below shows the percentage of the Company’s revenues derived from customers whose revenues accounted for at least 10% of the Company’s consolidated revenues for at least one of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8"/>
              </w:rPr>
              <w:t>Three months ended January 31,</w:t>
            </w:r>
          </w:p>
        </w:tc>
        <w:tc>
          <w:tcPr>
            <w:tcW w:w="32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 January 31,</w:t>
            </w:r>
          </w:p>
        </w:tc>
      </w:tr>
      <w:tr>
        <w:trPr>
          <w:trHeight w:val="209"/>
        </w:trPr>
        <w:tc>
          <w:tcPr>
            <w:tcW w:w="4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8"/>
                <w:szCs w:val="18"/>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Department of Energy</w:t>
            </w:r>
          </w:p>
        </w:tc>
        <w:tc>
          <w:tcPr>
            <w:tcW w:w="1840" w:type="dxa"/>
            <w:vAlign w:val="bottom"/>
            <w:gridSpan w:val="3"/>
          </w:tcPr>
          <w:p>
            <w:pPr>
              <w:jc w:val="right"/>
              <w:ind w:right="130"/>
              <w:spacing w:after="0"/>
              <w:rPr>
                <w:sz w:val="20"/>
                <w:szCs w:val="20"/>
                <w:color w:val="auto"/>
              </w:rPr>
            </w:pPr>
            <w:r>
              <w:rPr>
                <w:rFonts w:ascii="Arial" w:cs="Arial" w:eastAsia="Arial" w:hAnsi="Arial"/>
                <w:sz w:val="18"/>
                <w:szCs w:val="18"/>
                <w:color w:val="auto"/>
              </w:rPr>
              <w:t>21%</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ACET</w:t>
            </w:r>
          </w:p>
        </w:tc>
        <w:tc>
          <w:tcPr>
            <w:tcW w:w="1840" w:type="dxa"/>
            <w:vAlign w:val="bottom"/>
            <w:gridSpan w:val="3"/>
          </w:tcPr>
          <w:p>
            <w:pPr>
              <w:jc w:val="right"/>
              <w:ind w:right="130"/>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Valaris (1)</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Brigham Young University (2)</w:t>
            </w:r>
          </w:p>
        </w:tc>
        <w:tc>
          <w:tcPr>
            <w:tcW w:w="1840" w:type="dxa"/>
            <w:vAlign w:val="bottom"/>
            <w:gridSpan w:val="3"/>
          </w:tcPr>
          <w:p>
            <w:pPr>
              <w:jc w:val="right"/>
              <w:ind w:right="130"/>
              <w:spacing w:after="0"/>
              <w:rPr>
                <w:sz w:val="20"/>
                <w:szCs w:val="20"/>
                <w:color w:val="auto"/>
              </w:rPr>
            </w:pPr>
            <w:r>
              <w:rPr>
                <w:rFonts w:ascii="Arial" w:cs="Arial" w:eastAsia="Arial" w:hAnsi="Arial"/>
                <w:sz w:val="18"/>
                <w:szCs w:val="18"/>
                <w:color w:val="auto"/>
              </w:rPr>
              <w:t>14%</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Nippon Kaiyo (2)</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Naval Surface Warfare Center (2)</w:t>
            </w:r>
          </w:p>
        </w:tc>
        <w:tc>
          <w:tcPr>
            <w:tcW w:w="1840" w:type="dxa"/>
            <w:vAlign w:val="bottom"/>
            <w:gridSpan w:val="3"/>
          </w:tcPr>
          <w:p>
            <w:pPr>
              <w:jc w:val="right"/>
              <w:ind w:right="130"/>
              <w:spacing w:after="0"/>
              <w:rPr>
                <w:sz w:val="20"/>
                <w:szCs w:val="20"/>
                <w:color w:val="auto"/>
              </w:rPr>
            </w:pPr>
            <w:r>
              <w:rPr>
                <w:rFonts w:ascii="Arial" w:cs="Arial" w:eastAsia="Arial" w:hAnsi="Arial"/>
                <w:sz w:val="18"/>
                <w:szCs w:val="18"/>
                <w:color w:val="auto"/>
              </w:rPr>
              <w:t>20%</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(no customer over 10%)</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9"/>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500" w:type="dxa"/>
            <w:vAlign w:val="bottom"/>
          </w:tcPr>
          <w:p>
            <w:pPr>
              <w:spacing w:after="0"/>
              <w:rPr>
                <w:sz w:val="17"/>
                <w:szCs w:val="17"/>
                <w:color w:val="auto"/>
              </w:rPr>
            </w:pPr>
          </w:p>
        </w:tc>
        <w:tc>
          <w:tcPr>
            <w:tcW w:w="184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500" w:type="dxa"/>
            <w:vAlign w:val="bottom"/>
            <w:shd w:val="clear" w:color="auto" w:fill="CCEEFF"/>
          </w:tcPr>
          <w:p>
            <w:pPr>
              <w:ind w:left="4240"/>
              <w:spacing w:after="0"/>
              <w:rPr>
                <w:sz w:val="20"/>
                <w:szCs w:val="20"/>
                <w:color w:val="auto"/>
              </w:rPr>
            </w:pPr>
            <w:r>
              <w:rPr>
                <w:rFonts w:ascii="Arial" w:cs="Arial" w:eastAsia="Arial" w:hAnsi="Arial"/>
                <w:sz w:val="18"/>
                <w:szCs w:val="18"/>
                <w:color w:val="auto"/>
              </w:rPr>
              <w:t>(1)</w:t>
            </w:r>
          </w:p>
        </w:tc>
        <w:tc>
          <w:tcPr>
            <w:tcW w:w="1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0"/>
              </w:rPr>
              <w:t>3Dent related consulting</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4500" w:type="dxa"/>
            <w:vAlign w:val="bottom"/>
          </w:tcPr>
          <w:p>
            <w:pPr>
              <w:ind w:left="4240"/>
              <w:spacing w:after="0"/>
              <w:rPr>
                <w:sz w:val="20"/>
                <w:szCs w:val="20"/>
                <w:color w:val="auto"/>
              </w:rPr>
            </w:pPr>
            <w:r>
              <w:rPr>
                <w:rFonts w:ascii="Arial" w:cs="Arial" w:eastAsia="Arial" w:hAnsi="Arial"/>
                <w:sz w:val="18"/>
                <w:szCs w:val="18"/>
                <w:color w:val="auto"/>
              </w:rPr>
              <w:t>(2)</w:t>
            </w: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MAR related sales</w:t>
            </w: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order to achieve success in commercializing our products, we must expand our customer base and obtain commercial contracts to lease or sell our solutions and services to customers. Our potential customer base for our </w:t>
      </w:r>
      <w:r>
        <w:rPr>
          <w:rFonts w:ascii="Arial" w:cs="Arial" w:eastAsia="Arial" w:hAnsi="Arial"/>
          <w:sz w:val="17"/>
          <w:szCs w:val="17"/>
          <w:color w:val="333333"/>
        </w:rPr>
        <w:t>solutions</w:t>
      </w:r>
      <w:r>
        <w:rPr>
          <w:rFonts w:ascii="Arial" w:cs="Arial" w:eastAsia="Arial" w:hAnsi="Arial"/>
          <w:sz w:val="17"/>
          <w:szCs w:val="17"/>
          <w:color w:val="auto"/>
        </w:rPr>
        <w:t xml:space="preserve">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as well as consultative and other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and Recent Customers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MAR has contracted to build WAM-Vs for Brigham Young University, Nippon Kaiyo, and the Naval Surface Warfare Center.</w:t>
      </w:r>
    </w:p>
    <w:p>
      <w:pPr>
        <w:spacing w:after="0" w:line="225" w:lineRule="exact"/>
        <w:rPr>
          <w:rFonts w:ascii="Arial" w:cs="Arial" w:eastAsia="Arial" w:hAnsi="Arial"/>
          <w:sz w:val="18"/>
          <w:szCs w:val="18"/>
          <w:i w:val="1"/>
          <w:iCs w:val="1"/>
          <w:color w:val="auto"/>
        </w:rPr>
      </w:pPr>
    </w:p>
    <w:p>
      <w:pPr>
        <w:jc w:val="both"/>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June 2021, the Company was notified of a pre-award for a Department of Energy (“DOE”) Small Business Innovation Research program (“SBIR”) to support the development of the next generation of our wave energy conversion systems. In August 2021, we completed all required documentation, signed the DOE contract and initiated the 9-month project which began in the second quarter of fiscal 2022.</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Throughout the first nine months of fiscal 2022, our Strategic Consulting Services, continued to generate revenues from both prior and new customers of approximately $424,000. Notably, we advanced several large projects in the pipeline to an advanced stage with larger oil and gas operators and offshore wind developers.</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November 2020, the Company entered into an agreement with the OOC to provide engineering and technical services for a new project under the DeepStar Global Technology Consortium Program. This project showcased our Power as a Service solution among well-known operators in the industry. This project was completed in July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hanging="328"/>
        <w:spacing w:after="0" w:line="30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October 2020, the Company entered into an agreement with ACET to conduct a feasibility study for the evaluation of a PB3 power and 5G communications solution in support of the U.S. Navy Naval Postgraduate School’s SLAMR initiative. The study was completed, and the Company is currently in active discussions with the SLAMR Consortium on the project’s next steps on providing the data and power solution. The SLAMR initiative is ongoing and on October 29, 2021, the SLAMR Consortium released additional information about the project into the market.</w:t>
      </w:r>
    </w:p>
    <w:p>
      <w:pPr>
        <w:spacing w:after="0" w:line="157"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March 2020, Eni exercised their option from the March 2018 contract to extend their lease of the PB3 for an additional 18 months. The initial provision in March 2018 agreement provided for a minimum 24-month contract that included an 18-month PB3 lease and associated project management. In November 2020, Eni retrieved the PB3 and returned it to shore due to a mooring issue. The PB3 has since been returned to our headquarters in New Jersey and has completed its refurbishment and is being readied to deploy as part of our MDAS demonstration off the coast of New Jersey.</w:t>
      </w:r>
    </w:p>
    <w:p>
      <w:pPr>
        <w:spacing w:after="0" w:line="18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September 2019, we entered into two contracts with subsidiaries of EGP, which included the sale of a PB3 and the development and supply of a turn-key integrated Open Sea Lab (“OSL”) that was expected to be the Company’s first deployment off the coast of Chile. Due to the COVID-19 pandemic, force majeure was declared in April 2020 and delayed the deployment. In March 2021, the Company began the deployment process and placed the PB3 in the water. During the first nine months of fiscal 2022, deployment installation activities were performed, and additional activities are expected to be performed over the next fiscal quarter.</w:t>
      </w:r>
    </w:p>
    <w:p>
      <w:pPr>
        <w:spacing w:after="0" w:line="18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June 2018, we entered into a contract with Harbour Energy for the lease of a PB3 to be deployed in one of Harbour Energy’s offshore fields in the North Sea. During its deployment, the PB3 provided unmanned EZM service. In early March 2020 the Company and Harbour Energy retrieved the PB3. This PB3 has since been returned to our headquarters in New Jersey and is currently being refurbished to be redeployed. During the second quarter of fiscal 2022 we entered into a contract with Aker Solutions to support a study integrating the PB3 system for the next phase of Harbour Energy’s development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our solutions are best developed, sold, deployed, and maintained together with subject matter experts in their respective fields. This enables the Company to protect, maintain, and evolve our power platforms and integrate them with surface and subsea payloads. The Company has previously entered into partnerships focused on including, but not limited to, deployment and installations, sourcing of surface payloads, and integration with autonomous vehicles. To further develop the MDAS, we recently entered into strategic software and robotics partnerships with two software companies, Greensea Systems, Inc. and Fathom5. We believe the partnerships with Greensea and Fathom5 will further the development of our next-generation MDAS product for the maritime industrial market and governmental defense and security organizations.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Greensea Systems, Inc. is contributing to the Company’s MDAS by providing integration software, control software, autonomy and systems integration for the buoy sensor payload.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Fathom5 is designing and building a customized industrial analytics platform to support the Company’s MDAS. The Fathom5 customized platform will integrate sensor technologies, combine data feeds, and provide a flexible plug-in analytic capability to apply artificial intelligence and machine learning to sensor feeds. Fathom5 is also building the user interface that will allow remote operators to control the MDAS payload and view sensor data in real time.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active dialogues with several offshore deployment and marine operations partners in the North Sea and North America to support our projects.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2021 and the first nine months of fiscal 2022, we advanced our marketing programs, products, and solutions. We have made progress in transitioning from R&amp;D to commercialization and moving further into the ocean data as a service market. We intend to build on these efforts by implementing processes and solutions that cover the entire life cycle, from demand generation to close of contract, and from channel strategies to customer care. This strategy was further enhanced by our acquisition of MAR in November 2021.</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Most of the Company’s opportunities with potential customers have been for projects in Western Europe, including the North Sea, as well as North and South America, and South East Asia. Nearly two-thirds of these opportunities have progressed past initial feasibility and non-disclosure agreement stages to more detailed, confidential discussions around specific customer applications. Many proposal requests are for projects where one of our PowerBuoy® products, either the PB3, the hPB, or our subsea battery is part of a larger solution deployment, and typically include the potential lease or sale of one or more of our solutions deployed on our PowerBuoy® platforms, as well as required services and maintenance support.</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Historically, demonstration projects have been a necessary step toward broad solution deployment and revenues associated with specific applications like our New Jersey MDAS test array as part of our Data as a Service offering. A proposal phase typically lasts from three months to more than one year. During the demonstration project specification, negotiation and evaluation period, we are often subject to the prospective customer’s vendor qualification process, which entails substantial due diligence of the Company and capabilities and may include negotiation of standard terms and conditions. Many proposals contain provisions which would mandate the sale or lease of our PowerBuoy® product upon successful conclusion of the demonstration project.</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pursuing a long-term growth strategy to expand its market value proposition while building the Company’s revenue base. This strategy includes partnerships with leading companies in adjacent and complementary markets. We continue to commercialize our PowerBuoy® products for use in remote offshore power and real-time data communications applications, and in order to achieve this goal, we are pursuing the following business objectives:</w:t>
      </w:r>
    </w:p>
    <w:p>
      <w:pPr>
        <w:spacing w:after="0" w:line="187" w:lineRule="exact"/>
        <w:rPr>
          <w:sz w:val="20"/>
          <w:szCs w:val="20"/>
          <w:color w:val="auto"/>
        </w:rPr>
      </w:pPr>
    </w:p>
    <w:p>
      <w:pPr>
        <w:jc w:val="both"/>
        <w:ind w:left="660" w:hanging="328"/>
        <w:spacing w:after="0" w:line="270"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Integrated turn-key solutions, sales or leases. </w:t>
      </w:r>
      <w:r>
        <w:rPr>
          <w:rFonts w:ascii="Arial" w:cs="Arial" w:eastAsia="Arial" w:hAnsi="Arial"/>
          <w:sz w:val="17"/>
          <w:szCs w:val="17"/>
          <w:color w:val="auto"/>
        </w:rPr>
        <w:t>We believe our Data and Power as a Service offerings, together with our platforms, are well suited to</w:t>
      </w:r>
      <w:r>
        <w:rPr>
          <w:rFonts w:ascii="Arial" w:cs="Arial" w:eastAsia="Arial" w:hAnsi="Arial"/>
          <w:sz w:val="17"/>
          <w:szCs w:val="17"/>
          <w:i w:val="1"/>
          <w:iCs w:val="1"/>
          <w:color w:val="auto"/>
        </w:rPr>
        <w:t xml:space="preserve"> </w:t>
      </w:r>
      <w:r>
        <w:rPr>
          <w:rFonts w:ascii="Arial" w:cs="Arial" w:eastAsia="Arial" w:hAnsi="Arial"/>
          <w:sz w:val="17"/>
          <w:szCs w:val="17"/>
          <w:color w:val="auto"/>
        </w:rPr>
        <w:t>enable many uncrewed, autonomous (non-grid connected) offshore solutions, such as topside and subsea surveillance and communications, subsea equipment monitoring, early warning systems platform and subsea power and buffering, and weather and climate data collection. We have investigated and realized market demand for some of these solutions and we intend to sell and lease our products to these markets as part of these broader integrated solutions. Additionally, we intend to provide services associated with our solution offerings such as paid engineering studies, value-added engineering, maintenance, remote monitoring and diagnostic, application engineering, planning, training, project management, and marine and logistics support required for our solution life cycle. We continue to increase our commercial capabilities through new hires in sales and application support, and through engagement of expert market consultants in various geographies. As our MDAS grows, we expect that this will also include data and cloud services.</w:t>
      </w:r>
    </w:p>
    <w:p>
      <w:pPr>
        <w:spacing w:after="0" w:line="180"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Expand customer system solution offerings through new complimentary products that enable shorter and more cost-efficient deployments. </w:t>
      </w:r>
      <w:r>
        <w:rPr>
          <w:rFonts w:ascii="Arial" w:cs="Arial" w:eastAsia="Arial" w:hAnsi="Arial"/>
          <w:sz w:val="18"/>
          <w:szCs w:val="18"/>
          <w:color w:val="auto"/>
        </w:rPr>
        <w:t>We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continuously improving our technology solutions. The hPB is highly complementary to the PB3 by providing the Company the opportunity to address a broader spectrum of customer deployment needs, including low-wave environments, with the potential for greater system integration within each customer project. The hPB is intended for deployments for which the PB3 is not suitable, including shorter term missions and very low wave environments. It supports deployment applications such as maritime domain awareness and communications, eROV and AUV inspections and subsea equipment and controls.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has developed a subsea battery system that is complimentary to the Company’s PowerBuoy® products. The subsea battery system offers the possibility of creating a sea floor energy storage solution for remote offshore operations. These subsea battery systems contain lithium-ion batteries, which provide high power density to supply power to subsea equipment, sensors, communications, and the recharging of AUVs and eROVs.</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Ideal for many remote offshore customer applications, these subsea battery systems are anticipated to be safe, high performance, cost-efficient, and quickly deployable.</w:t>
      </w:r>
    </w:p>
    <w:p>
      <w:pPr>
        <w:spacing w:after="0" w:line="170" w:lineRule="exact"/>
        <w:rPr>
          <w:sz w:val="20"/>
          <w:szCs w:val="20"/>
          <w:color w:val="auto"/>
        </w:rPr>
      </w:pPr>
    </w:p>
    <w:p>
      <w:pPr>
        <w:jc w:val="both"/>
        <w:ind w:left="660" w:hanging="328"/>
        <w:spacing w:after="0" w:line="272"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Focus sales and marketing efforts in global markets. </w:t>
      </w:r>
      <w:r>
        <w:rPr>
          <w:rFonts w:ascii="Arial" w:cs="Arial" w:eastAsia="Arial" w:hAnsi="Arial"/>
          <w:sz w:val="17"/>
          <w:szCs w:val="17"/>
          <w:color w:val="auto"/>
        </w:rPr>
        <w:t>While we are marketing our products and services globally, we have focused on several key</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and applications, including US and foreign defense and security applications with our MDAS offering; subsea power for oil and gas; and the hydrographic survey market in US, Europe and Australia with the WAM-V’s. We believe that each of these areas has demand for our solutions, sizable end market opportunities, political and economic stability, and high levels of industrialization and economic development. In fiscal 2021, we opened an office in Houston, Texas to further support our customers and strengthen our dialogue with our solution partners. During fiscal 2022, we further solidified our European footprint, concentrating on our North Sea resource. We are in active discussions with potential partners in North and South America, Southeast Asia and West Africa.</w:t>
      </w:r>
    </w:p>
    <w:p>
      <w:pPr>
        <w:spacing w:after="0" w:line="177"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Expand our relationships in key market areas through strategic partnerships and collaborations. </w:t>
      </w:r>
      <w:r>
        <w:rPr>
          <w:rFonts w:ascii="Arial" w:cs="Arial" w:eastAsia="Arial" w:hAnsi="Arial"/>
          <w:sz w:val="18"/>
          <w:szCs w:val="18"/>
          <w:color w:val="auto"/>
        </w:rPr>
        <w:t>We believe that strategic partners are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commercializing new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Since our acquisition of 3Dent and MAR, we have been actively pursuing additional opportunities to bring in-house skills, capabilities, and solutions that are complementary to our strategy and enable us to scale more quickly.</w:t>
      </w:r>
    </w:p>
    <w:p>
      <w:pPr>
        <w:spacing w:after="0" w:line="191"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Partnering with fabrication, deployment and service support</w:t>
      </w:r>
      <w:r>
        <w:rPr>
          <w:rFonts w:ascii="Arial" w:cs="Arial" w:eastAsia="Arial" w:hAnsi="Arial"/>
          <w:sz w:val="17"/>
          <w:szCs w:val="17"/>
          <w:color w:val="auto"/>
        </w:rPr>
        <w:t>. In order to minimize our capital requirements as we scale our business, we intend to</w:t>
      </w:r>
      <w:r>
        <w:rPr>
          <w:rFonts w:ascii="Arial" w:cs="Arial" w:eastAsia="Arial" w:hAnsi="Arial"/>
          <w:sz w:val="17"/>
          <w:szCs w:val="17"/>
          <w:i w:val="1"/>
          <w:iCs w:val="1"/>
          <w:color w:val="auto"/>
        </w:rPr>
        <w:t xml:space="preserve"> </w:t>
      </w:r>
      <w:r>
        <w:rPr>
          <w:rFonts w:ascii="Arial" w:cs="Arial" w:eastAsia="Arial" w:hAnsi="Arial"/>
          <w:sz w:val="17"/>
          <w:szCs w:val="17"/>
          <w:color w:val="auto"/>
        </w:rPr>
        <w:t>optimize and utilize state of the art fabrication, anchoring, mooring, cabling supply, and in some cases, deployment of our products and solutions. Our PTO is a proprietary subsystem that is assembled and tested at our facility. We believe this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p>
      <w:pPr>
        <w:spacing w:after="0" w:line="17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Survey and security market applications. </w:t>
      </w:r>
      <w:r>
        <w:rPr>
          <w:rFonts w:ascii="Arial" w:cs="Arial" w:eastAsia="Arial" w:hAnsi="Arial"/>
          <w:sz w:val="18"/>
          <w:szCs w:val="18"/>
          <w:color w:val="auto"/>
        </w:rPr>
        <w:t>With the addition of the WAM-V, we are able to increase our ability to lease vehicles specifically to</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the survey markets as well as security applications while integrating MDA into these solutions.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first nine months ending January 31, 2022, the Company incurred a net loss of approximately $13.7 million and used cash in operating activities of approximately $15.3 million.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performance of its products, its ability to market and commercialize its products and new products that it may develop, technology development, scalability of technology and production, dependence on skills of key personnel, concentration of customers and suppliers, deployment risks and integration of acquisitions, pending or threatened litigation, and the continued impact of COVID-19 and its variants on its business. The Company currently has committed sources of equity financing through its At the Market Offering Agreement with A.G.P/Alliance Global Partners (“AGP”) and the Aspire Capital financing, but the Company cannot be sure that additional equity and/or debt financing will be available to the Company as needed on acceptable terms, or at all. Management believes the Company’s current cash balance of $63.8 million is sufficient to fund its planned expenditures through at least March 2023. In addition to the acquisition of 3Dent in the prior year and MAR in November 2021, the Company is looking at further organic and inorganic growth opportunities to advance our data and power services and solutions.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Agreements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7, 2019, the Company entered into an At the Market Offering Agreement (“2019 ATM Facility”) with AGP, under which the Company may issue and sell to or through AGP, acting as agent and/or principal, shares of the Company’s common stock having an aggregate offering price of up to $25.0 million. From inception of the program through its termination on December 8, 2020, under the 2019 ATM Facility, the Company sold and issued an aggregate of 17,595,472 shares of its common stock with an aggregate market value of $23.4 million at an average price of $1.33 per share and paid AGP a sales commission of approximately $0.8 million related to those shares. The agreement was fully utilized and terminated on December 8, 2020.</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20, 2020, the Company entered into an At the Market Offering Agreement with AGP (the “2020 ATM Facility”). On December 4, 2020 the Company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April 30, 2021, the Company sold and issued an aggregate of 17,179,883 shares of its common stock with an aggregate market value of $50.0 million at an average price of $2.91 per share and paid AGP a sales commission of approximately $1.6 million related to those shares. A prospectus supplement was filed on January 10, 2022 to allow the Company to sell an additional $25.0 million (or an aggregate of $75.0 million) under the 2020 ATM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 Common Stock Purchase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24, 2019, the Company entered into a common stock purchase agreement with Aspire Capital which provided that, subject to certain terms, conditions and limitations, Aspire Capital was committed to purchase up to an aggregate of $10.0 million shares of the Company’s common stock over a 30-month period. Through September 18, 2020, the Company had sold an aggregate of 6,424,205 shares of common stock with an aggregate market value of $4.0 million at an average price of $0.63 per share pursuant to this common stock purchase agreement. The agreement was fully utilized and terminated on September 18, 2020.</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18, 2020, the Company entered into a new common stock purchase agreement with Aspire 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shareholders on December 23, 2020 for the sale of 9,864,706 additional shares of common stock which exceeds the 19.99% limit of outstanding common stock on the date of the agreement. Through January 31, 2022, the Company had sold an aggregate of 3,722,251 shares of common stock with an aggregate market value of $11.8 million at an average price of $3.17 per share pursuant to this common stock purchase agreement. The Company is able to purchase an additional $0.7 million in shares under the agreement with Aspire Capital, which expires in March of 2023.</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sale of additional equity or convertible securities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The Company has obtained equity financing through its At the Market Offering Agreement with AGP and the Aspire Capital financing, but the Company cannot be sure that additional equity and/or debt financing will be available to the Company as needed on acceptable terms,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31, 2022, the Company’s backlog was $0.8 million. As of April 30, 2021, backlog was $0.2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input method used to measure completion over time of customer contracts, and changes in estimates from time to time may have a significant effect on revenue and backlog. Our backlog is also typically subject to large variations from time to time due to the timing of new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2021. There were no material changes to our critical accounting estimates or accounting policies during the nine months ended January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Financial Accounting Standards Board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This amendment replaces the incurred loss impairment methodology in current GAAP with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Instruments—Credit Losses (Topic 326), Derivatives and Hedging (Topic 815), and Leases (Topic 842)</w:t>
      </w:r>
      <w:r>
        <w:rPr>
          <w:rFonts w:ascii="Arial" w:cs="Arial" w:eastAsia="Arial" w:hAnsi="Arial"/>
          <w:sz w:val="17"/>
          <w:szCs w:val="17"/>
          <w:color w:val="auto"/>
        </w:rPr>
        <w:t>, which deferred the effective date of 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for Smaller Reporting Companies for fiscal years beginning after December 15, 2022, including interim periods within those fiscal years. The Company is currently evaluating the impact of the adoption of ASU 2016-13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nature of the Company’s contracts may give rise to several types of variable considerations,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January 31, 2022 and 2021.</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nine-month periods ended January 31, 2022 and 2021, all of the Company’s contracts were classified as firm fixed price.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31, 2022, the Company’s total remaining performance obligations, also referred to as backlog, totaled $0.8 million. The Company expects to recognize approximately 100% of the remaining performance obligations as revenue over the next twelve months.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enters into lease arrangements for its PB3 and WAM-V with certain customers. Revenue related to multiple-element arrangements is allocated to lease and non-lease elements based on their relative standalone selling prices or expected cost plus a margin approach. Lease elements generally include a PB3 or WAM-V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classifies leases as either operating or financing in accordance with the authoritative accounting guidance contained within ASC Topic 842,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At inception of the contract, the Company evaluates the lease against the lease classification criteria within ASC Topic 842. If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or sales-type classification criteria are met, then the lease is accounted for as a finance lease. All others are treated as an operating lease.</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recognizes revenue from operating lease arrangements generally on a straight-line basis over the lease term and is presented in Revenues in the Consolidated Statement of Operations. The lease income for the nine months ended January 31, 2022 and 2021 was immaterial.</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nine months ended January 31, 2022 and 2021.</w:t>
      </w:r>
    </w:p>
    <w:p>
      <w:pPr>
        <w:sectPr>
          <w:pgSz w:w="11900" w:h="16838" w:orient="portrait"/>
          <w:cols w:equalWidth="0" w:num="1">
            <w:col w:w="11240"/>
          </w:cols>
          <w:pgMar w:left="320" w:top="233" w:right="339" w:bottom="1440" w:gutter="0" w:footer="0" w:header="0"/>
        </w:sectPr>
      </w:pPr>
    </w:p>
    <w:p>
      <w:pPr>
        <w:spacing w:after="0" w:line="180" w:lineRule="exact"/>
        <w:rPr>
          <w:sz w:val="20"/>
          <w:szCs w:val="20"/>
          <w:color w:val="auto"/>
        </w:rPr>
      </w:pPr>
    </w:p>
    <w:p>
      <w:pPr>
        <w:jc w:val="center"/>
        <w:ind w:left="428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31750</wp:posOffset>
            </wp:positionV>
            <wp:extent cx="20916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91690" cy="17145"/>
                    </a:xfrm>
                    <a:prstGeom prst="rect">
                      <a:avLst/>
                    </a:prstGeom>
                    <a:noFill/>
                  </pic:spPr>
                </pic:pic>
              </a:graphicData>
            </a:graphic>
          </wp:anchor>
        </w:drawing>
      </w:r>
    </w:p>
    <w:p>
      <w:pPr>
        <w:spacing w:after="0" w:line="53" w:lineRule="exact"/>
        <w:rPr>
          <w:sz w:val="20"/>
          <w:szCs w:val="20"/>
          <w:color w:val="auto"/>
        </w:rPr>
      </w:pPr>
    </w:p>
    <w:p>
      <w:pPr>
        <w:ind w:left="4840"/>
        <w:spacing w:after="0"/>
        <w:tabs>
          <w:tab w:leader="none" w:pos="664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Nine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31750</wp:posOffset>
            </wp:positionV>
            <wp:extent cx="20402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40255" cy="17145"/>
                    </a:xfrm>
                    <a:prstGeom prst="rect">
                      <a:avLst/>
                    </a:prstGeom>
                    <a:noFill/>
                  </pic:spPr>
                </pic:pic>
              </a:graphicData>
            </a:graphic>
          </wp:anchor>
        </w:drawing>
      </w:r>
    </w:p>
    <w:p>
      <w:pPr>
        <w:spacing w:after="0" w:line="53" w:lineRule="exact"/>
        <w:rPr>
          <w:sz w:val="20"/>
          <w:szCs w:val="20"/>
          <w:color w:val="auto"/>
        </w:rPr>
      </w:pPr>
    </w:p>
    <w:p>
      <w:pPr>
        <w:ind w:left="160"/>
        <w:spacing w:after="0"/>
        <w:tabs>
          <w:tab w:leader="none" w:pos="19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7" w:lineRule="exact"/>
        <w:rPr>
          <w:sz w:val="20"/>
          <w:szCs w:val="20"/>
          <w:color w:val="auto"/>
        </w:rPr>
      </w:pPr>
    </w:p>
    <w:p>
      <w:pPr>
        <w:sectPr>
          <w:pgSz w:w="11900" w:h="16838" w:orient="portrait"/>
          <w:cols w:equalWidth="0" w:num="2">
            <w:col w:w="7580" w:space="720"/>
            <w:col w:w="294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(in thousands)</w:t>
            </w: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4"/>
          </w:tcPr>
          <w:p>
            <w:pPr>
              <w:jc w:val="right"/>
              <w:ind w:right="327"/>
              <w:spacing w:after="0"/>
              <w:rPr>
                <w:sz w:val="20"/>
                <w:szCs w:val="20"/>
                <w:color w:val="auto"/>
              </w:rPr>
            </w:pPr>
            <w:r>
              <w:rPr>
                <w:rFonts w:ascii="Arial" w:cs="Arial" w:eastAsia="Arial" w:hAnsi="Arial"/>
                <w:sz w:val="18"/>
                <w:szCs w:val="18"/>
                <w:color w:val="auto"/>
              </w:rPr>
              <w:t>(in thousands)</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5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760" w:type="dxa"/>
            <w:vAlign w:val="bottom"/>
            <w:gridSpan w:val="2"/>
            <w:shd w:val="clear" w:color="auto" w:fill="CCEEFF"/>
          </w:tcPr>
          <w:p>
            <w:pPr>
              <w:jc w:val="right"/>
              <w:ind w:right="587"/>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Department of Energy</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102</w:t>
            </w:r>
          </w:p>
        </w:tc>
        <w:tc>
          <w:tcPr>
            <w:tcW w:w="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ACET</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Valaris (1)</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Brigham Young University (2)</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Nippon Kaiyo (2)</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Naval Surface Warfare Center (2)</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98</w:t>
            </w:r>
          </w:p>
        </w:tc>
        <w:tc>
          <w:tcPr>
            <w:tcW w:w="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(no customer over 10%)</w:t>
            </w:r>
          </w:p>
        </w:tc>
        <w:tc>
          <w:tcPr>
            <w:tcW w:w="9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w:t>
            </w:r>
          </w:p>
        </w:tc>
        <w:tc>
          <w:tcPr>
            <w:tcW w:w="7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1"/>
                <w:szCs w:val="21"/>
                <w:color w:val="auto"/>
              </w:rPr>
            </w:pPr>
          </w:p>
        </w:tc>
      </w:tr>
      <w:tr>
        <w:trPr>
          <w:trHeight w:val="216"/>
        </w:trPr>
        <w:tc>
          <w:tcPr>
            <w:tcW w:w="33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340" w:type="dxa"/>
            <w:vAlign w:val="bottom"/>
            <w:tcBorders>
              <w:top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264"/>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3Dent related consulting</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 related sales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focus our sales and marketing efforts globally. The following table shows the percentage of our revenues by geographical location of our customers for the nine months ended January 31,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Customer Location</w:t>
            </w:r>
          </w:p>
        </w:tc>
        <w:tc>
          <w:tcPr>
            <w:tcW w:w="38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Nine months ended January 31,</w:t>
            </w:r>
          </w:p>
        </w:tc>
        <w:tc>
          <w:tcPr>
            <w:tcW w:w="0" w:type="dxa"/>
            <w:vAlign w:val="bottom"/>
          </w:tcPr>
          <w:p>
            <w:pPr>
              <w:spacing w:after="0"/>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6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South America</w:t>
            </w:r>
          </w:p>
        </w:tc>
        <w:tc>
          <w:tcPr>
            <w:tcW w:w="204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184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83%</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revenues consists primarily of subcontracts, incurred material, labor and manufacturing overhead expenses, such as engineering expense, equipment depreciation and maintenance and facility related expenses, and includes the cost of equipment to customize the PowerBuoy® and our other products supplied by third-party suppliers. Cost of revenues also includes PowerBuoy® and other product system delivery and deployment expenses and may include anticipated losses at completion on certain contracts.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other products, to enhance and optimize data monitoring and controls systems, and to the development of new products, product applications and complementary technologies. We expense all of our engineering and product development costs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products and costs for executive, accounting and administrative personnel, professional fees and other general corporate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net consists of interest received on cash, cash equivalents and money market fund and interest paid on certain obligations to third parties.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cash accounts that are denominated in British pounds sterling, Euros and Australian dollars. These foreign-denominated accounts had a balance of $30,000 as of January 31, 2022 and January 31, 2021, compared to our total cash, cash equivalents and restricted cash balances of $64.1 million as of January 31, 2022 and $80.4 million as of January 31, 2021. These foreign currency balances are translated each month into our functional currency, and any resulting gain or loss is recognized in our results of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during the nine months ended January 31, 2022, a portion of our operations was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2022 compared to the three months ended January 31, 2021</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January 31,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January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40" w:type="dxa"/>
            <w:vAlign w:val="bottom"/>
          </w:tcPr>
          <w:p>
            <w:pPr>
              <w:spacing w:after="0"/>
              <w:rPr>
                <w:sz w:val="18"/>
                <w:szCs w:val="18"/>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CEEFF"/>
          </w:tcPr>
          <w:p>
            <w:pPr>
              <w:jc w:val="right"/>
              <w:ind w:right="95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484</w:t>
            </w:r>
          </w:p>
        </w:tc>
        <w:tc>
          <w:tcPr>
            <w:tcW w:w="1140" w:type="dxa"/>
            <w:vAlign w:val="bottom"/>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Cost of revenues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597</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698</w:t>
            </w:r>
          </w:p>
        </w:tc>
      </w:tr>
      <w:tr>
        <w:trPr>
          <w:trHeight w:val="209"/>
        </w:trPr>
        <w:tc>
          <w:tcPr>
            <w:tcW w:w="7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2,465</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1,019</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2,974</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1,763</w:t>
            </w:r>
          </w:p>
        </w:tc>
      </w:tr>
      <w:tr>
        <w:trPr>
          <w:trHeight w:val="209"/>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Operating loss</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(5,552)</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(3,163)</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income, net</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25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60</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3</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(5,471)</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Income tax benefit</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tcBorders>
              <w:top w:val="single" w:sz="8" w:color="auto"/>
              <w:bottom w:val="single" w:sz="8" w:color="auto"/>
            </w:tcBorders>
            <w:shd w:val="clear" w:color="auto" w:fill="CCEEFF"/>
          </w:tcPr>
          <w:p>
            <w:pPr>
              <w:jc w:val="right"/>
              <w:ind w:right="95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the three months ended January 31, 2022 and 2021 were $0.5 million and $0.3 million, respectively. The year-over-year increase was primarily due to higher levels of revenue derived from our EGP contract, new revenues related to MAR and new consulting services work from 3Dent projects as compared to the same period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revenues for the three months ended January 31, 2022 and 2021 were $0.6 million and $0.7 million, respectively. The decrease from 2020 was mostly due to the acquisitions of both MAR and 3Dent, as they have a lower cost ratio related to their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Engineering and product development costs for the three months ended January 31, 2022 and 2021 were $2.5 million and $1.0 million, respectively. The year over year increase is the result of higher spending on new product development related to increases in materials, labor, overhead and costs associated with Greensea and Fathom5.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costs for the three months ended January 31, 2022 and 2021 were $3.0 million and $1.8 million, respectively. The increase of $1.2 million for the three months ended January 31, 2022 was primarily due to higher professional fees of $0.7 million, and employee related costs of $0.3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January 31, 2022 compared to the nine months ended January 31, 2021</w:t>
      </w:r>
    </w:p>
    <w:p>
      <w:pPr>
        <w:spacing w:after="0" w:line="22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nine months ended January 31,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8"/>
                <w:szCs w:val="18"/>
                <w:b w:val="1"/>
                <w:bCs w:val="1"/>
                <w:color w:val="auto"/>
              </w:rPr>
              <w:t>Nine months ended January 31,</w:t>
            </w:r>
          </w:p>
        </w:tc>
        <w:tc>
          <w:tcPr>
            <w:tcW w:w="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1,003</w:t>
            </w:r>
          </w:p>
        </w:tc>
        <w:tc>
          <w:tcPr>
            <w:tcW w:w="1120" w:type="dxa"/>
            <w:vAlign w:val="bottom"/>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Cost of revenues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1,320</w:t>
            </w:r>
          </w:p>
        </w:tc>
        <w:tc>
          <w:tcPr>
            <w:tcW w:w="1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1,248</w:t>
            </w:r>
          </w:p>
        </w:tc>
        <w:tc>
          <w:tcPr>
            <w:tcW w:w="80" w:type="dxa"/>
            <w:vAlign w:val="bottom"/>
          </w:tcPr>
          <w:p>
            <w:pPr>
              <w:spacing w:after="0"/>
              <w:rPr>
                <w:sz w:val="18"/>
                <w:szCs w:val="18"/>
                <w:color w:val="auto"/>
              </w:rPr>
            </w:pPr>
          </w:p>
        </w:tc>
      </w:tr>
      <w:tr>
        <w:trPr>
          <w:trHeight w:val="210"/>
        </w:trPr>
        <w:tc>
          <w:tcPr>
            <w:tcW w:w="7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7,518</w:t>
            </w:r>
          </w:p>
        </w:tc>
        <w:tc>
          <w:tcPr>
            <w:tcW w:w="1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7,933</w:t>
            </w:r>
          </w:p>
        </w:tc>
        <w:tc>
          <w:tcPr>
            <w:tcW w:w="1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5,591</w:t>
            </w:r>
          </w:p>
        </w:tc>
        <w:tc>
          <w:tcPr>
            <w:tcW w:w="80" w:type="dxa"/>
            <w:vAlign w:val="bottom"/>
          </w:tcPr>
          <w:p>
            <w:pPr>
              <w:spacing w:after="0"/>
              <w:rPr>
                <w:sz w:val="18"/>
                <w:szCs w:val="18"/>
                <w:color w:val="auto"/>
              </w:rPr>
            </w:pPr>
          </w:p>
        </w:tc>
      </w:tr>
      <w:tr>
        <w:trPr>
          <w:trHeight w:val="209"/>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15,451</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(15,768)</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(9,569)</w:t>
            </w:r>
          </w:p>
        </w:tc>
        <w:tc>
          <w:tcPr>
            <w:tcW w:w="10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income, net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56</w:t>
            </w:r>
          </w:p>
        </w:tc>
        <w:tc>
          <w:tcPr>
            <w:tcW w:w="1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60</w:t>
            </w:r>
          </w:p>
        </w:tc>
        <w:tc>
          <w:tcPr>
            <w:tcW w:w="1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Gain on forgiveness of PPP loan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890</w:t>
            </w:r>
          </w:p>
        </w:tc>
        <w:tc>
          <w:tcPr>
            <w:tcW w:w="11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(14,762)</w:t>
            </w: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(9,560)</w:t>
            </w:r>
          </w:p>
        </w:tc>
        <w:tc>
          <w:tcPr>
            <w:tcW w:w="10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1,041</w:t>
            </w:r>
          </w:p>
        </w:tc>
        <w:tc>
          <w:tcPr>
            <w:tcW w:w="1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top w:val="single" w:sz="8" w:color="auto"/>
            </w:tcBorders>
          </w:tcPr>
          <w:p>
            <w:pPr>
              <w:jc w:val="right"/>
              <w:ind w:right="91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(13,721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tcBorders>
          </w:tcPr>
          <w:p>
            <w:pPr>
              <w:jc w:val="right"/>
              <w:ind w:right="96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the nine months ended January 31, 2022 and 2021 were $1.0 million and $0.6 million, respectively. The year-over-year increase was primarily due to higher levels of revenue derived from our EGP contract, new work from MAR, and new work with 3Dent consulting services projects as compared to the same period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revenues for the nine months ended January 31, 2022 and 2021 were $1.3 million and $1.2 million, respectively. The increase over 2020 was mostly due to new costs related to MAR sales and higher deployment and material costs incurred on the EGP contract for the nine months ended January 31, 2022 as compared to the nine months ended January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Engineering and product development costs for the nine months ended January 31, 2022 and 2021 were $7.5 million and $3.3 million, respectively. The increase of approximately $4.2 million was the result of higher spending on new product development costs related to increases in materials, labor, overhead and costs associated with subcontractors Greensea and Fathom5.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costs for the nine months ended January 31, 2022 and 2021 were $7.9 million and $5.6 million, respectively. The increase of $2.3 million for the nine months ended January 31, 2022 was primarily due to higher professional fees related to consultants, contractors, legal and accounting of $1.2 million, employee related costs of $0.6 million and stock compensation expense related to 3Dent of $0.5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Forgiveness of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filed its loan forgiveness application at the end of February 2021 asking for 100% forgiveness of the loan. In June 2021, the Company was informed that its application was approved, the loan is now fully forgiven, and the Company recognized a gain on extinguishment of PPP loan of $0.9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cash requirements relate primarily to working capital needed to operate and grow our business including funding operating expenses. We have experienced and continue to experience negative cash flows from operations and net losses. The Company incurred net losses of $13.7 million and $9.6 million for the nine months ended January 31, 2022 and 2021, respectively. Refer to “Liquidity Outlook” below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January 31, 2022, net cash flows used in operating activities was $15.3 million, an increase of $6.8 million compared to net cash used in operating activities during the nine months ended January 31, 2021. This increase is primarily due to higher project and employee related costs and the payment on the settlement of litigation, discussed in Note 15 to the Consolidated Financial Statements under Part I, Item 1 of this report, of approximately $1.2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during the nine months ended January 31, 2022 was $3.9 million, compared to zero cash used for investing activities during the nine months ended January 31, 2021. The net cash used in investing activities was due to spending on the purchase of property, plant and equipment of $0.3 million and the net acquisition costs of MAR of $3.6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in/provided by financing activities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used in financing activities during the nine months ended January 31, 2022 was $0.1 compared to net cash provided by financing activities during the nine months ended January 31, 2021 of $78.0 million. The decrease in net cash provided by financing activities reflects the combination of no capital raises during the first half of fiscal 2022 in addition to proceeds related to the PPP loan and capital raises related to Aspire and AGP in the prior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exchange rates on cash and cash equivalents was a decrease of approximately $14,000 during the nine months ended January 31, 2022. The effect of exchange rates on cash and cash equivalents results primarily from gains or losses on consolidation of foreign subsidiaries and foreign denominated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our business. For the two years ended April 30, 2021 and 2020, our aggregate revenues were $2.9 million, our aggregate net losses were $25.1 million and our aggregate net cash used in operating activities was $22.3 million.</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business is capital intensive, and up through January 31, 2022, we have been funding our business principally through sales of our securities. As of January 31, 2022, cash and cash equivalents were $63.8 million and we expect to fund our business with this amount and, to a limited extent, with our revenues until, we generate sufficient cash flow to internally fund our business. Management believes the Company’s current cash and cash equivalents is sufficient to fund its planned expenditures through at least March 2023. In addition to the acquisition of 3Dent in the prior year and MAR in November 2021, the Company is looking at further organic and inorganic growth opportunities to advance our data and power services and solutions.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devote substantial resources to continue our development efforts for our products and to expand our sales, marketing and manufacturing programs associated with the continued commercialization of our products. Our future capital requirements will depend on a number of factors, including but not limited to:</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market and commercialize our products, and achieve and sustain profitability;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several factors, including market conditions, and our operating performance;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impact of the COVID-19 pandemic and its variants on our business, operations, customers, suppliers and manufacturers and personnel;</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acquisitions and our ability to integrate them into our operations may use significant resources, be unsuccessful or expose us to unforeseen liabilities;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meet product development, manufacturing and customer delivery deadlines that may be impacted by disruptions to our supply chain, primarily related to labor shortages and manufacturing and transportation delays both here in the U.S. and abroad;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estimates regarding future expenses,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services,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relationships with our strategic partners may not be successful and we may not be successful in establishing additional relationships;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American;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reliability of our technology, products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improve the power output and survivability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current legislation, regulations and economic conditions that affect the demand for renewable energy, or restrict the use of our products;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key personnel, including senior management, to achieve our business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history of operating losses, which we expect to continue for at least the short term and possibly longer;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our Chief Financial Officer, evaluated the effectiveness of the design and operation of our disclosure controls and procedures as of January 31, 2022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January 31, 2022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31, 2022 that has materially affected, or is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40"/>
        <w:spacing w:after="0" w:line="286" w:lineRule="auto"/>
        <w:rPr>
          <w:sz w:val="20"/>
          <w:szCs w:val="20"/>
          <w:color w:val="auto"/>
        </w:rPr>
      </w:pPr>
      <w:r>
        <w:rPr>
          <w:rFonts w:ascii="Arial" w:cs="Arial" w:eastAsia="Arial" w:hAnsi="Arial"/>
          <w:sz w:val="17"/>
          <w:szCs w:val="17"/>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65" w:lineRule="exact"/>
        <w:rPr>
          <w:sz w:val="20"/>
          <w:szCs w:val="20"/>
          <w:color w:val="auto"/>
        </w:rPr>
      </w:pPr>
    </w:p>
    <w:p>
      <w:pPr>
        <w:jc w:val="both"/>
        <w:ind w:left="40" w:right="20"/>
        <w:spacing w:after="0" w:line="277" w:lineRule="auto"/>
        <w:rPr>
          <w:sz w:val="20"/>
          <w:szCs w:val="20"/>
          <w:color w:val="auto"/>
        </w:rPr>
      </w:pPr>
      <w:r>
        <w:rPr>
          <w:rFonts w:ascii="Arial" w:cs="Arial" w:eastAsia="Arial" w:hAnsi="Arial"/>
          <w:sz w:val="18"/>
          <w:szCs w:val="18"/>
          <w:color w:val="auto"/>
        </w:rPr>
        <w:t>For information on matters in dispute, see Note 16 to the Consolidated Financial Statements in our Annual Report on Form10-K for the year ended April 30, 2021, and Note 15 to the Consolidated Financial Statements under Part I, Item 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2021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19,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incurred net losses since we began operations in 1994, including net losses of $13.7 million during the first nine months of fiscal year 2022 and $14.8 million in fiscal year 2021. As of January 31, 2022, we had an accumulated deficit of $248.6 million.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 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10.1</w:t>
            </w:r>
          </w:p>
        </w:tc>
        <w:tc>
          <w:tcPr>
            <w:tcW w:w="500" w:type="dxa"/>
            <w:vAlign w:val="bottom"/>
          </w:tcPr>
          <w:p>
            <w:pPr>
              <w:spacing w:after="0"/>
              <w:rPr>
                <w:sz w:val="17"/>
                <w:szCs w:val="17"/>
                <w:color w:val="auto"/>
              </w:rPr>
            </w:pPr>
          </w:p>
        </w:tc>
        <w:tc>
          <w:tcPr>
            <w:tcW w:w="10240" w:type="dxa"/>
            <w:vAlign w:val="bottom"/>
            <w:gridSpan w:val="7"/>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Stock Purchase Agreement among Ocean Power Technologies, Inc. and the sellers named therein dated November 15, 2021 (incorporated by</w:t>
              </w:r>
            </w:hyperlink>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reference to Exhibit 10.1 to the Company’s Current Report on Form 8-K filed on November 16, 2021).</w:t>
              </w:r>
            </w:hyperlink>
          </w:p>
        </w:tc>
        <w:tc>
          <w:tcPr>
            <w:tcW w:w="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9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412"/>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10.2</w:t>
            </w:r>
          </w:p>
        </w:tc>
        <w:tc>
          <w:tcPr>
            <w:tcW w:w="10740" w:type="dxa"/>
            <w:vAlign w:val="bottom"/>
            <w:gridSpan w:val="8"/>
          </w:tcPr>
          <w:p>
            <w:pPr>
              <w:ind w:left="1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76">
              <w:r>
                <w:rPr>
                  <w:rFonts w:ascii="Arial" w:cs="Arial" w:eastAsia="Arial" w:hAnsi="Arial"/>
                  <w:sz w:val="18"/>
                  <w:szCs w:val="18"/>
                  <w:color w:val="0000EE"/>
                  <w:w w:val="93"/>
                </w:rPr>
                <w:t>Employment Letter between the Company and Robert P. Powers dated effective December 13, 2021* (incorporated by reference to Exhibit</w:t>
              </w:r>
            </w:hyperlink>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Current Report on Form 8-K filed on December 13, 2021).</w:t>
              </w:r>
            </w:hyperlink>
          </w:p>
        </w:tc>
        <w:tc>
          <w:tcPr>
            <w:tcW w:w="4320" w:type="dxa"/>
            <w:vAlign w:val="bottom"/>
            <w:tcBorders>
              <w:top w:val="single" w:sz="8" w:color="0000EE"/>
            </w:tcBorders>
            <w:gridSpan w:val="6"/>
          </w:tcPr>
          <w:p>
            <w:pPr>
              <w:spacing w:after="0"/>
              <w:rPr>
                <w:sz w:val="17"/>
                <w:szCs w:val="17"/>
                <w:color w:val="auto"/>
              </w:rPr>
            </w:pPr>
          </w:p>
        </w:tc>
      </w:tr>
      <w:tr>
        <w:trPr>
          <w:trHeight w:val="412"/>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10.3</w:t>
            </w:r>
          </w:p>
        </w:tc>
        <w:tc>
          <w:tcPr>
            <w:tcW w:w="10740" w:type="dxa"/>
            <w:vAlign w:val="bottom"/>
            <w:gridSpan w:val="8"/>
          </w:tcPr>
          <w:p>
            <w:pPr>
              <w:ind w:left="1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77">
              <w:r>
                <w:rPr>
                  <w:rFonts w:ascii="Arial" w:cs="Arial" w:eastAsia="Arial" w:hAnsi="Arial"/>
                  <w:sz w:val="18"/>
                  <w:szCs w:val="18"/>
                  <w:color w:val="0000EE"/>
                  <w:w w:val="95"/>
                </w:rPr>
                <w:t>Fifth Amendment to 2015 Omnibus Incentive Plan (incorporated by reference to Annex A to Proxy Statement filed on October 15, 2021).</w:t>
              </w:r>
            </w:hyperlink>
          </w:p>
        </w:tc>
      </w:tr>
      <w:tr>
        <w:trPr>
          <w:trHeight w:val="412"/>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31.1</w:t>
            </w:r>
          </w:p>
        </w:tc>
        <w:tc>
          <w:tcPr>
            <w:tcW w:w="500" w:type="dxa"/>
            <w:vAlign w:val="bottom"/>
          </w:tcPr>
          <w:p>
            <w:pPr>
              <w:spacing w:after="0"/>
              <w:rPr>
                <w:sz w:val="24"/>
                <w:szCs w:val="24"/>
                <w:color w:val="auto"/>
              </w:rPr>
            </w:pPr>
          </w:p>
        </w:tc>
        <w:tc>
          <w:tcPr>
            <w:tcW w:w="9940" w:type="dxa"/>
            <w:vAlign w:val="bottom"/>
            <w:tcBorders>
              <w:top w:val="single" w:sz="8" w:color="0000EE"/>
            </w:tcBorders>
            <w:gridSpan w:val="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Certification of Chief Executive Officer pursuant to Section 302 of the Sarbanes-Oxley Act of 2002</w:t>
              </w:r>
            </w:hyperlink>
          </w:p>
        </w:tc>
        <w:tc>
          <w:tcPr>
            <w:tcW w:w="300" w:type="dxa"/>
            <w:vAlign w:val="bottom"/>
            <w:gridSpan w:val="2"/>
          </w:tcPr>
          <w:p>
            <w:pPr>
              <w:spacing w:after="0"/>
              <w:rPr>
                <w:sz w:val="24"/>
                <w:szCs w:val="24"/>
                <w:color w:val="auto"/>
              </w:rPr>
            </w:pPr>
          </w:p>
        </w:tc>
      </w:tr>
      <w:tr>
        <w:trPr>
          <w:trHeight w:val="412"/>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31.2</w:t>
            </w:r>
          </w:p>
        </w:tc>
        <w:tc>
          <w:tcPr>
            <w:tcW w:w="500" w:type="dxa"/>
            <w:vAlign w:val="bottom"/>
          </w:tcPr>
          <w:p>
            <w:pPr>
              <w:spacing w:after="0"/>
              <w:rPr>
                <w:sz w:val="24"/>
                <w:szCs w:val="24"/>
                <w:color w:val="auto"/>
              </w:rPr>
            </w:pPr>
          </w:p>
        </w:tc>
        <w:tc>
          <w:tcPr>
            <w:tcW w:w="71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3060" w:type="dxa"/>
            <w:vAlign w:val="bottom"/>
            <w:gridSpan w:val="4"/>
          </w:tcPr>
          <w:p>
            <w:pPr>
              <w:spacing w:after="0"/>
              <w:rPr>
                <w:sz w:val="24"/>
                <w:szCs w:val="24"/>
                <w:color w:val="auto"/>
              </w:rPr>
            </w:pPr>
          </w:p>
        </w:tc>
      </w:tr>
      <w:tr>
        <w:trPr>
          <w:trHeight w:val="412"/>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32.1</w:t>
            </w:r>
          </w:p>
        </w:tc>
        <w:tc>
          <w:tcPr>
            <w:tcW w:w="10740" w:type="dxa"/>
            <w:vAlign w:val="bottom"/>
            <w:gridSpan w:val="8"/>
          </w:tcPr>
          <w:p>
            <w:pPr>
              <w:ind w:left="1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2">
              <w:r>
                <w:rPr>
                  <w:rFonts w:ascii="Arial" w:cs="Arial" w:eastAsia="Arial" w:hAnsi="Arial"/>
                  <w:sz w:val="18"/>
                  <w:szCs w:val="18"/>
                  <w:color w:val="0000EE"/>
                </w:rPr>
                <w:t>Certification of Chief Executive Officer pursuant to Section 906 of the Sarbanes-Oxley Act of 2002</w:t>
              </w:r>
            </w:hyperlink>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80" w:type="dxa"/>
            <w:vAlign w:val="bottom"/>
            <w:gridSpan w:val="3"/>
            <w:shd w:val="clear" w:color="auto" w:fill="0000EE"/>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r>
      <w:tr>
        <w:trPr>
          <w:trHeight w:val="412"/>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32.2</w:t>
            </w:r>
          </w:p>
        </w:tc>
        <w:tc>
          <w:tcPr>
            <w:tcW w:w="10740" w:type="dxa"/>
            <w:vAlign w:val="bottom"/>
            <w:gridSpan w:val="8"/>
          </w:tcPr>
          <w:p>
            <w:pPr>
              <w:ind w:left="1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3">
              <w:r>
                <w:rPr>
                  <w:rFonts w:ascii="Arial" w:cs="Arial" w:eastAsia="Arial" w:hAnsi="Arial"/>
                  <w:sz w:val="18"/>
                  <w:szCs w:val="18"/>
                  <w:color w:val="0000EE"/>
                </w:rPr>
                <w:t>Certification of Chief Financial Officer pursuant to Section 906 of the Sarbanes-Oxley Act of 2002</w:t>
              </w:r>
            </w:hyperlink>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9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000" w:hanging="992"/>
        <w:spacing w:after="0" w:line="293"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financial information from Ocean Power Technologies, Inc.’s Quarterly Report on Form 10-Q for the quarter ended January 31, 2022, formatted in eXtensible Business Reporting Language (XBRL): (i) Consolidated Balance Sheets – January 31, 2022 (unaudited) and April 30, 2021, (ii) Consolidated Statements of Operations (unaudited) – three and nine months ended January 31, 2022 and 2021, (iii) Consolidated Statements of Comprehensive Loss (unaudited) – three and nine months ended January 31, 2022 and 2021, (iv) Consolidated Statement of Shareholders’ Equity (unaudited) – three and nine months ended January 31, 2022 and 2021 (v) Consolidated Statements of Cash Flows (unaudited) –nine months ended January 31, 2022 and 2021, (vi) Notes to Consolidated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5120" w:type="dxa"/>
            <w:vAlign w:val="bottom"/>
          </w:tcPr>
          <w:p>
            <w:pPr>
              <w:ind w:left="160"/>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5120" w:type="dxa"/>
            <w:vAlign w:val="bottom"/>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5120" w:type="dxa"/>
            <w:vAlign w:val="bottom"/>
          </w:tcPr>
          <w:p>
            <w:pPr>
              <w:ind w:left="16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5120" w:type="dxa"/>
            <w:vAlign w:val="bottom"/>
          </w:tcPr>
          <w:p>
            <w:pPr>
              <w:ind w:left="16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5120" w:type="dxa"/>
            <w:vAlign w:val="bottom"/>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5120" w:type="dxa"/>
            <w:vAlign w:val="bottom"/>
          </w:tcPr>
          <w:p>
            <w:pPr>
              <w:ind w:left="16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202" w:lineRule="exact"/>
        <w:rPr>
          <w:sz w:val="20"/>
          <w:szCs w:val="20"/>
          <w:color w:val="auto"/>
        </w:rPr>
      </w:pPr>
    </w:p>
    <w:p>
      <w:pPr>
        <w:ind w:left="1000" w:hanging="992"/>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ind w:left="1000" w:hanging="324"/>
        <w:spacing w:after="0" w:line="263" w:lineRule="auto"/>
        <w:rPr>
          <w:rFonts w:ascii="Arial" w:cs="Arial" w:eastAsia="Arial" w:hAnsi="Arial"/>
          <w:sz w:val="18"/>
          <w:szCs w:val="18"/>
          <w:color w:val="auto"/>
        </w:rPr>
      </w:pPr>
      <w:r>
        <w:rPr>
          <w:rFonts w:ascii="Arial" w:cs="Arial" w:eastAsia="Arial" w:hAnsi="Arial"/>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3"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3" w:lineRule="exact"/>
        <w:rPr>
          <w:rFonts w:ascii="Arial" w:cs="Arial" w:eastAsia="Arial" w:hAnsi="Arial"/>
          <w:sz w:val="18"/>
          <w:szCs w:val="18"/>
          <w:color w:val="auto"/>
        </w:rPr>
      </w:pPr>
    </w:p>
    <w:p>
      <w:pPr>
        <w:ind w:left="1000" w:hanging="317"/>
        <w:spacing w:after="0"/>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Date: March 14, 2022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March 14, 2022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Ocean Power Technologies,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14605</wp:posOffset>
            </wp:positionV>
            <wp:extent cx="33515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Philipp Stratmann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Robert P.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14605</wp:posOffset>
            </wp:positionV>
            <wp:extent cx="33515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Robert P. Powers</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233" w:right="33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Philipp Stratmann,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620" w:type="dxa"/>
            <w:vAlign w:val="bottom"/>
          </w:tcPr>
          <w:p>
            <w:pPr>
              <w:spacing w:after="0"/>
              <w:rPr>
                <w:sz w:val="21"/>
                <w:szCs w:val="21"/>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Philipp Stratmann</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Date: March 14, 2022</w:t>
            </w: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Philipp Stratmann</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P. Powers,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620" w:type="dxa"/>
            <w:vAlign w:val="bottom"/>
          </w:tcPr>
          <w:p>
            <w:pPr>
              <w:spacing w:after="0"/>
              <w:rPr>
                <w:sz w:val="21"/>
                <w:szCs w:val="21"/>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P. Powers</w:t>
            </w:r>
          </w:p>
        </w:tc>
      </w:tr>
      <w:tr>
        <w:trPr>
          <w:trHeight w:val="202"/>
        </w:trPr>
        <w:tc>
          <w:tcPr>
            <w:tcW w:w="5620" w:type="dxa"/>
            <w:vAlign w:val="bottom"/>
          </w:tcPr>
          <w:p>
            <w:pPr>
              <w:ind w:left="60"/>
              <w:spacing w:after="0" w:line="201" w:lineRule="exact"/>
              <w:rPr>
                <w:sz w:val="20"/>
                <w:szCs w:val="20"/>
                <w:color w:val="auto"/>
              </w:rPr>
            </w:pPr>
            <w:r>
              <w:rPr>
                <w:rFonts w:ascii="Arial" w:cs="Arial" w:eastAsia="Arial" w:hAnsi="Arial"/>
                <w:sz w:val="18"/>
                <w:szCs w:val="18"/>
                <w:color w:val="auto"/>
              </w:rPr>
              <w:t>Date: March 14, 2022</w:t>
            </w: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Robert P. Powers</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Senior Vice President and Chief Financial Officer</w:t>
            </w:r>
          </w:p>
        </w:tc>
      </w:tr>
      <w:tr>
        <w:trPr>
          <w:trHeight w:val="43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2022, as filed with the Securities and Exchange Commission on the date hereof (the “Report”), the undersigned, Philipp Stratmann, President and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460" w:firstLine="8"/>
        <w:spacing w:after="0" w:line="500" w:lineRule="auto"/>
        <w:tabs>
          <w:tab w:leader="none" w:pos="3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14, 2022</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2022 as filed with the Securities and Exchange Commission on the date hereof (the “Report”), the undersigned, Robert P. Powers, Senior Vice President and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460" w:firstLine="8"/>
        <w:spacing w:after="0" w:line="500" w:lineRule="auto"/>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14, 2022</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Robert P.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P. Powers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Letter"/>
      <w:start w:val="6"/>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01"/>
    </w:lvl>
  </w:abstractNum>
  <w:abstractNum w:abstractNumId="14">
    <w:nsid w:val="628C895D"/>
    <w:multiLevelType w:val="hybridMultilevel"/>
    <w:lvl w:ilvl="0">
      <w:lvlJc w:val="left"/>
      <w:lvlText w:val="%1"/>
      <w:numFmt w:val="decimal"/>
      <w:start w:val="104"/>
    </w:lvl>
    <w:lvl w:ilvl="1">
      <w:lvlJc w:val="left"/>
      <w:lvlText w:val="*"/>
      <w:numFmt w:val="bullet"/>
      <w:start w:val="1"/>
    </w:lvl>
  </w:abstractNum>
  <w:abstractNum w:abstractNumId="15">
    <w:nsid w:val="333AB105"/>
    <w:multiLevelType w:val="hybridMultilevel"/>
    <w:lvl w:ilvl="0">
      <w:lvlJc w:val="left"/>
      <w:lvlText w:val="%1"/>
      <w:numFmt w:val="decimal"/>
      <w:start w:val="1"/>
    </w:lvl>
    <w:lvl w:ilvl="1">
      <w:lvlJc w:val="left"/>
      <w:lvlText w:val="**"/>
      <w:numFmt w:val="bullet"/>
      <w:start w:val="1"/>
    </w:lvl>
  </w:abstractNum>
  <w:abstractNum w:abstractNumId="16">
    <w:nsid w:val="721DA317"/>
    <w:multiLevelType w:val="hybridMultilevel"/>
    <w:lvl w:ilvl="0">
      <w:lvlJc w:val="left"/>
      <w:lvlText w:val="%1"/>
      <w:numFmt w:val="decimal"/>
      <w:start w:val="1"/>
    </w:lvl>
    <w:lvl w:ilvl="1">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75" Type="http://schemas.openxmlformats.org/officeDocument/2006/relationships/hyperlink" Target="https://www.sec.gov/Archives/edgar/data/1378140/000149315221028854/ex10-1.htm" TargetMode="External"/><Relationship Id="rId76" Type="http://schemas.openxmlformats.org/officeDocument/2006/relationships/hyperlink" Target="https://www.sec.gov/Archives/edgar/data/1378140/000149315221031190/ex10-1.htm" TargetMode="External"/><Relationship Id="rId77" Type="http://schemas.openxmlformats.org/officeDocument/2006/relationships/hyperlink" Target="https://www.sec.gov/Archives/edgar/data/1378140/000149315221025554/def14a.htm#ed_0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2022-03-14T15:22:01Z</dcterms:created>
  <dcterms:modified xsi:type="dcterms:W3CDTF">2022-03-14T15:22:01Z</dcterms:modified>
</cp:coreProperties>
</file>