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400"/>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right="1440" w:firstLine="339"/>
        <w:spacing w:after="0" w:line="501" w:lineRule="auto"/>
        <w:tabs>
          <w:tab w:leader="none" w:pos="8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2016</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840" w:hanging="501"/>
        <w:spacing w:after="0"/>
        <w:tabs>
          <w:tab w:leader="none" w:pos="8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3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1550035</wp:posOffset>
            </wp:positionH>
            <wp:positionV relativeFrom="paragraph">
              <wp:posOffset>-7620</wp:posOffset>
            </wp:positionV>
            <wp:extent cx="12668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001-33417</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99" w:right="239" w:bottom="1440" w:gutter="0" w:footer="0" w:header="0"/>
        </w:sectPr>
      </w:pP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6"/>
          <w:szCs w:val="16"/>
          <w:i w:val="1"/>
          <w:iCs w:val="1"/>
          <w:color w:val="auto"/>
        </w:rPr>
        <w:t>(State or Other Jurisdiction of Incorporation or</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i w:val="1"/>
          <w:iCs w:val="1"/>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i w:val="1"/>
          <w:iCs w:val="1"/>
          <w:color w:val="auto"/>
        </w:rPr>
        <w:t>(I.R.S. Employer Identification No.)</w:t>
      </w:r>
    </w:p>
    <w:p>
      <w:pPr>
        <w:spacing w:after="0" w:line="439" w:lineRule="exact"/>
        <w:rPr>
          <w:sz w:val="24"/>
          <w:szCs w:val="24"/>
          <w:color w:val="auto"/>
        </w:rPr>
      </w:pPr>
    </w:p>
    <w:p>
      <w:pPr>
        <w:sectPr>
          <w:pgSz w:w="11900" w:h="16838" w:orient="portrait"/>
          <w:cols w:equalWidth="0" w:num="2">
            <w:col w:w="6680" w:space="720"/>
            <w:col w:w="4020"/>
          </w:cols>
          <w:pgMar w:left="240" w:top="499" w:right="2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30" w:lineRule="exact"/>
        <w:rPr>
          <w:sz w:val="24"/>
          <w:szCs w:val="24"/>
          <w:color w:val="auto"/>
        </w:rPr>
      </w:pPr>
    </w:p>
    <w:p>
      <w:pPr>
        <w:ind w:left="360"/>
        <w:spacing w:after="0" w:line="207" w:lineRule="exact"/>
        <w:tabs>
          <w:tab w:leader="none" w:pos="3400" w:val="left"/>
          <w:tab w:leader="none" w:pos="6280" w:val="left"/>
          <w:tab w:leader="none" w:pos="90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8" w:lineRule="exact"/>
        <w:rPr>
          <w:sz w:val="24"/>
          <w:szCs w:val="24"/>
          <w:color w:val="auto"/>
        </w:rPr>
      </w:pPr>
    </w:p>
    <w:p>
      <w:pPr>
        <w:jc w:val="center"/>
        <w:ind w:left="290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900"/>
        <w:spacing w:after="0"/>
        <w:rPr>
          <w:sz w:val="20"/>
          <w:szCs w:val="20"/>
          <w:color w:val="auto"/>
        </w:rPr>
      </w:pPr>
      <w:r>
        <w:rPr>
          <w:rFonts w:ascii="Arial" w:cs="Arial" w:eastAsia="Arial" w:hAnsi="Arial"/>
          <w:sz w:val="18"/>
          <w:szCs w:val="18"/>
          <w:color w:val="auto"/>
        </w:rPr>
        <w:t>reporting company)</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30, 2016, the number of outstanding shares of common stock of the registrant was 6,321,040.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OCTOBER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380" w:type="dxa"/>
            <w:vAlign w:val="bottom"/>
          </w:tcPr>
          <w:p>
            <w:pPr>
              <w:spacing w:after="0"/>
              <w:rPr>
                <w:sz w:val="20"/>
                <w:szCs w:val="20"/>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1. Financial Statements (unaudited):</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Balance Sheets as of October 31, 2016 and April 30, 2016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Statements of Operations for the Three and Six Months Ended October 31, 2016 and 2015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Statements of Comprehensive Loss for the Three and Six Months Ended October 31, 2016 and 2015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Statements of Stockholders' Equity for the Six Months Ended October 31, 2016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Statements of Cash Flows for the Six Months Ended October 31, 2016 and 2015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to Consolidated Financial Statements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4. Controls and Procedures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1. Legal Proceedings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1A. Risk Factors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3. Defaults Upon Senior Securities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4. Mine Safety Disclosures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5. Other Information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 6. Exhibits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52" w:lineRule="exact"/>
        <w:rPr>
          <w:sz w:val="20"/>
          <w:szCs w:val="20"/>
          <w:color w:val="auto"/>
        </w:rPr>
      </w:pPr>
    </w:p>
    <w:p>
      <w:pPr>
        <w:jc w:val="both"/>
        <w:ind w:right="140" w:firstLine="648"/>
        <w:spacing w:after="0" w:line="272" w:lineRule="auto"/>
        <w:rPr>
          <w:sz w:val="20"/>
          <w:szCs w:val="20"/>
          <w:color w:val="auto"/>
        </w:rPr>
      </w:pPr>
      <w:r>
        <w:rPr>
          <w:rFonts w:ascii="Arial" w:cs="Arial" w:eastAsia="Arial" w:hAnsi="Arial"/>
          <w:sz w:val="17"/>
          <w:szCs w:val="17"/>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2016, in our Quarterly Report on Form 10-Q for the quarter ended July 31, 2016,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1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87"/>
              </w:rPr>
              <w:t>Consolidated Balance Sheets</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October 31, 2016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April 30, 2016</w:t>
            </w:r>
          </w:p>
        </w:tc>
      </w:tr>
      <w:tr>
        <w:trPr>
          <w:trHeight w:val="210"/>
        </w:trPr>
        <w:tc>
          <w:tcPr>
            <w:tcW w:w="8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12,512,185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6,729,814</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305,690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299,543</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102,730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37,465</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receivable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385,308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116,805</w:t>
            </w:r>
          </w:p>
        </w:tc>
      </w:tr>
      <w:tr>
        <w:trPr>
          <w:trHeight w:val="210"/>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15,830,913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9,758,627</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220,180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273,049</w:t>
            </w: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320,599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16,371,692</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10,351,126</w:t>
            </w:r>
          </w:p>
        </w:tc>
      </w:tr>
      <w:tr>
        <w:trPr>
          <w:trHeight w:val="20"/>
        </w:trPr>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20" w:type="dxa"/>
            <w:vAlign w:val="bottom"/>
            <w:shd w:val="clear" w:color="auto" w:fill="CCEEFF"/>
          </w:tcPr>
          <w:p>
            <w:pPr>
              <w:ind w:left="20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142,781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372,700</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2,881,505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2,674,841</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39,146</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548,382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 and capital lease obligations</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33,796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81,541</w:t>
            </w:r>
          </w:p>
        </w:tc>
      </w:tr>
      <w:tr>
        <w:trPr>
          <w:trHeight w:val="210"/>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6,106,464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6,168,228</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Long-term debt and capital lease obligations</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41,167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54,567</w:t>
            </w: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 payable non-current</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6,747,631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6,822,795</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Ocean Power Technologies, Inc. stockholders’ equity:</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$0.001 par value; authorized 50,000,000 shares, issued 6,321,040 and 2,352,100 shares,</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6,321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13,254 and 6,894 shares, respectively</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(174,894)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(137,766)</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192,632,350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181,670,121</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(182,676,542)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(177,884,011)</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(163,174)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(122,365)</w:t>
            </w:r>
          </w:p>
        </w:tc>
      </w:tr>
      <w:tr>
        <w:trPr>
          <w:trHeight w:val="210"/>
        </w:trPr>
        <w:tc>
          <w:tcPr>
            <w:tcW w:w="8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9,624,061</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3,528,331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16,371,692</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10,351,126</w:t>
            </w:r>
          </w:p>
        </w:tc>
      </w:tr>
      <w:tr>
        <w:trPr>
          <w:trHeight w:val="20"/>
        </w:trPr>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ind w:right="-14"/>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4"/>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4"/>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15"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Three Months Ended October</w:t>
            </w: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9"/>
              </w:rPr>
              <w:t>Six Months Ended 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125,146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494,412</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252,431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600,078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44,818</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1,307,734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2,944,106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1,723,737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1,821,993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3,242,296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3,728,938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3,031,471</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2,999,649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6,186,402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7,389,382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(2,986,653)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(2,999,649)</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(6,066,480)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(7,389,382)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1,265,488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3,712</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(24,801)</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6,415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(965,084)</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(3,028,818)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(4,792,531)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(7,143,462)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tcPr>
          <w:p>
            <w:pPr>
              <w:ind w:left="160"/>
              <w:spacing w:after="0" w:line="195" w:lineRule="exact"/>
              <w:rPr>
                <w:sz w:val="20"/>
                <w:szCs w:val="20"/>
                <w:color w:val="auto"/>
              </w:rPr>
            </w:pPr>
            <w:r>
              <w:rPr>
                <w:rFonts w:ascii="Arial" w:cs="Arial" w:eastAsia="Arial" w:hAnsi="Arial"/>
                <w:sz w:val="18"/>
                <w:szCs w:val="18"/>
                <w:color w:val="auto"/>
                <w:w w:val="98"/>
              </w:rPr>
              <w:t>Less: Net (profit) loss attributable to the non-controlling interest in Ocean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2,057</w:t>
            </w:r>
          </w:p>
        </w:tc>
        <w:tc>
          <w:tcPr>
            <w:tcW w:w="220" w:type="dxa"/>
            <w:vAlign w:val="bottom"/>
          </w:tcPr>
          <w:p>
            <w:pPr>
              <w:spacing w:after="0"/>
              <w:rPr>
                <w:sz w:val="16"/>
                <w:szCs w:val="16"/>
                <w:color w:val="auto"/>
              </w:rPr>
            </w:pP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(45,340)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Power Technologies (Australasia) Pty Ltd.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(965,084)</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(3,026,761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(7,188,802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900" w:type="dxa"/>
            <w:vAlign w:val="bottom"/>
            <w:gridSpan w:val="2"/>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(0.25)</w:t>
            </w:r>
          </w:p>
        </w:tc>
        <w:tc>
          <w:tcPr>
            <w:tcW w:w="240" w:type="dxa"/>
            <w:vAlign w:val="bottom"/>
            <w:gridSpan w:val="2"/>
          </w:tcPr>
          <w:p>
            <w:pPr>
              <w:jc w:val="right"/>
              <w:ind w:right="65"/>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(1.71)</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w:t>
            </w:r>
          </w:p>
        </w:tc>
        <w:tc>
          <w:tcPr>
            <w:tcW w:w="300" w:type="dxa"/>
            <w:vAlign w:val="bottom"/>
            <w:gridSpan w:val="2"/>
          </w:tcPr>
          <w:p>
            <w:pPr>
              <w:jc w:val="right"/>
              <w:ind w:right="65"/>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w w:val="90"/>
              </w:rPr>
              <w:t>Weighted average shares used to compute basic and diluted net loss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3,891,512</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1,773,978</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3,180,501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1,762,805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left="3075" w:right="460" w:hanging="3075"/>
        <w:spacing w:after="0" w:line="627" w:lineRule="auto"/>
        <w:tabs>
          <w:tab w:leader="none" w:pos="225" w:val="left"/>
        </w:tabs>
        <w:numPr>
          <w:ilvl w:val="0"/>
          <w:numId w:val="4"/>
        </w:numPr>
        <w:rPr>
          <w:rFonts w:ascii="Arial" w:cs="Arial" w:eastAsia="Arial" w:hAnsi="Arial"/>
          <w:sz w:val="27"/>
          <w:szCs w:val="27"/>
          <w:color w:val="auto"/>
          <w:vertAlign w:val="superscript"/>
        </w:rPr>
      </w:pPr>
      <w:r>
        <w:rPr>
          <w:rFonts w:ascii="Arial" w:cs="Arial" w:eastAsia="Arial" w:hAnsi="Arial"/>
          <w:sz w:val="17"/>
          <w:szCs w:val="17"/>
          <w:color w:val="auto"/>
        </w:rPr>
        <w:t>Common Stock and share data at October 31, 2015 has been adjusted retroactively to reflect a 1-for-10 reverse stock split effective October 27, 2015. See accompanying notes to consolidated financial statements (unaudited).</w:t>
      </w:r>
    </w:p>
    <w:p>
      <w:pPr>
        <w:spacing w:after="0" w:line="2"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35"/>
          </w:cols>
          <w:pgMar w:left="225" w:top="60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October</w:t>
            </w: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9"/>
              </w:rPr>
              <w:t>Six Months Ended 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(965,084)</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(3,028,818)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(4,792,531)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(7,143,462)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(10,537)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(975,621)</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(3,016,203)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(4,833,340)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(7,188,920)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Comprehensive (income) loss attributable to the non-controlling interest in Ocean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0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(72,664)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Power Technologies (Australasia) Pty Ltd.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(975,621)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(3,014,146)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(4,833,340)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(7,261,584)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0" w:type="dxa"/>
            <w:vAlign w:val="bottom"/>
            <w:gridSpan w:val="6"/>
            <w:vMerge w:val="restart"/>
          </w:tcPr>
          <w:p>
            <w:pPr>
              <w:ind w:left="360"/>
              <w:spacing w:after="0"/>
              <w:rPr>
                <w:sz w:val="20"/>
                <w:szCs w:val="20"/>
                <w:color w:val="auto"/>
              </w:rPr>
            </w:pPr>
            <w:r>
              <w:rPr>
                <w:rFonts w:ascii="Arial" w:cs="Arial" w:eastAsia="Arial" w:hAnsi="Arial"/>
                <w:sz w:val="18"/>
                <w:szCs w:val="18"/>
                <w:b w:val="1"/>
                <w:bCs w:val="1"/>
                <w:color w:val="auto"/>
              </w:rPr>
              <w:t>Common Shares</w:t>
            </w:r>
          </w:p>
        </w:tc>
        <w:tc>
          <w:tcPr>
            <w:tcW w:w="2180" w:type="dxa"/>
            <w:vAlign w:val="bottom"/>
            <w:gridSpan w:val="5"/>
            <w:vMerge w:val="restart"/>
          </w:tcPr>
          <w:p>
            <w:pPr>
              <w:jc w:val="right"/>
              <w:ind w:right="580"/>
              <w:spacing w:after="0"/>
              <w:rPr>
                <w:sz w:val="20"/>
                <w:szCs w:val="20"/>
                <w:color w:val="auto"/>
              </w:rPr>
            </w:pPr>
            <w:r>
              <w:rPr>
                <w:rFonts w:ascii="Arial" w:cs="Arial" w:eastAsia="Arial" w:hAnsi="Arial"/>
                <w:sz w:val="18"/>
                <w:szCs w:val="18"/>
                <w:b w:val="1"/>
                <w:bCs w:val="1"/>
                <w:color w:val="auto"/>
              </w:rPr>
              <w:t>Treasury Shares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0" w:type="dxa"/>
            <w:vAlign w:val="bottom"/>
            <w:gridSpan w:val="6"/>
            <w:vMerge w:val="continue"/>
          </w:tcPr>
          <w:p>
            <w:pPr>
              <w:spacing w:after="0"/>
              <w:rPr>
                <w:sz w:val="19"/>
                <w:szCs w:val="19"/>
                <w:color w:val="auto"/>
              </w:rPr>
            </w:pPr>
          </w:p>
        </w:tc>
        <w:tc>
          <w:tcPr>
            <w:tcW w:w="2180" w:type="dxa"/>
            <w:vAlign w:val="bottom"/>
            <w:gridSpan w:val="5"/>
            <w:vMerge w:val="continue"/>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Paid-In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Accumulated</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0"/>
                <w:szCs w:val="20"/>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(137,766)</w:t>
            </w: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$ 181,670,121</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(177,884,011)</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(122,365)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3,528,331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(4,792,531)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(4,792,531)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 based compensation</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141,907</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stock, net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196,940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486,200</w:t>
            </w:r>
          </w:p>
        </w:tc>
        <w:tc>
          <w:tcPr>
            <w:tcW w:w="22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Sale of stock</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10,334,122</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10,337,894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 treasury</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(37,128)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comprehensive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October 31, 2016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6,321,040</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(174,894 )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192,632,350</w:t>
            </w:r>
          </w:p>
        </w:tc>
        <w:tc>
          <w:tcPr>
            <w:tcW w:w="22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(182,676,542 )</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(163,174 )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9,624,061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6"/>
              </w:rPr>
              <w:t>Six Months Ended October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(4,792,531)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(7,143,462)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Foreign exchange (loss) gain</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(6,415)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Compensation expense related to stock option grants &amp; restricted stock</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628,304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warrant liabilities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(1,265,488)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(65,265)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(269,157)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(35,690)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(231,572)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(275,053)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Unearned revenues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(6,283,538)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(6,984,705)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equipment</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(11,500)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and related warrants, net of costs</w:t>
            </w: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12,151,764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Repayment of debt</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(63,401)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12,051,235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5,782,371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(6,996,412)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6,729,814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17,335,734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12,512,185</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10,339,322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713"/>
        <w:spacing w:after="0" w:line="270" w:lineRule="auto"/>
        <w:rPr>
          <w:sz w:val="20"/>
          <w:szCs w:val="20"/>
          <w:color w:val="auto"/>
        </w:rPr>
      </w:pPr>
      <w:r>
        <w:rPr>
          <w:rFonts w:ascii="Arial" w:cs="Arial" w:eastAsia="Arial" w:hAnsi="Arial"/>
          <w:sz w:val="17"/>
          <w:szCs w:val="17"/>
          <w:color w:val="auto"/>
        </w:rPr>
        <w:t>Ocean Power Technologies, Inc. (the “Company”) was incorporated in 1984 in New Jersey, commenced business operations in 1994 and re-incorporated in Delaware in 2007. The Company is developing and is seeking to commercialize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or lease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products and services.</w:t>
      </w:r>
    </w:p>
    <w:p>
      <w:pPr>
        <w:spacing w:after="0" w:line="178"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2016 filed with the Securities and Exchange Commission (“SEC”) and elsewhere in this Form 10-Q.</w:t>
      </w:r>
    </w:p>
    <w:p>
      <w:pPr>
        <w:spacing w:after="0" w:line="18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Liquidity/Going Concern</w:t>
      </w:r>
    </w:p>
    <w:p>
      <w:pPr>
        <w:spacing w:after="0" w:line="225" w:lineRule="exact"/>
        <w:rPr>
          <w:sz w:val="20"/>
          <w:szCs w:val="20"/>
          <w:color w:val="auto"/>
        </w:rPr>
      </w:pPr>
    </w:p>
    <w:p>
      <w:pPr>
        <w:jc w:val="both"/>
        <w:ind w:firstLine="713"/>
        <w:spacing w:after="0" w:line="290" w:lineRule="auto"/>
        <w:rPr>
          <w:sz w:val="20"/>
          <w:szCs w:val="20"/>
          <w:color w:val="auto"/>
        </w:rPr>
      </w:pPr>
      <w:r>
        <w:rPr>
          <w:rFonts w:ascii="Arial" w:cs="Arial" w:eastAsia="Arial" w:hAnsi="Arial"/>
          <w:sz w:val="16"/>
          <w:szCs w:val="16"/>
          <w:color w:val="auto"/>
        </w:rPr>
        <w:t>The consolidated financial statements have been prepared assuming the Company will continue as a going concern. The Company has experienced substantial and recurring losses from operations, which losses have caused an accumulated deficit of $182.7 million at October 31, 2016. At October 31, 2016, the Company had approximately $12.5 million in cash on hand, including $6.9 million resulting from the closing of a public offering of the Company’s common stock on October 19, 2016. The Company generated revenues of $0.4 million and $0.6 million in the six months ended October 31, 2016 and 2015, respectively. Based on the Company’s cash and cash equivalents and marketable securities as of October 31, 2016, the Company believes that it will be able to finance its capital requirements and operations into at least the quarter ending January 31, 2018. The Company will require additional equity and/or debt financing to continue its operations. The Company cannot assure you that it will be able to secure additional funding when needed or at all, or, if secured, that such funding would be on favorable terms. These factors raise substantial doubt about the Company’s ability to continue as a going concern.</w:t>
      </w:r>
    </w:p>
    <w:p>
      <w:pPr>
        <w:spacing w:after="0" w:line="166" w:lineRule="exact"/>
        <w:rPr>
          <w:sz w:val="20"/>
          <w:szCs w:val="20"/>
          <w:color w:val="auto"/>
        </w:rPr>
      </w:pPr>
    </w:p>
    <w:p>
      <w:pPr>
        <w:jc w:val="both"/>
        <w:ind w:firstLine="713"/>
        <w:spacing w:after="0" w:line="312" w:lineRule="auto"/>
        <w:rPr>
          <w:sz w:val="20"/>
          <w:szCs w:val="20"/>
          <w:color w:val="auto"/>
        </w:rPr>
      </w:pPr>
      <w:r>
        <w:rPr>
          <w:rFonts w:ascii="Arial" w:cs="Arial" w:eastAsia="Arial" w:hAnsi="Arial"/>
          <w:sz w:val="16"/>
          <w:szCs w:val="16"/>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47" w:lineRule="exact"/>
        <w:rPr>
          <w:sz w:val="20"/>
          <w:szCs w:val="20"/>
          <w:color w:val="auto"/>
        </w:rPr>
      </w:pPr>
    </w:p>
    <w:p>
      <w:pPr>
        <w:jc w:val="both"/>
        <w:ind w:firstLine="713"/>
        <w:spacing w:after="0" w:line="286" w:lineRule="auto"/>
        <w:rPr>
          <w:sz w:val="20"/>
          <w:szCs w:val="20"/>
          <w:color w:val="auto"/>
        </w:rPr>
      </w:pPr>
      <w:r>
        <w:rPr>
          <w:rFonts w:ascii="Arial" w:cs="Arial" w:eastAsia="Arial" w:hAnsi="Arial"/>
          <w:sz w:val="17"/>
          <w:szCs w:val="17"/>
          <w:color w:val="auto"/>
        </w:rPr>
        <w:t>Management is evaluating different strategies to obtain the required additional funding for future operations. These strategies may include, but are not limited to,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jc w:val="both"/>
        <w:ind w:firstLine="713"/>
        <w:spacing w:after="0" w:line="301" w:lineRule="auto"/>
        <w:rPr>
          <w:sz w:val="20"/>
          <w:szCs w:val="20"/>
          <w:color w:val="auto"/>
        </w:rPr>
      </w:pPr>
      <w:r>
        <w:rPr>
          <w:rFonts w:ascii="Arial" w:cs="Arial" w:eastAsia="Arial" w:hAnsi="Arial"/>
          <w:sz w:val="19"/>
          <w:szCs w:val="19"/>
          <w:color w:val="auto"/>
        </w:rPr>
        <w:t>In fiscal 2017 and 2016,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closed three equity financing arrangements during the six months ended October 31, 2016.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200" w:lineRule="exact"/>
        <w:rPr>
          <w:sz w:val="20"/>
          <w:szCs w:val="20"/>
          <w:color w:val="auto"/>
        </w:rPr>
      </w:pPr>
    </w:p>
    <w:p>
      <w:pPr>
        <w:spacing w:after="0" w:line="279" w:lineRule="exact"/>
        <w:rPr>
          <w:sz w:val="20"/>
          <w:szCs w:val="20"/>
          <w:color w:val="auto"/>
        </w:rPr>
      </w:pPr>
    </w:p>
    <w:p>
      <w:pPr>
        <w:jc w:val="both"/>
        <w:ind w:firstLine="713"/>
        <w:spacing w:after="0" w:line="285" w:lineRule="auto"/>
        <w:rPr>
          <w:sz w:val="20"/>
          <w:szCs w:val="20"/>
          <w:color w:val="auto"/>
        </w:rPr>
      </w:pPr>
      <w:r>
        <w:rPr>
          <w:rFonts w:ascii="Arial" w:cs="Arial" w:eastAsia="Arial" w:hAnsi="Arial"/>
          <w:sz w:val="16"/>
          <w:szCs w:val="16"/>
          <w:color w:val="auto"/>
        </w:rPr>
        <w:t>In October 2015, the Company entered into an At the Market Offering Agreement (“2015 ATM Agreement”) with H.C. Wainwright &amp; Co., LLC (“Wainwright”), under which the Company offered from time to time in an at the market offering (the “2015 ATM Facility”) shares of its Common Stock under a shelf registration statement filed in 2013 on Form S-3 (the “2013 Form S-3”) and under a subsequent shelf registration statement on Form S-3 (the “2016 Form S-3”) filed with the SEC in February 2016 and declared effective by the SEC in April 2016. The 2016 Form S-3 registers for sale up to $15 million in securities by the Company in a public offering, although the Company is limited by Instruction I.B.6 in the amount that it may sell under Form S-3 in any 12 calendar month period to one third of its public float. Form S-3 limits the aggregate market value of securities that the Company is permitted to offer in any 12-month period under its 2013 Form S-3 Shelf, whether under the ATM Agreement, the Underwriting Agreement or otherwise, to one-third of its public float. In 2014, the Company fully utilized its available transaction capacity to sell securities using the 2013 Form S-3 Shelf in the ATM offering. However, the Company regained the ability to utilize the 2013 Form S-3 Shelf as the Company entered fiscal 2016. Under the 2015 ATM Facility, between October 2015 and April 2016, the Company issued and sold 144,571 shares of its Common Stock with an aggregate market value of $293,343 under the 2015 ATM Agreement at an average price of $2.03 per share and paid Wainwright of the 2015 ATM Facility a sales commission of approximately $4,400 related to those shares. The 2015 ATM Agreement was terminated on June 2, 2016, effective immediately, and the 2015 ATM Facility is no longer available for use by the Company. Under the SEC’s regulations, the securities registered under its 2013 Form S-3 Shelf may only be offered and sold if not more than three years have elapsed from the initial effective date of the Form S-3, except that if a new shelf registration statement is filed then the Company is permitted to continue to offer and sell securities under the Form S-3 until the earlier of the effective date of the new shelf registration statement or 180 days after the third anniversary of the initial effective date. On February 12, 2016, the Company filed a new Form S-3 shelf registration statement (the “2016 Form S-3”) to register the offering and sale of up to $15 million in securities. The 2016 Form S-3 registration was declared effective by the SEC on April 26, 2016.</w:t>
      </w:r>
    </w:p>
    <w:p>
      <w:pPr>
        <w:spacing w:after="0" w:line="175" w:lineRule="exact"/>
        <w:rPr>
          <w:sz w:val="20"/>
          <w:szCs w:val="20"/>
          <w:color w:val="auto"/>
        </w:rPr>
      </w:pPr>
    </w:p>
    <w:p>
      <w:pPr>
        <w:jc w:val="both"/>
        <w:ind w:firstLine="713"/>
        <w:spacing w:after="0" w:line="254"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will be exercisable on the date that is six months and one day from the date of issuance (“Initial Exercise Date”), and will expire five years following the Initial Exercise Date.</w:t>
      </w:r>
    </w:p>
    <w:p>
      <w:pPr>
        <w:spacing w:after="0" w:line="192"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ind w:firstLine="356"/>
        <w:spacing w:after="0" w:line="255" w:lineRule="auto"/>
        <w:rPr>
          <w:sz w:val="20"/>
          <w:szCs w:val="20"/>
          <w:color w:val="auto"/>
        </w:rPr>
      </w:pPr>
      <w:r>
        <w:rPr>
          <w:rFonts w:ascii="Arial" w:cs="Arial" w:eastAsia="Arial" w:hAnsi="Arial"/>
          <w:sz w:val="18"/>
          <w:szCs w:val="18"/>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offering expenses payable by the Company. The Company is using the net proceeds from this offering for general corporate purposes, which may include additional development, testing and demonstrations of the PowerBuoy system with the goal of furthering and accelerating its commercialization efforts and expanding its sales and marketing functions.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95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805"/>
        <w:spacing w:after="0" w:line="255" w:lineRule="auto"/>
        <w:rPr>
          <w:sz w:val="20"/>
          <w:szCs w:val="20"/>
          <w:color w:val="auto"/>
        </w:rPr>
      </w:pPr>
      <w:r>
        <w:rPr>
          <w:rFonts w:ascii="Arial" w:cs="Arial" w:eastAsia="Arial" w:hAnsi="Arial"/>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October 31, 2016 and 2015, respectively, there were no non-controlling interests. As of July 31, 2015, there was one non-controlling interest, consisting of 11.8% of the Company's Australian subsidiary, Ocean Power Technologies (Australasia) Pty. Ltd. (“OPTA”). OPTA owns 100% of Victorian Wave Partners Pty. Ltd. (“VWP”), which is also organized under the laws of Australia.</w:t>
      </w:r>
    </w:p>
    <w:p>
      <w:pPr>
        <w:spacing w:after="0" w:line="178" w:lineRule="exact"/>
        <w:rPr>
          <w:sz w:val="20"/>
          <w:szCs w:val="20"/>
          <w:color w:val="auto"/>
        </w:rPr>
      </w:pPr>
    </w:p>
    <w:p>
      <w:pPr>
        <w:jc w:val="both"/>
        <w:ind w:firstLine="713"/>
        <w:spacing w:after="0" w:line="279" w:lineRule="auto"/>
        <w:rPr>
          <w:sz w:val="20"/>
          <w:szCs w:val="20"/>
          <w:color w:val="auto"/>
        </w:rPr>
      </w:pPr>
      <w:r>
        <w:rPr>
          <w:rFonts w:ascii="Arial" w:cs="Arial" w:eastAsia="Arial" w:hAnsi="Arial"/>
          <w:sz w:val="17"/>
          <w:szCs w:val="17"/>
          <w:color w:val="auto"/>
        </w:rPr>
        <w:t>In September 2015, the Company re-purchased the non-controlling interest (consisting of 11.8%) of OPTA for nominal consideration and now has 100% ownership of OPTA. The Company also periodically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October 31, 2016, there were no such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fair value of warrant liabilities, valuation allowances for receivables and deferred income tax assets;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ind w:firstLine="713"/>
        <w:spacing w:after="0" w:line="279" w:lineRule="auto"/>
        <w:rPr>
          <w:sz w:val="20"/>
          <w:szCs w:val="20"/>
          <w:color w:val="auto"/>
        </w:rPr>
      </w:pPr>
      <w:r>
        <w:rPr>
          <w:rFonts w:ascii="Arial" w:cs="Arial" w:eastAsia="Arial" w:hAnsi="Arial"/>
          <w:sz w:val="17"/>
          <w:szCs w:val="17"/>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71" w:lineRule="exact"/>
        <w:rPr>
          <w:sz w:val="20"/>
          <w:szCs w:val="20"/>
          <w:color w:val="auto"/>
        </w:rPr>
      </w:pPr>
    </w:p>
    <w:p>
      <w:pPr>
        <w:jc w:val="both"/>
        <w:ind w:firstLine="713"/>
        <w:spacing w:after="0" w:line="271" w:lineRule="auto"/>
        <w:rPr>
          <w:sz w:val="20"/>
          <w:szCs w:val="20"/>
          <w:color w:val="auto"/>
        </w:rPr>
      </w:pPr>
      <w:r>
        <w:rPr>
          <w:rFonts w:ascii="Arial" w:cs="Arial" w:eastAsia="Arial" w:hAnsi="Arial"/>
          <w:sz w:val="17"/>
          <w:szCs w:val="17"/>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Some of the Company’s projects have been under cost-sharing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ind w:firstLine="713"/>
        <w:spacing w:after="0" w:line="276"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 2016</w:t>
            </w:r>
          </w:p>
        </w:tc>
        <w:tc>
          <w:tcPr>
            <w:tcW w:w="14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April 30,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9,990,970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2,521,215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12,512,185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6,729,814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October 31, 2016 and April 30, 2016, all of the Company’s investments were classified as held-to-maturity.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carries a fee of 1% per annum of the amount of any such obligations issued by Barclays Bank. The credit facility does not have an expiration date, but is cancelable at the discretion of the bank. As of October 31, 2016, there was €278,828 ($305,690) in letters of credit outstanding under this agreement.</w:t>
      </w:r>
    </w:p>
    <w:p>
      <w:pPr>
        <w:spacing w:after="0" w:line="188"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The second agreement is between the Company. and the New Jersey Board of Public Utilities (“NJBPU”). The Company received a $500,000 recoverable grant award from the NJBPU, none of which remains outstanding at October 31, 2016. Under this arrangement, the Company annually assigns to the NJBPU a certificate of deposit in an amount equal to the outstanding grant balance. See Note 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640" w:type="dxa"/>
            <w:vAlign w:val="bottom"/>
            <w:gridSpan w:val="2"/>
          </w:tcPr>
          <w:p>
            <w:pPr>
              <w:jc w:val="right"/>
              <w:ind w:right="825"/>
              <w:spacing w:after="0"/>
              <w:rPr>
                <w:sz w:val="20"/>
                <w:szCs w:val="20"/>
                <w:color w:val="auto"/>
              </w:rPr>
            </w:pPr>
            <w:r>
              <w:rPr>
                <w:rFonts w:ascii="Arial" w:cs="Arial" w:eastAsia="Arial" w:hAnsi="Arial"/>
                <w:sz w:val="18"/>
                <w:szCs w:val="18"/>
                <w:b w:val="1"/>
                <w:bCs w:val="1"/>
                <w:color w:val="auto"/>
              </w:rPr>
              <w:t>(Unaudited)</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Restricted cash includes the following:</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October 31, 2016</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30, 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64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Barclay's Bank Agreement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305,690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249,543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firstLine="713"/>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gain in the accompanying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225"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25"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table below shows the percentage of the Company's revenues derived from customers whose revenues accounted for at least 10%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revenues for at least one of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9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1"/>
              </w:rPr>
              <w:t>Three Months Ended October 31,</w:t>
            </w:r>
          </w:p>
        </w:tc>
        <w:tc>
          <w:tcPr>
            <w:tcW w:w="27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4"/>
              </w:rPr>
              <w:t>Six Months Ended October 31,</w:t>
            </w:r>
          </w:p>
        </w:tc>
      </w:tr>
      <w:tr>
        <w:trPr>
          <w:trHeight w:val="210"/>
        </w:trPr>
        <w:tc>
          <w:tcPr>
            <w:tcW w:w="5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European Union (WavePort project)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U.S. Department of Defense Office of Naval Research</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Warrant Liabilities</w:t>
      </w:r>
    </w:p>
    <w:p>
      <w:pPr>
        <w:spacing w:after="0" w:line="225"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The Company's warrants to purchase shares of its common stock are classified as warrant liabilities and recorded at fair value. The warrant liabilities are subject to remeasurement at each balance sheet date and the Company recognizes any change in fair value in its statements of operations as a change in fair value of the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Net Loss per Common Share</w:t>
      </w:r>
    </w:p>
    <w:p>
      <w:pPr>
        <w:spacing w:after="0" w:line="225" w:lineRule="exact"/>
        <w:rPr>
          <w:sz w:val="20"/>
          <w:szCs w:val="20"/>
          <w:color w:val="auto"/>
        </w:rPr>
      </w:pPr>
    </w:p>
    <w:p>
      <w:pPr>
        <w:jc w:val="both"/>
        <w:ind w:firstLine="713"/>
        <w:spacing w:after="0" w:line="286" w:lineRule="auto"/>
        <w:rPr>
          <w:sz w:val="20"/>
          <w:szCs w:val="20"/>
          <w:color w:val="auto"/>
        </w:rPr>
      </w:pPr>
      <w:r>
        <w:rPr>
          <w:rFonts w:ascii="Arial" w:cs="Arial" w:eastAsia="Arial" w:hAnsi="Arial"/>
          <w:sz w:val="17"/>
          <w:szCs w:val="17"/>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66" w:lineRule="exact"/>
        <w:rPr>
          <w:sz w:val="20"/>
          <w:szCs w:val="20"/>
          <w:color w:val="auto"/>
        </w:rPr>
      </w:pPr>
    </w:p>
    <w:p>
      <w:pPr>
        <w:jc w:val="both"/>
        <w:ind w:firstLine="713"/>
        <w:spacing w:after="0" w:line="312" w:lineRule="auto"/>
        <w:rPr>
          <w:sz w:val="20"/>
          <w:szCs w:val="20"/>
          <w:color w:val="auto"/>
        </w:rPr>
      </w:pPr>
      <w:r>
        <w:rPr>
          <w:rFonts w:ascii="Arial" w:cs="Arial" w:eastAsia="Arial" w:hAnsi="Arial"/>
          <w:sz w:val="16"/>
          <w:szCs w:val="16"/>
          <w:color w:val="auto"/>
        </w:rPr>
        <w:t>In computing diluted net loss per share, options to purchase shares of common stock, warrants on common stock and non-vested restricted stock issued to employees and non-employee directors, totaling 687,825 for the three and six months ended October 31, 2016 and 165,870 for the three and six months ended October 31, 2015, were excluded from each of the computations as the effect would be anti-dilutive due to the Company's losses.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Recently Issued Accounting Standards</w:t>
      </w:r>
    </w:p>
    <w:p>
      <w:pPr>
        <w:spacing w:after="0" w:line="225"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This guidance requires an entity to recognize revenue to depict the transfer of promised goods or services to customers in an amount that reflects the consideration to which the entity expects to be entitled in exchange for those goods or services. This guidance also requires an entity to disclose sufficient information to enable users of financial statements to understand the nature, amount, timing and uncertainty of revenue and cash flows arising from contracts with customers. Qualitative and quantitative information is required about:</w:t>
      </w:r>
    </w:p>
    <w:p>
      <w:pPr>
        <w:spacing w:after="0" w:line="188" w:lineRule="exact"/>
        <w:rPr>
          <w:sz w:val="20"/>
          <w:szCs w:val="20"/>
          <w:color w:val="auto"/>
        </w:rPr>
      </w:pPr>
    </w:p>
    <w:p>
      <w:pPr>
        <w:ind w:left="1460" w:right="20" w:hanging="642"/>
        <w:spacing w:after="0" w:line="274" w:lineRule="auto"/>
        <w:tabs>
          <w:tab w:leader="none" w:pos="1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Contracts with customers—including revenue and impairments recognized, disaggregation of revenue and information about contract balances and performance obligations (including the transaction price allocated to the remaining performance obligations).</w:t>
      </w:r>
    </w:p>
    <w:p>
      <w:pPr>
        <w:ind w:left="1460" w:hanging="642"/>
        <w:spacing w:after="0" w:line="250"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judgments and changes in judgments—determining the timing of satisfaction of performance obligations (over time or at a point in time), and determining the transaction price and amounts allocated to performance obligations.</w:t>
      </w:r>
    </w:p>
    <w:p>
      <w:pPr>
        <w:ind w:left="1460" w:hanging="642"/>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assets—assets recognized from the costs to obtain or fulfill a contract.</w:t>
      </w:r>
    </w:p>
    <w:p>
      <w:pPr>
        <w:spacing w:after="0" w:line="211"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In August 2015, the FASB issued updated guidance deferring the effective date of the revenue recognition standard. In March and April 2016, the FASB issued additional updated guidance, which clarifies certain aspects of the ASU and the related implementation guidance issued by the FASB-IASB Joint Transition Resource Group for Revenue Recognition. This guidance is effective for the Company for annual reporting periods beginning after December 15, 2017. The Company is currently evaluating the impact that this guidance will have on its results of operations, financial position and cash flows.</w:t>
      </w:r>
    </w:p>
    <w:p>
      <w:pPr>
        <w:spacing w:after="0" w:line="154"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is evaluating the effect ASU 2014-15 will have on its consolidated financial statements and disclosures and have not yet determined the effect of the standard on its ongoing financial reporting at this time.</w:t>
      </w:r>
    </w:p>
    <w:p>
      <w:pPr>
        <w:spacing w:after="0" w:line="193"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In January 2016, the FASB issued ASU No. 2016-01, “Recognition and Measurement of Financial Assets and Financial Liabilities”,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40" w:firstLine="713"/>
        <w:spacing w:after="0" w:line="291" w:lineRule="auto"/>
        <w:rPr>
          <w:sz w:val="20"/>
          <w:szCs w:val="20"/>
          <w:color w:val="auto"/>
        </w:rPr>
      </w:pPr>
      <w:r>
        <w:rPr>
          <w:rFonts w:ascii="Arial" w:cs="Arial" w:eastAsia="Arial" w:hAnsi="Arial"/>
          <w:sz w:val="16"/>
          <w:szCs w:val="16"/>
          <w:color w:val="auto"/>
        </w:rPr>
        <w:t>In February 2016, the FASB issued ASU No. 2016-02, “Leases (Topic 842)”.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67" w:lineRule="exact"/>
        <w:rPr>
          <w:sz w:val="20"/>
          <w:szCs w:val="20"/>
          <w:color w:val="auto"/>
        </w:rPr>
      </w:pPr>
    </w:p>
    <w:p>
      <w:pPr>
        <w:jc w:val="both"/>
        <w:ind w:right="40" w:firstLine="713"/>
        <w:spacing w:after="0" w:line="293" w:lineRule="auto"/>
        <w:rPr>
          <w:sz w:val="20"/>
          <w:szCs w:val="20"/>
          <w:color w:val="auto"/>
        </w:rPr>
      </w:pPr>
      <w:r>
        <w:rPr>
          <w:rFonts w:ascii="Arial" w:cs="Arial" w:eastAsia="Arial" w:hAnsi="Arial"/>
          <w:sz w:val="16"/>
          <w:szCs w:val="16"/>
          <w:color w:val="auto"/>
        </w:rPr>
        <w:t>In March 2016, the FASB issued ASU No. 2016-09, “Compensation - Stock Compensation (Topic 718)”, or ASU No. 2016-09. The amendments of ASU No. 2016-09 were issues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income tax consequences, classification of awards as equity or liabilities and classification on the statement of cash flows. The guidance in ASU No. 2016-09 is effective for fiscal years beginning after December 15, 2016, and interim periods within those annual periods. Early adoption is permitted. The Company will evaluate the effect of ASU 2016-09 for future periods as applicable.</w:t>
      </w:r>
    </w:p>
    <w:p>
      <w:pPr>
        <w:spacing w:after="0" w:line="165" w:lineRule="exact"/>
        <w:rPr>
          <w:sz w:val="20"/>
          <w:szCs w:val="20"/>
          <w:color w:val="auto"/>
        </w:rPr>
      </w:pPr>
    </w:p>
    <w:p>
      <w:pPr>
        <w:jc w:val="both"/>
        <w:ind w:right="40" w:firstLine="713"/>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standard provides for a new impairment model which requires measurement and recognition of expected credit losses for most financial assets held. The ASU is effective for public companies for annual periods, and interim periods within those annual periods, beginning after December 15, 2019. The Company is evaluating the effect ASU 2016-13 will have on its consolidated financial statements and disclosures and has not yet determined the effect of the standard on its ongoing financial reporting at this time.</w:t>
      </w:r>
    </w:p>
    <w:p>
      <w:pPr>
        <w:spacing w:after="0" w:line="188" w:lineRule="exact"/>
        <w:rPr>
          <w:sz w:val="20"/>
          <w:szCs w:val="20"/>
          <w:color w:val="auto"/>
        </w:rPr>
      </w:pPr>
    </w:p>
    <w:p>
      <w:pPr>
        <w:jc w:val="both"/>
        <w:ind w:right="40" w:firstLine="713"/>
        <w:spacing w:after="0" w:line="276"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is evaluating the effect ASU 2016-13 will have on its consolidated financial statements and disclosures and has not yet determined the effect of the standard on its ongoing financial reporting at this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right="40" w:firstLine="713"/>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April 30,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6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23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w:t>
            </w: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 2016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April 30, 2016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Project costs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1,300,059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817,509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loss reserve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198,819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Employee incentive payments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279,042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688,389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salary and benefits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456,077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Legal and accounting fees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283,175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240,466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273,581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2,881,505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2,674,841</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vMerge w:val="restart"/>
          </w:tcPr>
          <w:p>
            <w:pPr>
              <w:jc w:val="right"/>
              <w:ind w:right="43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96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229"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received fifteen months of consulting fees at a monthly rate of $20,000 (this period terminated on July 18, 2015). For the three and six months ended October 31, 2016 and 2015, the Company recorded $0 and $52,667, respectively, in expense relating to this agreement, recorded in selling, general and administrative expense in the unaudited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The Company was awarded a recoverable grant totaling $500,000 between April 2009 and June 2010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annually assign to the NJBPU a certificate of deposit in an amount equal to the outstanding grant balance. As of October 31, 2016, there was no outstanding balance, and therefore, there is no certificate of deposit assigned to restricted cash. See Note 2(f).</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October 31, 2016</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460" w:type="dxa"/>
            <w:vAlign w:val="bottom"/>
            <w:shd w:val="clear" w:color="auto" w:fill="CCEEFF"/>
          </w:tcPr>
          <w:p>
            <w:pPr>
              <w:jc w:val="right"/>
              <w:ind w:right="130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60" w:type="dxa"/>
            <w:vAlign w:val="bottom"/>
            <w:tcBorders>
              <w:top w:val="single" w:sz="8" w:color="auto"/>
              <w:bottom w:val="single" w:sz="8" w:color="auto"/>
            </w:tcBorders>
            <w:shd w:val="clear" w:color="auto" w:fill="CCEEFF"/>
          </w:tcPr>
          <w:p>
            <w:pPr>
              <w:jc w:val="right"/>
              <w:ind w:right="130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(7) Deferred Credits Payable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713"/>
        <w:spacing w:after="0" w:line="270"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October 31, 2016, the Company has not generated any emissions credits eligible for purchase under the agreement. The $600,000 has been classified as a noncurrent liability as of October 31, 2016 and April 30,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will be exercisable on the date that is six months and one day from the date of issuance (“Initial Exercise Date”), and will expire five years following the Initial Exercise Date.</w:t>
      </w:r>
    </w:p>
    <w:p>
      <w:pPr>
        <w:spacing w:after="0" w:line="193" w:lineRule="exact"/>
        <w:rPr>
          <w:sz w:val="20"/>
          <w:szCs w:val="20"/>
          <w:color w:val="auto"/>
        </w:rPr>
      </w:pPr>
    </w:p>
    <w:p>
      <w:pPr>
        <w:jc w:val="both"/>
        <w:ind w:firstLine="713"/>
        <w:spacing w:after="0" w:line="297" w:lineRule="auto"/>
        <w:rPr>
          <w:sz w:val="20"/>
          <w:szCs w:val="20"/>
          <w:color w:val="auto"/>
        </w:rPr>
      </w:pPr>
      <w:r>
        <w:rPr>
          <w:rFonts w:ascii="Arial" w:cs="Arial" w:eastAsia="Arial" w:hAnsi="Arial"/>
          <w:sz w:val="16"/>
          <w:szCs w:val="16"/>
          <w:color w:val="auto"/>
        </w:rPr>
        <w:t>On July 22, 2016, the Company entered into the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The warrants contain a feature whereby they could require the transfer of assets and therefore are liability classified in accordance with ASC 480. As such, the warrants with a value of $548,382 and $0 at October 31, 2016 and April 30, 2016, respectively, are reflected as warrant liabilities in the unaudited condensed consolidated balance sheets. Unrealized gains of $2,017,557 and $1,265,448 were included as change in fair value of warrant liabilities in the consolidated statements of operations for the three and six months ended October 31, 2016, respectively. There are no unrealized losses for the three and six months ended October 31, 2015. The Company determined the fair value using the Black-Scholes option pricing model with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October 31, 2016</w:t>
            </w:r>
          </w:p>
        </w:tc>
        <w:tc>
          <w:tcPr>
            <w:tcW w:w="8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7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Risk-free rate</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4.7   -   5.1</w:t>
            </w:r>
          </w:p>
        </w:tc>
        <w:tc>
          <w:tcPr>
            <w:tcW w:w="80" w:type="dxa"/>
            <w:vAlign w:val="bottom"/>
            <w:shd w:val="clear" w:color="auto" w:fill="CCEEFF"/>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126.7%</w:t>
            </w:r>
          </w:p>
        </w:tc>
        <w:tc>
          <w:tcPr>
            <w:tcW w:w="8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jc w:val="both"/>
        <w:ind w:right="40" w:firstLine="713"/>
        <w:spacing w:after="0" w:line="277" w:lineRule="auto"/>
        <w:rPr>
          <w:sz w:val="20"/>
          <w:szCs w:val="20"/>
          <w:color w:val="auto"/>
        </w:rPr>
      </w:pPr>
      <w:r>
        <w:rPr>
          <w:rFonts w:ascii="Arial" w:cs="Arial" w:eastAsia="Arial" w:hAnsi="Arial"/>
          <w:sz w:val="18"/>
          <w:szCs w:val="18"/>
          <w:color w:val="auto"/>
        </w:rPr>
        <w:t>The aggregate stock-based compensation expense related to all stock-based transactions recorded in the consolidated statements of operations was approximately $628,000 and $277,000 for the six months ended October 31,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Six Months Ended October 31, 2016 and 2015</w:t>
      </w:r>
    </w:p>
    <w:p>
      <w:pPr>
        <w:spacing w:after="0" w:line="229" w:lineRule="exact"/>
        <w:rPr>
          <w:sz w:val="20"/>
          <w:szCs w:val="20"/>
          <w:color w:val="auto"/>
        </w:rPr>
      </w:pPr>
    </w:p>
    <w:p>
      <w:pPr>
        <w:jc w:val="both"/>
        <w:ind w:right="40" w:firstLine="713"/>
        <w:spacing w:after="0" w:line="297" w:lineRule="auto"/>
        <w:rPr>
          <w:sz w:val="20"/>
          <w:szCs w:val="20"/>
          <w:color w:val="auto"/>
        </w:rPr>
      </w:pPr>
      <w:r>
        <w:rPr>
          <w:rFonts w:ascii="Arial" w:cs="Arial" w:eastAsia="Arial" w:hAnsi="Arial"/>
          <w:sz w:val="16"/>
          <w:szCs w:val="16"/>
          <w:color w:val="auto"/>
        </w:rPr>
        <w:t xml:space="preserve">The fair value of each stock option granted, for both service-based and performance-based vesting requirements during the six months ended October 31, 2016,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the Company’s historical volatility for the six months ended October 31, 2016.</w:t>
      </w:r>
    </w:p>
    <w:p>
      <w:pPr>
        <w:spacing w:after="0" w:line="154"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Six Months Ended October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103.96%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85.74%</w:t>
            </w:r>
          </w:p>
        </w:tc>
      </w:tr>
    </w:tbl>
    <w:p>
      <w:pPr>
        <w:spacing w:after="0" w:line="187" w:lineRule="exact"/>
        <w:rPr>
          <w:sz w:val="20"/>
          <w:szCs w:val="20"/>
          <w:color w:val="auto"/>
        </w:rPr>
      </w:pPr>
    </w:p>
    <w:p>
      <w:pPr>
        <w:ind w:right="60" w:firstLine="713"/>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$2.53 and $4.05 for stock options granted during the six months ended October 31,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under our stock incentive plans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Weighted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Average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200" w:type="dxa"/>
            <w:vAlign w:val="bottom"/>
          </w:tcPr>
          <w:p>
            <w:pPr>
              <w:jc w:val="center"/>
              <w:ind w:left="350"/>
              <w:spacing w:after="0"/>
              <w:rPr>
                <w:sz w:val="20"/>
                <w:szCs w:val="20"/>
                <w:color w:val="auto"/>
              </w:rPr>
            </w:pPr>
            <w:r>
              <w:rPr>
                <w:rFonts w:ascii="Arial" w:cs="Arial" w:eastAsia="Arial" w:hAnsi="Arial"/>
                <w:sz w:val="18"/>
                <w:szCs w:val="18"/>
                <w:b w:val="1"/>
                <w:bCs w:val="1"/>
                <w:color w:val="auto"/>
                <w:w w:val="86"/>
              </w:rPr>
              <w:t>Exercise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18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20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1180" w:type="dxa"/>
            <w:vAlign w:val="bottom"/>
          </w:tcPr>
          <w:p>
            <w:pPr>
              <w:spacing w:after="0"/>
              <w:rPr>
                <w:sz w:val="20"/>
                <w:szCs w:val="20"/>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2016</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89,303</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42.90</w:t>
            </w:r>
          </w:p>
        </w:tc>
        <w:tc>
          <w:tcPr>
            <w:tcW w:w="1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(841)</w:t>
            </w:r>
          </w:p>
        </w:tc>
        <w:tc>
          <w:tcPr>
            <w:tcW w:w="12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51.50</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171,749</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31, 2016</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260,211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15.96</w:t>
            </w: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180" w:type="dxa"/>
            <w:vAlign w:val="bottom"/>
          </w:tcPr>
          <w:p>
            <w:pPr>
              <w:spacing w:after="0"/>
              <w:rPr>
                <w:sz w:val="21"/>
                <w:szCs w:val="21"/>
                <w:color w:val="auto"/>
              </w:rPr>
            </w:pPr>
          </w:p>
        </w:tc>
      </w:tr>
      <w:tr>
        <w:trPr>
          <w:trHeight w:val="197"/>
        </w:trPr>
        <w:tc>
          <w:tcPr>
            <w:tcW w:w="4840" w:type="dxa"/>
            <w:vAlign w:val="bottom"/>
          </w:tcPr>
          <w:p>
            <w:pPr>
              <w:spacing w:after="0" w:line="196" w:lineRule="exact"/>
              <w:rPr>
                <w:sz w:val="20"/>
                <w:szCs w:val="20"/>
                <w:color w:val="auto"/>
              </w:rPr>
            </w:pPr>
            <w:r>
              <w:rPr>
                <w:rFonts w:ascii="Arial" w:cs="Arial" w:eastAsia="Arial" w:hAnsi="Arial"/>
                <w:sz w:val="18"/>
                <w:szCs w:val="18"/>
                <w:color w:val="auto"/>
              </w:rPr>
              <w:t>Exercisable as of October 31, 2016</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156,466</w:t>
            </w:r>
          </w:p>
        </w:tc>
        <w:tc>
          <w:tcPr>
            <w:tcW w:w="220" w:type="dxa"/>
            <w:vAlign w:val="bottom"/>
          </w:tcPr>
          <w:p>
            <w:pPr>
              <w:spacing w:after="0"/>
              <w:rPr>
                <w:sz w:val="17"/>
                <w:szCs w:val="17"/>
                <w:color w:val="auto"/>
              </w:rPr>
            </w:pPr>
          </w:p>
        </w:tc>
        <w:tc>
          <w:tcPr>
            <w:tcW w:w="1200" w:type="dxa"/>
            <w:vAlign w:val="bottom"/>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3"/>
              </w:rPr>
              <w:t>24.44</w:t>
            </w:r>
          </w:p>
        </w:tc>
        <w:tc>
          <w:tcPr>
            <w:tcW w:w="17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5.8</w:t>
            </w:r>
          </w:p>
        </w:tc>
        <w:tc>
          <w:tcPr>
            <w:tcW w:w="118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656"/>
        </w:trPr>
        <w:tc>
          <w:tcPr>
            <w:tcW w:w="4840" w:type="dxa"/>
            <w:vAlign w:val="bottom"/>
          </w:tcPr>
          <w:p>
            <w:pPr>
              <w:spacing w:after="0"/>
              <w:rPr>
                <w:sz w:val="24"/>
                <w:szCs w:val="24"/>
                <w:color w:val="auto"/>
              </w:rPr>
            </w:pPr>
          </w:p>
        </w:tc>
        <w:tc>
          <w:tcPr>
            <w:tcW w:w="1660" w:type="dxa"/>
            <w:vAlign w:val="bottom"/>
          </w:tcPr>
          <w:p>
            <w:pPr>
              <w:jc w:val="right"/>
              <w:ind w:right="61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48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484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713"/>
        <w:spacing w:after="0" w:line="293" w:lineRule="auto"/>
        <w:rPr>
          <w:sz w:val="20"/>
          <w:szCs w:val="20"/>
          <w:color w:val="auto"/>
        </w:rPr>
      </w:pPr>
      <w:r>
        <w:rPr>
          <w:rFonts w:ascii="Arial" w:cs="Arial" w:eastAsia="Arial" w:hAnsi="Arial"/>
          <w:sz w:val="16"/>
          <w:szCs w:val="16"/>
          <w:color w:val="auto"/>
        </w:rPr>
        <w:t>As of October 31, 2016, the total intrinsic value of outstanding and exercisable options was approximately $96,000 and $90,000, respectively. As of October 31, 2016, approximately 101,959 additional options are expected to vest in the future with an intrinsic value of approximately $4,000 and a weighted average remaining contractual term of 9.9 years. There was approximately $142,000 and $110,000 of total recognized compensation cost related to stock options for the six months ended October 31, 2016 and 2015, respectively. As of October 31, 2016, there was approximately $314,000 of total unrecognized compensation cost related to non-vested stock options granted under the plans. This cost is expected to be recognized over a weighted-average period of 1.0 years. The Company typically issues newly authorized but unissued shares to satisfy option exercises under these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ind w:firstLine="713"/>
        <w:spacing w:after="0" w:line="287" w:lineRule="auto"/>
        <w:rPr>
          <w:sz w:val="20"/>
          <w:szCs w:val="20"/>
          <w:color w:val="auto"/>
        </w:rPr>
      </w:pPr>
      <w:r>
        <w:rPr>
          <w:rFonts w:ascii="Arial" w:cs="Arial" w:eastAsia="Arial" w:hAnsi="Arial"/>
          <w:sz w:val="16"/>
          <w:szCs w:val="16"/>
          <w:color w:val="auto"/>
        </w:rPr>
        <w:t>Compensation expense for non-restricted stock is generally recorded based on its market value on the date of grant and recognized ratably over the associated service and performance period. During the six months ended October 31, 2016, the Company granted 203,662 shares subject to service-based vesting requirements and no shares subject to performance-based vesting requirements.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 In January 2016, the Board of Directors authorized a modification to certain outstanding restricted stock grants, which converted certain grants with performance-based grants to service based grants. The modification of the restricted stock grants did not have a material impact on the Company’s statement of operations for the six months ended October 31, 2016. Restricted stock issued and unvested at October 31, 2016 included 4,000 shares of unvested restricted stock subjected to performance-based vesting requirements.</w:t>
      </w:r>
    </w:p>
    <w:p>
      <w:pPr>
        <w:sectPr>
          <w:pgSz w:w="11900" w:h="16838" w:orient="portrait"/>
          <w:cols w:equalWidth="0" w:num="1">
            <w:col w:w="11420"/>
          </w:cols>
          <w:pgMar w:left="240" w:top="580"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Issued and unvested at April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51764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Issued and unvested at October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7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Average Price per</w:t>
            </w:r>
          </w:p>
        </w:tc>
      </w:tr>
      <w:tr>
        <w:trPr>
          <w:trHeight w:val="234"/>
        </w:trPr>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Share</w:t>
            </w:r>
          </w:p>
        </w:tc>
      </w:tr>
      <w:tr>
        <w:trPr>
          <w:trHeight w:val="411"/>
        </w:trPr>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44,022</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1540" w:type="dxa"/>
            <w:vAlign w:val="bottom"/>
          </w:tcPr>
          <w:p>
            <w:pPr>
              <w:jc w:val="right"/>
              <w:spacing w:after="0"/>
              <w:rPr>
                <w:sz w:val="20"/>
                <w:szCs w:val="20"/>
                <w:color w:val="auto"/>
              </w:rPr>
            </w:pPr>
            <w:r>
              <w:rPr>
                <w:rFonts w:ascii="Arial" w:cs="Arial" w:eastAsia="Arial" w:hAnsi="Arial"/>
                <w:sz w:val="18"/>
                <w:szCs w:val="18"/>
                <w:color w:val="auto"/>
              </w:rPr>
              <w:t>203,662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(31,528)</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(112,994)</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0"/>
        </w:trPr>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103,162</w:t>
            </w:r>
          </w:p>
        </w:tc>
        <w:tc>
          <w:tcPr>
            <w:tcW w:w="22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20" w:space="580"/>
            <w:col w:w="4520"/>
          </w:cols>
          <w:pgMar w:left="240" w:top="580" w:right="239" w:bottom="1440" w:gutter="0" w:footer="0" w:header="0"/>
          <w:type w:val="continuous"/>
        </w:sectPr>
      </w:pPr>
    </w:p>
    <w:p>
      <w:pPr>
        <w:spacing w:after="0" w:line="2" w:lineRule="exact"/>
        <w:rPr>
          <w:sz w:val="20"/>
          <w:szCs w:val="20"/>
          <w:color w:val="auto"/>
        </w:rPr>
      </w:pPr>
    </w:p>
    <w:p>
      <w:pPr>
        <w:jc w:val="both"/>
        <w:ind w:firstLine="713"/>
        <w:spacing w:after="0" w:line="286" w:lineRule="auto"/>
        <w:rPr>
          <w:sz w:val="20"/>
          <w:szCs w:val="20"/>
          <w:color w:val="auto"/>
        </w:rPr>
      </w:pPr>
      <w:r>
        <w:rPr>
          <w:rFonts w:ascii="Arial" w:cs="Arial" w:eastAsia="Arial" w:hAnsi="Arial"/>
          <w:sz w:val="17"/>
          <w:szCs w:val="17"/>
          <w:color w:val="auto"/>
        </w:rPr>
        <w:t>There was approximately $486,000 and $167,000 of total recognized compensation cost related to restricted stock for the six months ended October 31, 2016 and 2015, respectively. As of October 31, 2016, there was approximately $418,000 of total unrecognized compensation cost related to unvested restricted stock granted under our plans. This cost is expected to be recognized over a weighted average period of 0.6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(c)Treasury Stock</w:t>
      </w:r>
    </w:p>
    <w:p>
      <w:pPr>
        <w:spacing w:after="0" w:line="225" w:lineRule="exact"/>
        <w:rPr>
          <w:sz w:val="20"/>
          <w:szCs w:val="20"/>
          <w:color w:val="auto"/>
        </w:rPr>
      </w:pPr>
    </w:p>
    <w:p>
      <w:pPr>
        <w:jc w:val="both"/>
        <w:ind w:right="20" w:firstLine="713"/>
        <w:spacing w:after="0" w:line="277" w:lineRule="auto"/>
        <w:rPr>
          <w:sz w:val="20"/>
          <w:szCs w:val="20"/>
          <w:color w:val="auto"/>
        </w:rPr>
      </w:pPr>
      <w:r>
        <w:rPr>
          <w:rFonts w:ascii="Arial" w:cs="Arial" w:eastAsia="Arial" w:hAnsi="Arial"/>
          <w:sz w:val="18"/>
          <w:szCs w:val="18"/>
          <w:color w:val="auto"/>
        </w:rPr>
        <w:t>During the six months ended October 31, 2016 and 2015, 6,360 and 452 shares, respectively, of common stock were purchased by the Company from employees to pay taxes related to the vesting of restricted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ind w:right="40" w:firstLine="713"/>
        <w:spacing w:after="0" w:line="255"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ectPr>
          <w:pgSz w:w="11900" w:h="16838" w:orient="portrait"/>
          <w:cols w:equalWidth="0" w:num="1">
            <w:col w:w="11460"/>
          </w:cols>
          <w:pgMar w:left="240" w:top="607" w:right="19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200" w:lineRule="exact"/>
        <w:rPr>
          <w:sz w:val="20"/>
          <w:szCs w:val="20"/>
          <w:color w:val="auto"/>
        </w:rPr>
      </w:pPr>
    </w:p>
    <w:p>
      <w:pPr>
        <w:sectPr>
          <w:pgSz w:w="11900" w:h="16838" w:orient="portrait"/>
          <w:cols w:equalWidth="0" w:num="2">
            <w:col w:w="580" w:space="720"/>
            <w:col w:w="10160"/>
          </w:cols>
          <w:pgMar w:left="240" w:top="607" w:right="19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200" w:lineRule="exact"/>
        <w:rPr>
          <w:sz w:val="20"/>
          <w:szCs w:val="20"/>
          <w:color w:val="auto"/>
        </w:rPr>
      </w:pPr>
    </w:p>
    <w:p>
      <w:pPr>
        <w:sectPr>
          <w:pgSz w:w="11900" w:h="16838" w:orient="portrait"/>
          <w:cols w:equalWidth="0" w:num="2">
            <w:col w:w="580" w:space="720"/>
            <w:col w:w="10160"/>
          </w:cols>
          <w:pgMar w:left="240" w:top="607" w:right="19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200" w:lineRule="exact"/>
        <w:rPr>
          <w:sz w:val="20"/>
          <w:szCs w:val="20"/>
          <w:color w:val="auto"/>
        </w:rPr>
      </w:pPr>
    </w:p>
    <w:p>
      <w:pPr>
        <w:sectPr>
          <w:pgSz w:w="11900" w:h="16838" w:orient="portrait"/>
          <w:cols w:equalWidth="0" w:num="2">
            <w:col w:w="580" w:space="720"/>
            <w:col w:w="10160"/>
          </w:cols>
          <w:pgMar w:left="240" w:top="607" w:right="199" w:bottom="1440" w:gutter="0" w:footer="0" w:header="0"/>
          <w:type w:val="continuous"/>
        </w:sectPr>
      </w:pPr>
    </w:p>
    <w:p>
      <w:pPr>
        <w:spacing w:after="0" w:line="35" w:lineRule="exact"/>
        <w:rPr>
          <w:sz w:val="20"/>
          <w:szCs w:val="20"/>
          <w:color w:val="auto"/>
        </w:rPr>
      </w:pPr>
    </w:p>
    <w:p>
      <w:pPr>
        <w:jc w:val="both"/>
        <w:ind w:right="40" w:firstLine="781"/>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the six months ended October 31, 2016 and 2015.</w:t>
      </w:r>
    </w:p>
    <w:p>
      <w:pPr>
        <w:spacing w:after="0" w:line="170" w:lineRule="exact"/>
        <w:rPr>
          <w:sz w:val="20"/>
          <w:szCs w:val="20"/>
          <w:color w:val="auto"/>
        </w:rPr>
      </w:pPr>
    </w:p>
    <w:p>
      <w:pPr>
        <w:jc w:val="both"/>
        <w:ind w:right="40" w:firstLine="713"/>
        <w:spacing w:after="0" w:line="264"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1" w:lineRule="exact"/>
        <w:rPr>
          <w:sz w:val="20"/>
          <w:szCs w:val="20"/>
          <w:color w:val="auto"/>
        </w:rPr>
      </w:pPr>
    </w:p>
    <w:p>
      <w:pPr>
        <w:jc w:val="both"/>
        <w:ind w:right="40" w:firstLine="713"/>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ind w:right="40" w:firstLine="713"/>
        <w:spacing w:after="0" w:line="257" w:lineRule="auto"/>
        <w:rPr>
          <w:sz w:val="20"/>
          <w:szCs w:val="20"/>
          <w:color w:val="auto"/>
        </w:rPr>
      </w:pPr>
      <w:r>
        <w:rPr>
          <w:rFonts w:ascii="Arial" w:cs="Arial" w:eastAsia="Arial" w:hAnsi="Arial"/>
          <w:sz w:val="18"/>
          <w:szCs w:val="18"/>
          <w:color w:val="auto"/>
        </w:rPr>
        <w:t>The fair value of the Company's warrant liabilities (refer to Note 8)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 free interest rate is based on the implied yield available on U.S. Treasury Securities with a maturity equivalent to the warrants' expected life.</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October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Quoted prices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in active</w:t>
            </w:r>
          </w:p>
        </w:tc>
        <w:tc>
          <w:tcPr>
            <w:tcW w:w="1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Significant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Total 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markets for</w:t>
            </w:r>
          </w:p>
        </w:tc>
        <w:tc>
          <w:tcPr>
            <w:tcW w:w="1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3"/>
              </w:rPr>
              <w:t>other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Value in</w:t>
            </w:r>
          </w:p>
        </w:tc>
        <w:tc>
          <w:tcPr>
            <w:tcW w:w="220" w:type="dxa"/>
            <w:vAlign w:val="bottom"/>
          </w:tcPr>
          <w:p>
            <w:pPr>
              <w:spacing w:after="0"/>
              <w:rPr>
                <w:sz w:val="18"/>
                <w:szCs w:val="18"/>
                <w:color w:val="auto"/>
              </w:rPr>
            </w:pPr>
          </w:p>
        </w:tc>
        <w:tc>
          <w:tcPr>
            <w:tcW w:w="16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6"/>
              </w:rPr>
              <w:t>identical assets</w:t>
            </w:r>
          </w:p>
        </w:tc>
        <w:tc>
          <w:tcPr>
            <w:tcW w:w="1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6"/>
              </w:rPr>
              <w:t>observable</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Consolidated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or liabilities</w:t>
            </w:r>
          </w:p>
        </w:tc>
        <w:tc>
          <w:tcPr>
            <w:tcW w:w="136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inputs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(Level 1)</w:t>
            </w:r>
          </w:p>
        </w:tc>
        <w:tc>
          <w:tcPr>
            <w:tcW w:w="136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(Level 2)</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3)</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548,382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940"/>
              <w:spacing w:after="0"/>
              <w:rPr>
                <w:sz w:val="20"/>
                <w:szCs w:val="20"/>
                <w:color w:val="auto"/>
              </w:rPr>
            </w:pPr>
            <w:r>
              <w:rPr>
                <w:rFonts w:ascii="Arial" w:cs="Arial" w:eastAsia="Arial" w:hAnsi="Arial"/>
                <w:sz w:val="18"/>
                <w:szCs w:val="18"/>
                <w:color w:val="auto"/>
              </w:rPr>
              <w:t>—   $</w:t>
            </w:r>
          </w:p>
        </w:tc>
        <w:tc>
          <w:tcPr>
            <w:tcW w:w="1360" w:type="dxa"/>
            <w:vAlign w:val="bottom"/>
            <w:gridSpan w:val="4"/>
          </w:tcPr>
          <w:p>
            <w:pPr>
              <w:ind w:left="90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548,382</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040" w:type="dxa"/>
            <w:vAlign w:val="bottom"/>
            <w:gridSpan w:val="12"/>
          </w:tcPr>
          <w:p>
            <w:pPr>
              <w:ind w:left="700"/>
              <w:spacing w:after="0"/>
              <w:rPr>
                <w:sz w:val="20"/>
                <w:szCs w:val="20"/>
                <w:color w:val="auto"/>
              </w:rPr>
            </w:pPr>
            <w:r>
              <w:rPr>
                <w:rFonts w:ascii="Arial" w:cs="Arial" w:eastAsia="Arial" w:hAnsi="Arial"/>
                <w:sz w:val="18"/>
                <w:szCs w:val="18"/>
                <w:color w:val="auto"/>
                <w:w w:val="92"/>
              </w:rPr>
              <w:t>The changes on the value of the warrant liabilities during the six months ended October 31, 2016 were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Issuance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1,813,870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(1,265,488)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 October 31, 2016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548,382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There were no remeasured assets or liabilities at fair value on a non-recurring basis during the six months ended October 31, 2016 and 2015, respectively.</w:t>
      </w:r>
    </w:p>
    <w:p>
      <w:pPr>
        <w:spacing w:after="0" w:line="166" w:lineRule="exact"/>
        <w:rPr>
          <w:sz w:val="20"/>
          <w:szCs w:val="20"/>
          <w:color w:val="auto"/>
        </w:rPr>
      </w:pPr>
    </w:p>
    <w:p>
      <w:pPr>
        <w:ind w:left="380" w:hanging="327"/>
        <w:spacing w:after="0"/>
        <w:tabs>
          <w:tab w:leader="none" w:pos="38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The Company and its former Chief Executive Officer Charles Dunleavy are defendants in consolidated securities class action lawsuits pending in the United States District Court for the District of New Jersey captioned In Re: Ocean Power Technologies, Inc. Securities Litigation, Civil Action No. 14-3799 (FLW) (LHG). The consolidated actions are Roby v. Ocean Power Technologies, Inc., et al., Case No. 3:14-cv-03799-FLW-LHG (filed June 13, 2014); Chew, et al. v. Ocean Power Technologies, Inc. et. al., Case No 3:14-cv-03815 (filed June 13, 2014); Konstantinidis v. Ocean Power Technologies, Inc., et al., Case No. 3:14-cv-04015 (filed June 23, 2014); and Turner v. Ocean Power Technologies, Inc., et al., Case No. 3:14-cv-04592 (filed July 22, 2014). On March 17, 2015, the court entered an order appointing Five More Special Situation Fund Ltd. as the lead plaintiff.</w:t>
      </w:r>
    </w:p>
    <w:p>
      <w:pPr>
        <w:spacing w:after="0" w:line="178" w:lineRule="exact"/>
        <w:rPr>
          <w:sz w:val="20"/>
          <w:szCs w:val="20"/>
          <w:color w:val="auto"/>
        </w:rPr>
      </w:pPr>
    </w:p>
    <w:p>
      <w:pPr>
        <w:jc w:val="both"/>
        <w:ind w:firstLine="713"/>
        <w:spacing w:after="0" w:line="267" w:lineRule="auto"/>
        <w:rPr>
          <w:sz w:val="20"/>
          <w:szCs w:val="20"/>
          <w:color w:val="auto"/>
        </w:rPr>
      </w:pPr>
      <w:r>
        <w:rPr>
          <w:rFonts w:ascii="Arial" w:cs="Arial" w:eastAsia="Arial" w:hAnsi="Arial"/>
          <w:sz w:val="17"/>
          <w:szCs w:val="17"/>
          <w:color w:val="auto"/>
        </w:rPr>
        <w:t>On October 9, 2015, the lead plaintiff filed a third amended class action complaint which alleges claims for violations of sections 12(a) (2) and 15 of the Securities Act of 1933 and for violations of §10(b) and §20(a) of the Securities Exchange Act of 1934 arising out of public statements relating to the Company’s technology and a now terminated agreement between Victorian Wave Partners Pty. Ltd. (VWP) and the Australian Renewable Energy Agency (ARENA) for the development of a wave power station (the "VWP Project"). The third amended class action complaint seeks unspecified monetary damages and other relief. On November 5, 2015, defendants filed a motion to dismiss the third amended class action complaint. The lead plaintiff filed a brief in opposition to the motion on December 7, 2015, and defendants filed a reply in support of the motion on December 21, 2015. On May 5, 2016, the parties entered into a Stipulation and Agreement of Class Settlement (“Stipulation”) in which they agreed to a settlement of the consolidated securities class action lawsuits, subject to Court approval. The Stipulation provides, among other things, for a settlement payment by or on behalf of the Company of $3,000,000 in cash, of which the Company was to pay $500,000 and the Company’s insurer will pay $2,500,000, and the issuance by the Company of 380,000 shares (valued at $596,000 on the date the Stipulation was signed by the parties) of its Common Stock to the class members. In connection with the settlement, the parties have agreed to execute mutually agreeable releases. On June 7, 2016, the Court entered an Order Granting Preliminary Approval of Settlement. The Court scheduled a hearing for November 14, 2016 to determine, among other things, whether to grant final approval of the settlement. The amounts agreed in the Stipulation agreement, including the amount to be contributed by our insurance carrier, have been reflected in the Company’s Consolidated Financial Statements as of April 30, 2016. In July 2016, the Company paid the $500,000 portion of the settlement and the remaining balance of $2,500,000 was paid by the Company’s insurer in August 2016. On November 14, 2016, the Court held its previously scheduled Settlement Hearing to consider whether to grant final approval of the settlement, and on November 15, 2016, the Court issued its Final Judgment approving the settlement and dismissing the proceeding with prejudice. The distribution of the $3,000,000 in cash and 380,000 shares of the Company’s common stock is scheduled to occur 30 days after the date of the Final Judgment.</w:t>
      </w:r>
    </w:p>
    <w:p>
      <w:pPr>
        <w:spacing w:after="0" w:line="191"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188"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713"/>
        <w:spacing w:after="0" w:line="293" w:lineRule="auto"/>
        <w:rPr>
          <w:sz w:val="20"/>
          <w:szCs w:val="20"/>
          <w:color w:val="auto"/>
        </w:rPr>
      </w:pPr>
      <w:r>
        <w:rPr>
          <w:rFonts w:ascii="Arial" w:cs="Arial" w:eastAsia="Arial" w:hAnsi="Arial"/>
          <w:sz w:val="16"/>
          <w:szCs w:val="16"/>
          <w:color w:val="auto"/>
        </w:rPr>
        <w:t>The Company and certain of its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165" w:lineRule="exact"/>
        <w:rPr>
          <w:sz w:val="20"/>
          <w:szCs w:val="20"/>
          <w:color w:val="auto"/>
        </w:rPr>
      </w:pPr>
    </w:p>
    <w:p>
      <w:pPr>
        <w:jc w:val="both"/>
        <w:ind w:firstLine="713"/>
        <w:spacing w:after="0" w:line="270" w:lineRule="auto"/>
        <w:rPr>
          <w:sz w:val="20"/>
          <w:szCs w:val="20"/>
          <w:color w:val="auto"/>
        </w:rPr>
      </w:pPr>
      <w:r>
        <w:rPr>
          <w:rFonts w:ascii="Arial" w:cs="Arial" w:eastAsia="Arial" w:hAnsi="Arial"/>
          <w:sz w:val="17"/>
          <w:szCs w:val="17"/>
          <w:color w:val="auto"/>
        </w:rPr>
        <w:t>On July 10, 2015, a second derivative lawsuit, captioned Rywolt v. Dunleavy, et al.,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Rywolt complaint also seeks unspecified monetary damages and other relief. On September 2, 2015, the plaintiff and all the defendants agreed to stay the Rywolt derivative lawsuit pending action in the consolidated class action securities litigation discussed above (namely, a court order denying any motions to dismiss the commencement of discovery, a joint request to lift the stay, or further order of the court). In addition, on September 2, 2015, the plaintiffs in the Labare and Rywolt derivative lawsuits filed an unopposed motion to consolidate the two actions. On February 8, 2016, the Court entered an order (i) consolidating the Labare and Rywolt actions; (ii) appointing Labare and Rywolt as co-lead plaintiffs; (iii) appointing The Rosen Law Firm P.C. as lead counsel; and (iv) directing the co-lead plaintiffs to file a consolidated amended complaint within 30 days of the order. The co-lead plaintiffs filed a consolidated complaint on March 9, 2016. Defendants have not responded to the consolidated complaint because of the pending stay.</w:t>
      </w:r>
    </w:p>
    <w:p>
      <w:pPr>
        <w:spacing w:after="0" w:line="178"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7"/>
          <w:szCs w:val="17"/>
          <w:color w:val="auto"/>
        </w:rPr>
        <w:t>On April 21, 2016, a third derivative lawsuit, captioned LaCalamito v. Dunleavy, et al.,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LaCalamito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 xml:space="preserve">On June 9, 2016, a fourth derivative lawsuit, captioned Pucillo v. Dunleavy, et al.,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Pucillo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25, 2016, the Court approved and entered a Stipulation and Order that, among other things, (i) consolidated the four derivative actions;</w:t>
      </w:r>
    </w:p>
    <w:p>
      <w:pPr>
        <w:spacing w:after="0" w:line="46" w:lineRule="exact"/>
        <w:rPr>
          <w:sz w:val="20"/>
          <w:szCs w:val="20"/>
          <w:color w:val="auto"/>
        </w:rPr>
      </w:pPr>
    </w:p>
    <w:p>
      <w:pPr>
        <w:ind w:firstLine="8"/>
        <w:spacing w:after="0" w:line="261" w:lineRule="auto"/>
        <w:tabs>
          <w:tab w:leader="none" w:pos="2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substituted plaintiff Pucillo for plaintiffs Labare and Rywolt as the lead plaintiff in the consolidated actions; and (iii) stayed the consolidated actions pending the settlement hearing scheduled for November 14, 2016 in the securities class action and further order of the Court.</w:t>
      </w:r>
    </w:p>
    <w:p>
      <w:pPr>
        <w:spacing w:after="0" w:line="184" w:lineRule="exact"/>
        <w:rPr>
          <w:sz w:val="20"/>
          <w:szCs w:val="20"/>
          <w:color w:val="auto"/>
        </w:rPr>
      </w:pPr>
    </w:p>
    <w:p>
      <w:pPr>
        <w:jc w:val="both"/>
        <w:ind w:firstLine="702"/>
        <w:spacing w:after="0" w:line="284" w:lineRule="auto"/>
        <w:rPr>
          <w:sz w:val="20"/>
          <w:szCs w:val="20"/>
          <w:color w:val="auto"/>
        </w:rPr>
      </w:pPr>
      <w:r>
        <w:rPr>
          <w:rFonts w:ascii="Arial" w:cs="Arial" w:eastAsia="Arial" w:hAnsi="Arial"/>
          <w:sz w:val="16"/>
          <w:szCs w:val="16"/>
          <w:color w:val="auto"/>
        </w:rPr>
        <w:t>The Company and certain of its current directors are defendants in a lawsuit filed by an alleged shareholder in the Superior Court of New Jersey, Mercer County Chancery Division on January 25, 2016, captioned Stern v. Ocean Power Technologies, Inc., et al., Civil Action No. C-5-16. The complaint alleges that certain provisions of the Company’s Certificate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current provisions and declare that the Company’s directors may be removed and replaced without cause and by a simple majority vote. The Complaint seeks declaratory and injunctive relief as well as unspecified costs and attorneys’ fees. Defendants have not yet responded to the Complaint. By Unanimous Written Consent dated June 17, 2016, the Company’s Board of Directors amended the Company’s By-laws to delete the “only for cause” requirement, thereby allowing for removal of directors with or without cause by the Company’s stockholders. In addition, the Board proposed, subject to approval by the Company’s stockholders at the next annual general meeting of stockholders, a similar amendment to the director removal provision in the Company’s Certificate of Incorporation. On June 22, 2016, the parties to the lawsuit submitted a Stipulation and Proposed Order Staying Proceedings that (1) stays the case pending the stockholder vote on the proposed amendment to the Company’s Certificate of Incorporation; (2) provides for dismissal of the action with prejudice if the stockholders approve the amendment, subject to plaintiff’s right to make a fee application to the court and defendants’ right to oppose any such application; and (3) provides for the stay to be lifted and the action to resume, without waiver of any parties’ rights, if the stockholders do not approve the amendment. The Court approved the Stipulation on June 30, 2016. On September 2, 2016, the Company filed a definitive proxy statement with the SEC which includes this proposal. At the annual shareholder meeting on October 21, 2016, the proposal was not approved because an insufficient number of votes were cast to satisfy the requirement that the proposal be approved by the holders of at least 75% of the outstanding shares of common stock entitled to vote at the meeting. However, stockholders approved an amendment to the Company’s Certificate of Incorporation to add a provision which requires that any provision of the Certificate of Incorporation that is contrary to a requirement of the Delaware General Corporate Law shall be read in conformity with the applicable requirement of the Delaware General Corporate Law. The parties have agreed that the case shall remain stayed until further steps, if any, can be agreed to and taken as needed.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ind w:firstLine="713"/>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173"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Except for the Stipulation agreement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Investigation</w:t>
      </w:r>
    </w:p>
    <w:p>
      <w:pPr>
        <w:spacing w:after="0" w:line="229"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a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ind w:firstLine="713"/>
        <w:spacing w:after="0" w:line="276" w:lineRule="auto"/>
        <w:rPr>
          <w:sz w:val="20"/>
          <w:szCs w:val="20"/>
          <w:color w:val="auto"/>
        </w:rPr>
      </w:pPr>
      <w:r>
        <w:rPr>
          <w:rFonts w:ascii="Arial" w:cs="Arial" w:eastAsia="Arial" w:hAnsi="Arial"/>
          <w:sz w:val="17"/>
          <w:szCs w:val="17"/>
          <w:color w:val="auto"/>
        </w:rPr>
        <w:t>In June 2012, 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($305,690) at the request of the Spanish tax authorities. This is a customary request during the inquiry period. In November 2014, March 2015 and September 2015, the Company received partial refunds of the amount under dispute and continues to expect that this matter will be resolved in the Company’s favor.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We are currently undergoing an income tax audit in Spain for the period from 2008 to 2014, when our Spanish branch was closed. The branch reported net operating losses for each of the years reported. We have not established any provision for losses related to this matter.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713"/>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for the three and six month periods ended October 31, 2016 and 2015.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the six months ended October 31, 2016, the Company had no material changes in uncertain tax 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Segments and Geographic Information</w:t>
      </w:r>
    </w:p>
    <w:p>
      <w:pPr>
        <w:spacing w:after="0" w:line="229"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rPr>
              <w:t>Geographic information is as follows: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Asia and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North America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Europe</w:t>
            </w: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Australia</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169,964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(2,883,434)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(95,702)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(2,986,653)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494,412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(2,880,664)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(78,259)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(40,726)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(2,999,649)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October 31, 2016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372,353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(5,909,078)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(143,442)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(6,066,480)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October 31, 2015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600,078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(7,096,878)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(165,982)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(126,522)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(7,389,382)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October 31, 2016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220,180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15,717,801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266,348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387,543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16,371,692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April 30, 2016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273,049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9,553,033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395,389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402,704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10,351,126</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firstLine="713"/>
        <w:spacing w:after="0" w:line="297" w:lineRule="auto"/>
        <w:rPr>
          <w:sz w:val="20"/>
          <w:szCs w:val="20"/>
          <w:color w:val="auto"/>
        </w:rPr>
      </w:pPr>
      <w:r>
        <w:rPr>
          <w:rFonts w:ascii="Arial" w:cs="Arial" w:eastAsia="Arial" w:hAnsi="Arial"/>
          <w:sz w:val="16"/>
          <w:szCs w:val="16"/>
          <w:color w:val="auto"/>
        </w:rPr>
        <w:t>On November 7, 2016, the Company received approximately $700,000 through the State of New Jersey's Business Tax Certificate Transfer Program (the “Program”). The Program enables companies to raise cash to finance their growth and operations. The Program is administered by the New Jersey Economic Development Authority (“NJEDA”) and the New Jersey Department of the Treasury's Division of Taxation. Under the Program, New Jersey-based technology or biotechnology companies with fewer than 225 US employees may be eligible to sell net operating losses (“NOLs”) and research and development tax credits to unaffiliated corporations, for at least 80 percent of their value, up to a maximum lifetime benefit of $15 million per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fiscal 2016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2016 refers to the year ended April 30,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713"/>
        <w:spacing w:after="0" w:line="271" w:lineRule="auto"/>
        <w:rPr>
          <w:sz w:val="20"/>
          <w:szCs w:val="20"/>
          <w:color w:val="auto"/>
        </w:rPr>
      </w:pPr>
      <w:r>
        <w:rPr>
          <w:rFonts w:ascii="Arial" w:cs="Arial" w:eastAsia="Arial" w:hAnsi="Arial"/>
          <w:sz w:val="17"/>
          <w:szCs w:val="17"/>
          <w:color w:val="auto"/>
        </w:rPr>
        <w:t>Nearly 70% of the earth’s surface is covered by water, with over 40% of the world’s population living within approximately 150 miles of a coast. Thousands of information gathering and/or power systems are deployed in the oceans today to increase understanding of weather, climate change, biological processes, and marine mammal patterns and to support exploration and operations for industries such as oil and gas. Most of these systems are powered by battery, solar, wind, fuel cell, or fossil fuel generators that are expensive to operate while also limited in their electric power delivery. These incumbent systems often require significant tradeoffs in sensor accuracy, data processing and communications bandwidth and frequency in order to operate with available power. More persistent power systems requiring less maintenance, like our systems, may have the ability to save costs over current operating systems. Just as importantly, increases in available power may allow for better sensors and shorter data sampling and communication intervals up to real-time which could as a result improve scientific and economic returns.</w:t>
      </w:r>
    </w:p>
    <w:p>
      <w:pPr>
        <w:spacing w:after="0" w:line="179"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Incorporated in 1984 and headquartered in Pennington, New Jersey, we believe we are the leader in ocean wave power. We are developing and seeking to commercialize our proprietary systems that generate electricity by harnessing the renewable energy of ocean waves. Our PowerBuoys use proprietary technologies that convert the mechanical energy created by the heaving motion of ocean waves into electricity. We currently have designed and continue to develop our PowerBuoy product line which is based on modular, ocean-going buoys, which we have been periodically ocean testing since 1997.</w:t>
      </w:r>
    </w:p>
    <w:p>
      <w:pPr>
        <w:spacing w:after="0" w:line="154"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We have designed our autonomous PowerBuoy to generate power for use in remote locations, independent of an existing power grid. Our current PowerBuoy product, the PB3, incorporates a unique power take-off (“PTO”) and onboard system for energy storage and management, and is significantly smaller than our previous iteration utility-scale PowerBuoy. We are continuing to develop and test our PowerBuoys, which we believe could be utilized in a variety of applications.</w:t>
      </w:r>
    </w:p>
    <w:p>
      <w:pPr>
        <w:spacing w:after="0" w:line="187" w:lineRule="exact"/>
        <w:rPr>
          <w:sz w:val="20"/>
          <w:szCs w:val="20"/>
          <w:color w:val="auto"/>
        </w:rPr>
      </w:pPr>
    </w:p>
    <w:p>
      <w:pPr>
        <w:jc w:val="both"/>
        <w:ind w:firstLine="713"/>
        <w:spacing w:after="0" w:line="276" w:lineRule="auto"/>
        <w:rPr>
          <w:sz w:val="20"/>
          <w:szCs w:val="20"/>
          <w:color w:val="auto"/>
        </w:rPr>
      </w:pPr>
      <w:r>
        <w:rPr>
          <w:rFonts w:ascii="Arial" w:cs="Arial" w:eastAsia="Arial" w:hAnsi="Arial"/>
          <w:sz w:val="17"/>
          <w:szCs w:val="17"/>
          <w:color w:val="auto"/>
        </w:rPr>
        <w:t>Our PB3 PowerBuoy design leverages portions of earlier features that we do not believe require further validation prior to implementation in our current products. Currently, our product development and engineering efforts are focusing primarily on developing technologies that will increase the energy output and reliability of our product through design scalability to maintain quality and speed time to our targeted markets. Our marketing and development efforts are targeting applications that require reliable, persistent, and sustainable power sources operating independently of the utility grid, either by supplying electric power to payloads that are integrated directly in our PowerBuoy or located in its vicinity including on the seabed.</w:t>
      </w:r>
    </w:p>
    <w:p>
      <w:pPr>
        <w:spacing w:after="0" w:line="173"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Based on our market research and available public data, management believes that there is the potential for us to pursue business opportunities in multiple markets that would have a direct need for our PowerBuoys including oil and gas, ocean observing, defense and security, communications, and offshore wind. Depending on power needs, sensor types and other considerations, we believe our PowerBuoy could have the ability to satisfy several application requirements within these markets. We believe that the PB3 generates sufficient persistent power to meet the application needs of many of the potential customers within our target markets. We are continuing our development efforts to increase the energy output of the PowerBuoy to generate more power required for other applications within these markets.</w:t>
      </w:r>
    </w:p>
    <w:p>
      <w:pPr>
        <w:spacing w:after="0" w:line="193"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Since fiscal 2002, government agencies have accounted for a significant portion of our revenues. These revenues were largely for the support of our development efforts relating to our technology and development of our PowerBuoys. Our goal is that an increased portion of our revenues be from the sale or lease of our products and sales of services, as compared to revenue from grants to support our business operations. As we continue to develop and commercialize our products, we expect to have a net loss of cash from operating activities unless and until we achieve positive cash flow from the commercialization of our products and services. During fiscal 2015 and 2016, we continued work on projects with the U.S. Department of Energy (“DOE”), and Mitsui Engineering and Shipbuilding Co., Ltd. (“MES”), with whom we signed our first commercial leasing agreement in May 2016, and we continued our efforts to increase the reliability and power output of our PowerBuoys.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development of our technology has been funded by capital we raised and by development engineering contracts we received starting in fiscal 1995, including projects with the DOE, the U.S. Navy, the Department of Homeland Security and MES. Through these historic projects, we also continued development of our current and our next generation PowerBuoy technology.</w:t>
      </w:r>
    </w:p>
    <w:p>
      <w:pPr>
        <w:spacing w:after="0" w:line="181" w:lineRule="exact"/>
        <w:rPr>
          <w:sz w:val="20"/>
          <w:szCs w:val="20"/>
          <w:color w:val="auto"/>
        </w:rPr>
      </w:pPr>
    </w:p>
    <w:p>
      <w:pPr>
        <w:jc w:val="both"/>
        <w:ind w:firstLine="713"/>
        <w:spacing w:after="0" w:line="267" w:lineRule="auto"/>
        <w:rPr>
          <w:sz w:val="20"/>
          <w:szCs w:val="20"/>
          <w:color w:val="auto"/>
        </w:rPr>
      </w:pPr>
      <w:r>
        <w:rPr>
          <w:rFonts w:ascii="Arial" w:cs="Arial" w:eastAsia="Arial" w:hAnsi="Arial"/>
          <w:sz w:val="17"/>
          <w:szCs w:val="17"/>
          <w:color w:val="auto"/>
        </w:rPr>
        <w:t>During fiscal 2017, we are continuing to focus on the commercialization of our PowerBuoy technology in autonomous application markets. We completed our work under our DOE contract that focused on further optimization of our modular PTO technology and delivered the project final report to the DOE in February 2016. In January 2016, we successfully completed the final stage and associated review with the DOE of the contract deliverables during which the DOE reviewed advancements related to PTO design aspects such as reliability, cost take out, manufacturability and scalability. As we continued to focus on the development and validation of our PB3 PowerBuoy commercial product, our activities concentrated mainly on implementing all of our lessons learned during our efforts in the prior fiscal year from our ocean deployments and accelerated life testing (“ALT”). The resulting improved PB3 PowerBuoy was deployed off the coast of New Jersey in July of 2016 and was retrieved early December 2016 upon completing all intended testing and validation. Upon inspection and refurbishment, we anticipate the PB3 PowerBuoy will be shipped to Japan to fulfill the requirements of our lease with MES including a deployment off of Kozu-Island in the Pacific Ocean. ALT of the PB3 commercial PTO is ongoing with no failures to date. In addition to the deployment of the PB3 PowerBuoy, the prior generation PB3-A1, was fitted with a sensor that collects tagged marine mammal migration information as well as with a Self-Contained Ocean Observing Payload (“SCOOP”).The marine mammal migration detection sensor was attached to the PB3-A1 PowerBuoy as part of an agreed scope of work with the Wildlife Conservation Society (“WCS”) through a memorandum of agreement between WCS and OPT. The SCOOP payload was integrated into PB3-A1 to complete the Phase 1 work scope of a Cooperative Research and Development Agreement (“CRADA”) between the National Data Buoy Center (NDBC) and OPT. The PB3-A1, deployed off the coast of New Jersey in May 2016, was retrieved in October 2016</w:t>
      </w:r>
      <w:r>
        <w:rPr>
          <w:rFonts w:ascii="Arial" w:cs="Arial" w:eastAsia="Arial" w:hAnsi="Arial"/>
          <w:sz w:val="17"/>
          <w:szCs w:val="17"/>
          <w:b w:val="1"/>
          <w:bCs w:val="1"/>
          <w:color w:val="auto"/>
        </w:rPr>
        <w:t>.</w:t>
      </w:r>
      <w:r>
        <w:rPr>
          <w:rFonts w:ascii="Arial" w:cs="Arial" w:eastAsia="Arial" w:hAnsi="Arial"/>
          <w:sz w:val="17"/>
          <w:szCs w:val="17"/>
          <w:color w:val="auto"/>
        </w:rPr>
        <w:t xml:space="preserve"> From July 2016 through October 2016, both PB3-A1 and PB3 were simultaneously deployed generating valuable performance validation data. Both the NDBC SCOOP as well as the WCS tagged mammal migration detection sensor met all of their performance requirements. Our intent is to upgrade this pre-commercial design PowerBuoy to the full commercial design by retrofitting it with the final commercial PTO including our modular energy storage system, and to make it available to support our on-going commercialization efforts. In addition to the PB3 commercial product validation activities, a concerted effort has been underway which focuses on proactively implementing additional features driven by extensive and direct discussions with potential users and customers in our target markets. Such features include:</w:t>
      </w:r>
    </w:p>
    <w:p>
      <w:pPr>
        <w:spacing w:after="0" w:line="188" w:lineRule="exact"/>
        <w:rPr>
          <w:sz w:val="20"/>
          <w:szCs w:val="20"/>
          <w:color w:val="auto"/>
        </w:rPr>
      </w:pPr>
    </w:p>
    <w:p>
      <w:pPr>
        <w:ind w:left="1040" w:hanging="316"/>
        <w:spacing w:after="0" w:line="274"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jc w:val="both"/>
        <w:ind w:left="1040" w:hanging="316"/>
        <w:spacing w:after="0" w:line="255"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90" w:lineRule="exact"/>
        <w:rPr>
          <w:sz w:val="20"/>
          <w:szCs w:val="20"/>
          <w:color w:val="auto"/>
        </w:rPr>
      </w:pPr>
    </w:p>
    <w:p>
      <w:pPr>
        <w:jc w:val="both"/>
        <w:ind w:right="20" w:firstLine="713"/>
        <w:spacing w:after="0" w:line="277" w:lineRule="auto"/>
        <w:rPr>
          <w:sz w:val="20"/>
          <w:szCs w:val="20"/>
          <w:color w:val="auto"/>
        </w:rPr>
      </w:pPr>
      <w:r>
        <w:rPr>
          <w:rFonts w:ascii="Arial" w:cs="Arial" w:eastAsia="Arial" w:hAnsi="Arial"/>
          <w:sz w:val="18"/>
          <w:szCs w:val="18"/>
          <w:color w:val="auto"/>
        </w:rPr>
        <w:t>Additionally, and building upon our initial success in implementing an auto-ballast system in our commercial PB3, we are further enhancing this feature in order to achieve faster and more cost effective PB3 deployments and retrievals.</w:t>
      </w:r>
    </w:p>
    <w:p>
      <w:pPr>
        <w:spacing w:after="0" w:line="170"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Further, we have initiated the development of our PB15, the next scale-up of our autonomous PowerBuoy, which is in accordance with our product roadmap. Our intent is to complete the preliminary design of our PB15 in fiscal 2017. We believe the PB15 PowerBuoy would have a peak rating of 15kW and an average continuous power output that depends on the deployment site’s metocean conditions. While this scale-up leverages every aspect of the product development and validation of the PB3, it also strategically positions the product to allow OPT to respond to higher power needs as expressed by potential end-users and customers in our target markets.</w:t>
      </w:r>
    </w:p>
    <w:p>
      <w:pPr>
        <w:spacing w:after="0" w:line="188" w:lineRule="exact"/>
        <w:rPr>
          <w:sz w:val="20"/>
          <w:szCs w:val="20"/>
          <w:color w:val="auto"/>
        </w:rPr>
      </w:pPr>
    </w:p>
    <w:p>
      <w:pPr>
        <w:jc w:val="both"/>
        <w:ind w:firstLine="713"/>
        <w:spacing w:after="0" w:line="270" w:lineRule="auto"/>
        <w:rPr>
          <w:sz w:val="20"/>
          <w:szCs w:val="20"/>
          <w:color w:val="auto"/>
        </w:rPr>
      </w:pPr>
      <w:r>
        <w:rPr>
          <w:rFonts w:ascii="Arial" w:cs="Arial" w:eastAsia="Arial" w:hAnsi="Arial"/>
          <w:sz w:val="17"/>
          <w:szCs w:val="17"/>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and we have not yet finalized any product offerings in these potential markets. We believe that by increasing the energy output of our PowerBuoys we may be able to address larger segments of our target markets. By improving our design and manufacturing, we also seek to reduce the cost of our PowerBuoys through further design iterations and manufacturing ramp-up. In so doing, we seek to improve customer value, displace additional incumbent solutions, and become a viable power source for new applications in our target markets.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 w:name="page26"/>
    <w:bookmarkEnd w:id="25"/>
    <w:p>
      <w:pPr>
        <w:ind w:left="140"/>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ind w:firstLine="713"/>
        <w:spacing w:after="0" w:line="279" w:lineRule="auto"/>
        <w:rPr>
          <w:sz w:val="20"/>
          <w:szCs w:val="20"/>
          <w:color w:val="auto"/>
        </w:rPr>
      </w:pPr>
      <w:r>
        <w:rPr>
          <w:rFonts w:ascii="Arial" w:cs="Arial" w:eastAsia="Arial" w:hAnsi="Arial"/>
          <w:sz w:val="17"/>
          <w:szCs w:val="17"/>
          <w:color w:val="auto"/>
        </w:rPr>
        <w:t>We are seeking to develop strategic alliances with other companies that have developed or are developing in-ocean applications requiring a persistent source of power to address potential customer needs. As announced in October 2015, we signed a memorandum of understanding (“MOU”) with Gardline Environmental, Ltd. to jointly investigate innovative metocean monitoring and maritime security systems for prospective customers using both companies’ technologies. The MOU can be terminated by either party, and each party will bear its own respective costs associated with the MOU.</w:t>
      </w:r>
    </w:p>
    <w:p>
      <w:pPr>
        <w:spacing w:after="0" w:line="171"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In September, 2016, we entered into a contract with the Department of Defense Office of Naval Research totaling approximately $250,000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w:t>
      </w:r>
    </w:p>
    <w:p>
      <w:pPr>
        <w:spacing w:after="0" w:line="187" w:lineRule="exact"/>
        <w:rPr>
          <w:sz w:val="20"/>
          <w:szCs w:val="20"/>
          <w:color w:val="auto"/>
        </w:rPr>
      </w:pPr>
    </w:p>
    <w:p>
      <w:pPr>
        <w:jc w:val="both"/>
        <w:ind w:firstLine="713"/>
        <w:spacing w:after="0" w:line="286" w:lineRule="auto"/>
        <w:rPr>
          <w:sz w:val="20"/>
          <w:szCs w:val="20"/>
          <w:color w:val="auto"/>
        </w:rPr>
      </w:pPr>
      <w:r>
        <w:rPr>
          <w:rFonts w:ascii="Arial" w:cs="Arial" w:eastAsia="Arial" w:hAnsi="Arial"/>
          <w:sz w:val="17"/>
          <w:szCs w:val="17"/>
          <w:color w:val="auto"/>
        </w:rPr>
        <w:t>In November, 2016, we entered into a joint marketing agreement with Sonalysts, Inc. The purpose of this agreement is for OPT and Sonalysts to collaboratively identify and pursue opportunities leveraging our individual products and capabilities. Sonalysts has primary capabilities in operations and analysis; modeling and simulation; systems engineering and integration; program support; and undersea wireless communications technologies.</w:t>
      </w:r>
    </w:p>
    <w:p>
      <w:pPr>
        <w:spacing w:after="0" w:line="166" w:lineRule="exact"/>
        <w:rPr>
          <w:sz w:val="20"/>
          <w:szCs w:val="20"/>
          <w:color w:val="auto"/>
        </w:rPr>
      </w:pPr>
    </w:p>
    <w:p>
      <w:pPr>
        <w:jc w:val="both"/>
        <w:ind w:firstLine="713"/>
        <w:spacing w:after="0" w:line="291" w:lineRule="auto"/>
        <w:rPr>
          <w:sz w:val="20"/>
          <w:szCs w:val="20"/>
          <w:color w:val="auto"/>
        </w:rPr>
      </w:pPr>
      <w:r>
        <w:rPr>
          <w:rFonts w:ascii="Arial" w:cs="Arial" w:eastAsia="Arial" w:hAnsi="Arial"/>
          <w:sz w:val="16"/>
          <w:szCs w:val="16"/>
          <w:color w:val="auto"/>
        </w:rPr>
        <w:t>During the six months ended October 31, 2016, we deployed the PB3-A1 PowerBuoy and deployed the commercial PB3 PowerBuoy. The PB3-A1 included a payload from the NBDC, under a CRADA to conduct ocean demonstrations of its innovative SCOOP monitoring system as well as a WCS tagged marine mammal migration pattern monitoring sensor. The WCS sensor was used in a first step to assess whether the PB3 could ultimately provide power to WCS’ sensors, transmit data, and provide real-time data communication for acoustic monitoring of the movements of marine wildlife in certain waters. In June 2016, we deployed the PB3-A1 off the coast of New Jersey. The SCOOP was powered by the PB3-A1, where it provided metocean data to OPT and to NDBC without issue. The data collected by the WCS sensor is currently being processed by WCS. The PB3-A1was retrieved in October 2016 and is undergoing a full system update by incorporating the full commercial PTO to be brought up to full commercial status similar to the PB3.</w:t>
      </w:r>
    </w:p>
    <w:p>
      <w:pPr>
        <w:spacing w:after="0" w:line="167"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On May 31, 2016, we entered into a contract with MES totaling $975,587, a portion of which was performed in fiscal 2016 as agreed under a letter of intent signed in March 2016. The contract with MES included certain engineering and other services, and a six-month lease of our PB3 PowerBuoy, commencing in March 2017, and extending through August 2017.</w:t>
      </w:r>
    </w:p>
    <w:p>
      <w:pPr>
        <w:spacing w:after="0" w:line="18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During the six months ended October 31, 2016, we progressed discussions with our Technical Advisory Panel members and conducted extensive business development meetings and other activities with potential customers and business partners. We also continued our accelerated life testing to further validate the reliability and durability of our PowerBuoys.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In October 2015, we entered into an At the Market Offering Agreement (the “2015 Offering Agreement”) with Rodman &amp; Renshaw, a unit of H. C. Wainwright &amp; Co., LLC (“H. C. Wainwright”) under which we offered shares of our common stock, from time to time through or to the H. C. Wainwright, acting as sales agent and/or principal, (the “2015 ATM Offering”). Under the 2015 Offering Agreement, during the year ended April 30, 2016, we sold 144,571 shares of Common Stock with an aggregate market value of $293,343 under the Offering Agreement and paid the H. C. Wainwright a sales commission of approximately $4,400 related to those shares.</w:t>
      </w:r>
    </w:p>
    <w:p>
      <w:pPr>
        <w:spacing w:after="0" w:line="188" w:lineRule="exact"/>
        <w:rPr>
          <w:sz w:val="20"/>
          <w:szCs w:val="20"/>
          <w:color w:val="auto"/>
        </w:rPr>
      </w:pPr>
    </w:p>
    <w:p>
      <w:pPr>
        <w:jc w:val="both"/>
        <w:ind w:firstLine="713"/>
        <w:spacing w:after="0" w:line="291" w:lineRule="auto"/>
        <w:rPr>
          <w:sz w:val="20"/>
          <w:szCs w:val="20"/>
          <w:color w:val="auto"/>
        </w:rPr>
      </w:pPr>
      <w:r>
        <w:rPr>
          <w:rFonts w:ascii="Arial" w:cs="Arial" w:eastAsia="Arial" w:hAnsi="Arial"/>
          <w:sz w:val="16"/>
          <w:szCs w:val="16"/>
          <w:color w:val="auto"/>
        </w:rPr>
        <w:t>On June 2, 2016, we entered into a securities purchase agreement, which was amended on June 7, 2016 (as amended, the “Purchase Agreement”) with certain institutional purchasers (the “June Purchasers”). Pursuant to the terms of the June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will be exercisable on the date that is six months and one day from the date of issuance (“Initial Exercise Date”), and will expire five years following the Initial Exercise Date.</w:t>
      </w:r>
    </w:p>
    <w:p>
      <w:pPr>
        <w:spacing w:after="0" w:line="167"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On July 22, 2016, we entered into the Second Amendment to the Purchase Agreement (the “Second Amended Purchase Agreement”) with certain purchasers (the “July Purchasers”). Pursuant to the terms of the Second Amended Purchase Agreement, we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will be exercisable immediately at an exercise price of $9.36 per share. The Warrants will expire on the fifth (5th) anniversary of the initial date of issuance.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On October 19, 2016, we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offering expenses payable by the Company. We are using the net proceeds from this offering for general corporate purposes, which may include additional development, testing and demonstrations of our PowerBuoy system with the goal of furthering and accelerating its commercialization efforts and expanding its sales and marketing functions.</w:t>
      </w:r>
    </w:p>
    <w:p>
      <w:pPr>
        <w:spacing w:after="0" w:line="193" w:lineRule="exact"/>
        <w:rPr>
          <w:sz w:val="20"/>
          <w:szCs w:val="20"/>
          <w:color w:val="auto"/>
        </w:rPr>
      </w:pPr>
    </w:p>
    <w:p>
      <w:pPr>
        <w:jc w:val="both"/>
        <w:ind w:firstLine="713"/>
        <w:spacing w:after="0" w:line="293"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October 31, 2016 our backlog was approximately $0.7 million and on April 30, 2016, our backlog was negligible.</w:t>
      </w:r>
    </w:p>
    <w:p>
      <w:pPr>
        <w:spacing w:after="0" w:line="225"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 Our backlog was fully funded at October 31, 2016.</w:t>
      </w:r>
    </w:p>
    <w:p>
      <w:pPr>
        <w:spacing w:after="0" w:line="187"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As part of our strategic pivot in operations initiated in fiscal 2015, we are currently focused on developing and commercializing our PowerBuoy products and services for use in autonomous power applications. Generally, these applications are independent of the power grid and are located in remote offshore locations. We have incorporated our prior knowledge and best practices into our product design and validation processes, some of which were gained during the development of utility scale buoys. Based on market research and available public data, we believe considerable business opportunity could exist in markets which require autonomous offshore power. Based on our market research and available public data, management believes that there is the potential for us to pursue business opportunities in multiple markets that would have a direct need for our PowerBuoys including oil and gas, ocean observing, defense and security, communications, and offshore wind.</w:t>
      </w:r>
    </w:p>
    <w:p>
      <w:pPr>
        <w:spacing w:after="0" w:line="178"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Our business strategy is to commercialize our autonomous PowerBuoy products. In order to achieve this goal, we are pursuing the following business objectives:</w:t>
      </w:r>
    </w:p>
    <w:p>
      <w:pPr>
        <w:spacing w:after="0" w:line="170" w:lineRule="exact"/>
        <w:rPr>
          <w:sz w:val="20"/>
          <w:szCs w:val="20"/>
          <w:color w:val="auto"/>
        </w:rPr>
      </w:pPr>
    </w:p>
    <w:p>
      <w:pPr>
        <w:jc w:val="both"/>
        <w:ind w:left="1620" w:hanging="640"/>
        <w:spacing w:after="0" w:line="286"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Sell and/or Lease PowerBuoys. </w:t>
      </w:r>
      <w:r>
        <w:rPr>
          <w:rFonts w:ascii="Arial" w:cs="Arial" w:eastAsia="Arial" w:hAnsi="Arial"/>
          <w:sz w:val="17"/>
          <w:szCs w:val="17"/>
          <w:color w:val="auto"/>
        </w:rPr>
        <w:t>We believe our autonomous PowerBuoy is well suited for many remote offshore applications. Within</w:t>
      </w:r>
      <w:r>
        <w:rPr>
          <w:rFonts w:ascii="Arial" w:cs="Arial" w:eastAsia="Arial" w:hAnsi="Arial"/>
          <w:sz w:val="17"/>
          <w:szCs w:val="17"/>
          <w:i w:val="1"/>
          <w:iCs w:val="1"/>
          <w:color w:val="auto"/>
        </w:rPr>
        <w:t xml:space="preserve"> </w:t>
      </w:r>
      <w:r>
        <w:rPr>
          <w:rFonts w:ascii="Arial" w:cs="Arial" w:eastAsia="Arial" w:hAnsi="Arial"/>
          <w:sz w:val="17"/>
          <w:szCs w:val="17"/>
          <w:color w:val="auto"/>
        </w:rPr>
        <w:t>our selected markets we intend to sell or lease PowerBuoys, and provide services associated with product sales or leases such as maintenance, application engineering, planning, training, and logistics support required for the PowerBuoy life-cycle.</w:t>
      </w:r>
    </w:p>
    <w:p>
      <w:pPr>
        <w:spacing w:after="0" w:line="165" w:lineRule="exact"/>
        <w:rPr>
          <w:rFonts w:ascii="Arial" w:cs="Arial" w:eastAsia="Arial" w:hAnsi="Arial"/>
          <w:sz w:val="17"/>
          <w:szCs w:val="17"/>
          <w:color w:val="auto"/>
        </w:rPr>
      </w:pPr>
    </w:p>
    <w:p>
      <w:pPr>
        <w:jc w:val="both"/>
        <w:ind w:left="1620" w:hanging="640"/>
        <w:spacing w:after="0" w:line="259"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Concentrate sales and marketing efforts in specific geographic markets</w:t>
      </w:r>
      <w:r>
        <w:rPr>
          <w:rFonts w:ascii="Arial" w:cs="Arial" w:eastAsia="Arial" w:hAnsi="Arial"/>
          <w:sz w:val="18"/>
          <w:szCs w:val="18"/>
          <w:color w:val="auto"/>
        </w:rPr>
        <w:t>. We are currently focusing our sales and marketing efforts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Europe, Australia, and parts of Asia, including Japan. We believe that each of these areas has appropriate wave conditions, political and economic stability, sizeable end market opportunities, and high levels of industrialization and economic development.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jc w:val="both"/>
        <w:ind w:left="1620" w:hanging="640"/>
        <w:spacing w:after="0" w:line="272" w:lineRule="auto"/>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Expand our relationships in key market areas. </w:t>
      </w:r>
      <w:r>
        <w:rPr>
          <w:rFonts w:ascii="Arial" w:cs="Arial" w:eastAsia="Arial" w:hAnsi="Arial"/>
          <w:sz w:val="17"/>
          <w:szCs w:val="17"/>
          <w:color w:val="auto"/>
        </w:rPr>
        <w:t>We believe that an important element of our business strategy is to collaborate with other</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to leverage our combined expertise, market presence and access, and core competences across key markets. We have formed such a relationship with several well-known organizations, including MES in Japan, the NDBC, the WCS, Gardline Environmental (an international and multi-disciplinary marine service company at the forefront of marine management with offices on five continents), and Sonalysts, Inc. (Sonalysts has primary capabilities in operations and analysis; modeling and simulation; systems engineering and integration; program support; and undersea wireless communications technologies). We continue to seek other opportunities to collaborate with application experts from within our selected markets.</w:t>
      </w:r>
    </w:p>
    <w:p>
      <w:pPr>
        <w:spacing w:after="0" w:line="231" w:lineRule="exact"/>
        <w:rPr>
          <w:rFonts w:ascii="Arial" w:cs="Arial" w:eastAsia="Arial" w:hAnsi="Arial"/>
          <w:sz w:val="17"/>
          <w:szCs w:val="17"/>
          <w:color w:val="auto"/>
        </w:rPr>
      </w:pPr>
    </w:p>
    <w:p>
      <w:pPr>
        <w:jc w:val="both"/>
        <w:ind w:left="1620" w:hanging="640"/>
        <w:spacing w:after="0" w:line="25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Outsource most of the equipment fabrication and deployment. </w:t>
      </w:r>
      <w:r>
        <w:rPr>
          <w:rFonts w:ascii="Arial" w:cs="Arial" w:eastAsia="Arial" w:hAnsi="Arial"/>
          <w:sz w:val="18"/>
          <w:szCs w:val="18"/>
          <w:color w:val="auto"/>
        </w:rPr>
        <w:t>We outsource all fabrication, anchoring, mooring, cabling supply, and in</w:t>
      </w:r>
      <w:r>
        <w:rPr>
          <w:rFonts w:ascii="Arial" w:cs="Arial" w:eastAsia="Arial" w:hAnsi="Arial"/>
          <w:sz w:val="18"/>
          <w:szCs w:val="18"/>
          <w:i w:val="1"/>
          <w:iCs w:val="1"/>
          <w:color w:val="auto"/>
        </w:rPr>
        <w:t xml:space="preserve"> </w:t>
      </w:r>
      <w:r>
        <w:rPr>
          <w:rFonts w:ascii="Arial" w:cs="Arial" w:eastAsia="Arial" w:hAnsi="Arial"/>
          <w:sz w:val="18"/>
          <w:szCs w:val="18"/>
          <w:color w:val="auto"/>
        </w:rPr>
        <w:t>most cases deployment of our PowerBuoy in order to minimize our capital requirements as we scale our business. However, our PTO is a proprietary subsystem and is assembled and tested at our facility. We believe this distributed manufacturing and assembly approach enables us to focus on our value-adding core competencies while also enabling the cost effectiveness of our PowerBuoy through leveraging a larger more qualified supply base.</w:t>
      </w:r>
    </w:p>
    <w:p>
      <w:pPr>
        <w:spacing w:after="0" w:line="188" w:lineRule="exact"/>
        <w:rPr>
          <w:rFonts w:ascii="Arial" w:cs="Arial" w:eastAsia="Arial" w:hAnsi="Arial"/>
          <w:sz w:val="18"/>
          <w:szCs w:val="18"/>
          <w:color w:val="auto"/>
        </w:rPr>
      </w:pPr>
    </w:p>
    <w:p>
      <w:pPr>
        <w:jc w:val="both"/>
        <w:ind w:left="1620" w:hanging="640"/>
        <w:spacing w:after="0" w:line="312"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Continue to increase PowerBuoy output. </w:t>
      </w:r>
      <w:r>
        <w:rPr>
          <w:rFonts w:ascii="Arial" w:cs="Arial" w:eastAsia="Arial" w:hAnsi="Arial"/>
          <w:sz w:val="16"/>
          <w:szCs w:val="16"/>
          <w:color w:val="auto"/>
        </w:rPr>
        <w:t>Our product development and engineering efforts are focused on increasing the energy output,</w:t>
      </w:r>
      <w:r>
        <w:rPr>
          <w:rFonts w:ascii="Arial" w:cs="Arial" w:eastAsia="Arial" w:hAnsi="Arial"/>
          <w:sz w:val="16"/>
          <w:szCs w:val="16"/>
          <w:i w:val="1"/>
          <w:iCs w:val="1"/>
          <w:color w:val="auto"/>
        </w:rPr>
        <w:t xml:space="preserve"> </w:t>
      </w:r>
      <w:r>
        <w:rPr>
          <w:rFonts w:ascii="Arial" w:cs="Arial" w:eastAsia="Arial" w:hAnsi="Arial"/>
          <w:sz w:val="16"/>
          <w:szCs w:val="16"/>
          <w:color w:val="auto"/>
        </w:rPr>
        <w:t>reliability, and expected operating life of our PowerBuoys, as well as optimizing manufacturability of our designs with a focus on cost competitiveness. We believe that by increasing the energy output we will be able to address larger segments of our target markets.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713"/>
        <w:spacing w:after="0" w:line="268" w:lineRule="auto"/>
        <w:rPr>
          <w:sz w:val="20"/>
          <w:szCs w:val="20"/>
          <w:color w:val="auto"/>
        </w:rPr>
      </w:pPr>
      <w:r>
        <w:rPr>
          <w:rFonts w:ascii="Arial" w:cs="Arial" w:eastAsia="Arial" w:hAnsi="Arial"/>
          <w:sz w:val="17"/>
          <w:szCs w:val="17"/>
          <w:color w:val="auto"/>
        </w:rPr>
        <w:t>Our financial statements have been prepared assuming we will continue as a going concern. We have experienced substantial and recurring losses from operations, which losses have caused an accumulated deficit of $182.7 million at October 31, 2016. At October 31, 2016, we have approximately $12.5 million in cash on hand, including $6.9 million resulting from the closing of a public offering of the Company’s common stock on October 19, 2016. We generated revenues of $0.3 million and $0.6 million for the six months ended October 31, 2016 and 2015, respectively. Based on the Company’s cash and cash equivalents and marketable securities balances as of October 31, 2016, the Company believes that it will be able to finance its capital requirements and operations into at least the quarter ending January 31, 2018. The report of our independent registered public accounting firm on our consolidated financial statements filed with our Annual Report on Form 10-K for fiscal 2016,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713"/>
        <w:spacing w:after="0" w:line="253" w:lineRule="auto"/>
        <w:rPr>
          <w:sz w:val="20"/>
          <w:szCs w:val="20"/>
          <w:color w:val="auto"/>
        </w:rPr>
      </w:pPr>
      <w:r>
        <w:rPr>
          <w:rFonts w:ascii="Arial" w:cs="Arial" w:eastAsia="Arial" w:hAnsi="Arial"/>
          <w:sz w:val="18"/>
          <w:szCs w:val="18"/>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 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713"/>
        <w:spacing w:after="0" w:line="269" w:lineRule="auto"/>
        <w:rPr>
          <w:sz w:val="20"/>
          <w:szCs w:val="20"/>
          <w:color w:val="auto"/>
        </w:rPr>
      </w:pPr>
      <w:r>
        <w:rPr>
          <w:rFonts w:ascii="Arial" w:cs="Arial" w:eastAsia="Arial" w:hAnsi="Arial"/>
          <w:sz w:val="17"/>
          <w:szCs w:val="17"/>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 development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Some of our revenue for the three and six months ended October 31, 2016 and 2015 was from cost-sharing contracts.</w:t>
      </w:r>
    </w:p>
    <w:p>
      <w:pPr>
        <w:spacing w:after="0" w:line="183"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six months ended October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82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October 31,</w:t>
            </w:r>
          </w:p>
        </w:tc>
        <w:tc>
          <w:tcPr>
            <w:tcW w:w="100" w:type="dxa"/>
            <w:vAlign w:val="bottom"/>
          </w:tcPr>
          <w:p>
            <w:pPr>
              <w:spacing w:after="0"/>
              <w:rPr>
                <w:sz w:val="20"/>
                <w:szCs w:val="20"/>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Six Months Ended October 31,</w:t>
            </w:r>
          </w:p>
        </w:tc>
      </w:tr>
      <w:tr>
        <w:trPr>
          <w:trHeight w:val="191"/>
        </w:trPr>
        <w:tc>
          <w:tcPr>
            <w:tcW w:w="53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color w:val="auto"/>
                <w:w w:val="98"/>
              </w:rPr>
              <w:t>($ millions)</w:t>
            </w: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color w:val="auto"/>
              </w:rPr>
              <w:t>($ millions)</w:t>
            </w: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European Union (WavePort project)</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U.S. Department of Defense Office of Naval Research</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and Japan. The following table shows the percentage of our revenues by geographical location of our customers for the six months ended October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3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183"/>
        </w:trPr>
        <w:tc>
          <w:tcPr>
            <w:tcW w:w="640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Customer Location</w:t>
            </w:r>
          </w:p>
        </w:tc>
        <w:tc>
          <w:tcPr>
            <w:tcW w:w="144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1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713"/>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Our revenue recorded for the three and six months ended October 31, 2015 included revenue generated from cost-sharing contracts, which result in zero gross profit.</w:t>
      </w:r>
    </w:p>
    <w:p>
      <w:pPr>
        <w:spacing w:after="0" w:line="170"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ind w:firstLine="713"/>
        <w:spacing w:after="0" w:line="290" w:lineRule="auto"/>
        <w:rPr>
          <w:sz w:val="20"/>
          <w:szCs w:val="20"/>
          <w:color w:val="auto"/>
        </w:rPr>
      </w:pPr>
      <w:r>
        <w:rPr>
          <w:rFonts w:ascii="Arial" w:cs="Arial" w:eastAsia="Arial" w:hAnsi="Arial"/>
          <w:sz w:val="16"/>
          <w:szCs w:val="16"/>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development of new products, product applications and complementary technologies. We expense all of our product development costs as incurred. Over the next several years, it is our goal to fund the majority of our product development efforts with sources from commercial relationships, including cost-sharing agreements. If we are unable to obtain commercial relationships or cost-sharing arrangements, we may be forced to curtail our development expenses and scope to reduce our overall expenses. We recently narrowed our development focus to the PB3 to drive toward commercialization of that product and to reduce our overall expenses. In the future, we also may continue to develop the PB15 (formerly known as PB10) if we determine that future relationships warrant incurring the costs associated with such product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are subject to remeasurement each financial statement reporting period, as such, changes in this fair value are reflected in the Statement of Operations.</w:t>
      </w:r>
    </w:p>
    <w:p>
      <w:pPr>
        <w:spacing w:after="0" w:line="18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Our financial instruments not required to be adjusted to fair value on a recurring basis consist principally of cash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$12.8 million as of October 31, 2016, compared to $10.8 million as of October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ind w:firstLine="713"/>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ind w:firstLine="713"/>
        <w:spacing w:after="0" w:line="276" w:lineRule="auto"/>
        <w:rPr>
          <w:sz w:val="20"/>
          <w:szCs w:val="20"/>
          <w:color w:val="auto"/>
        </w:rPr>
      </w:pPr>
      <w:r>
        <w:rPr>
          <w:rFonts w:ascii="Arial" w:cs="Arial" w:eastAsia="Arial" w:hAnsi="Arial"/>
          <w:sz w:val="17"/>
          <w:szCs w:val="17"/>
          <w:color w:val="auto"/>
        </w:rPr>
        <w:t>We may invest our foreign cash reserves in certificates of deposit and we maintain cash accounts that are denominated in British pounds sterling, Euros and Australian dollars. These foreign-denominated certificates of deposit and cash accounts had a balance of $1.1 million as of October 31, 2016 and $1.8 million as of October 31, 2015, compared to our total cash, cash equivalents, restricted cash, and marketable securities balances of $12.8 million as of October 31, 2016 and $10.8 million as of October 31, 2015. These foreign currency balances are translated at each month end to our functional currency, the US dollar, and any resulting gain or loss is recognized in our results of operations.</w:t>
      </w:r>
    </w:p>
    <w:p>
      <w:pPr>
        <w:spacing w:after="0" w:line="173" w:lineRule="exact"/>
        <w:rPr>
          <w:sz w:val="20"/>
          <w:szCs w:val="20"/>
          <w:color w:val="auto"/>
        </w:rPr>
      </w:pPr>
    </w:p>
    <w:p>
      <w:pPr>
        <w:jc w:val="both"/>
        <w:ind w:firstLine="713"/>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713"/>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2016 Compared to Three Months Ended October 31, 2015</w:t>
      </w:r>
    </w:p>
    <w:p>
      <w:pPr>
        <w:spacing w:after="0" w:line="225"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w w:val="94"/>
              </w:rPr>
              <w:t>Three Months ended October 31,</w:t>
            </w:r>
          </w:p>
        </w:tc>
        <w:tc>
          <w:tcPr>
            <w:tcW w:w="17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5"/>
            <w:vMerge w:val="continue"/>
          </w:tcPr>
          <w:p>
            <w:pPr>
              <w:spacing w:after="0"/>
              <w:rPr>
                <w:sz w:val="19"/>
                <w:szCs w:val="19"/>
                <w:color w:val="auto"/>
              </w:rPr>
            </w:pPr>
          </w:p>
        </w:tc>
        <w:tc>
          <w:tcPr>
            <w:tcW w:w="17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2016 Period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7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2015 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169,964</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494,412</w:t>
            </w:r>
          </w:p>
        </w:tc>
        <w:tc>
          <w:tcPr>
            <w:tcW w:w="1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125,146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494,412</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44,818</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1,307,734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1,177,656</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1,723,737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1,821,993</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3,031,471</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2,999,649</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(2,986,653)</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(2,999,649)</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2,017,557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3,712</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(8,080)</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(24,801)</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(965,084)</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(3,028,818)</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320"/>
              <w:spacing w:after="0" w:line="201" w:lineRule="exact"/>
              <w:rPr>
                <w:sz w:val="20"/>
                <w:szCs w:val="20"/>
                <w:color w:val="auto"/>
              </w:rPr>
            </w:pPr>
            <w:r>
              <w:rPr>
                <w:rFonts w:ascii="Arial" w:cs="Arial" w:eastAsia="Arial" w:hAnsi="Arial"/>
                <w:sz w:val="18"/>
                <w:szCs w:val="18"/>
                <w:color w:val="auto"/>
                <w:w w:val="95"/>
              </w:rPr>
              <w:t>Less: Net (gain) loss attributable to the non-controlling interest</w:t>
            </w:r>
          </w:p>
        </w:tc>
        <w:tc>
          <w:tcPr>
            <w:tcW w:w="22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2,057</w:t>
            </w:r>
          </w:p>
        </w:tc>
        <w:tc>
          <w:tcPr>
            <w:tcW w:w="17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in Ocean Power Technologies (Australasia) Pty Ltd</w:t>
            </w: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(965,084)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(3,026,761)</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Revenues decreased by $0.3 million, or 66%, to $0.2 million in the three months ended October 31, 2016, as compared to $0.5 million in the three months ended October 31, 2015. The decrease in revenue is related to lower revenue on the MES agreement, announced in June 2016, as compared to revenue from our WavePort contract with the European Union (the “EU”) for our project in Spain and the billable work under our prior contracts with the DOE during the three months ended October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Cost of revenues decreased by approximately $0.4 million, or 75%, to approximately $0.1 for the three months ended October 31, 2016, as compared to $0.5 million for the three months ended October 31, 2015. The decrease in cost of revenue is related to lower costs incurred from the MES agreement, announced in June 2016, compared to higher costs from our WavePort contract with the EU for our project in Spain and the billable work under our prior contracts with the DOE during the three months ended October 31, 2015.</w:t>
      </w:r>
    </w:p>
    <w:p>
      <w:pPr>
        <w:spacing w:after="0" w:line="187" w:lineRule="exact"/>
        <w:rPr>
          <w:sz w:val="20"/>
          <w:szCs w:val="20"/>
          <w:color w:val="auto"/>
        </w:rPr>
      </w:pPr>
    </w:p>
    <w:p>
      <w:pPr>
        <w:jc w:val="both"/>
        <w:ind w:firstLine="713"/>
        <w:spacing w:after="0" w:line="293" w:lineRule="auto"/>
        <w:rPr>
          <w:sz w:val="20"/>
          <w:szCs w:val="20"/>
          <w:color w:val="auto"/>
        </w:rPr>
      </w:pPr>
      <w:r>
        <w:rPr>
          <w:rFonts w:ascii="Arial" w:cs="Arial" w:eastAsia="Arial" w:hAnsi="Arial"/>
          <w:sz w:val="16"/>
          <w:szCs w:val="16"/>
          <w:color w:val="auto"/>
        </w:rPr>
        <w:t>Revenue in the three month period ended October 31, 2015 included revenue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Product development costs increased by $0.1 million, or 11%, to $1.3 million in the three months ended October 31, 2016, as compared to $1.2 million in the three months ended October 31, 2015. For the three months ended October 31, 2016, product development costs primarily reflect the deployment of the commercial design PB3 PowerBuoy. For the three months ended October 31, 2015, product development costs reflected costs related to deployment of the legacy PB40 utility scale PowerBuoy.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firstLine="713"/>
        <w:spacing w:after="0" w:line="286" w:lineRule="auto"/>
        <w:rPr>
          <w:sz w:val="20"/>
          <w:szCs w:val="20"/>
          <w:color w:val="auto"/>
        </w:rPr>
      </w:pPr>
      <w:r>
        <w:rPr>
          <w:rFonts w:ascii="Arial" w:cs="Arial" w:eastAsia="Arial" w:hAnsi="Arial"/>
          <w:sz w:val="17"/>
          <w:szCs w:val="17"/>
          <w:color w:val="auto"/>
        </w:rPr>
        <w:t>Selling, general and administrative costs decreased by approximately $0.1 million, or 5%, to $1.7 million for the three months ended October 31, 2016 as compared to $1.8 million for the three months ended October 31, 2015. The decrease was related primarily to lower employee related costs, legal fees and third party consultant fees. These decreases were partially offset by increased stock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225"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Change in fair value of warrant liabilities for the three months ended October 31, 2016 and 2015, reflected a net fair market value unrealized gain of $2.0 million and $0 on our warrant derivatives,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Interest income, net was approximately $2,200 for the three months ended October 31, 2016, as compared to approximately $4,000 in the three months ended October 31, 2015. The decrease in interest income was related to lower interest earned on marketable securities for the three months ended October 31, 2016 compared to the three months ended October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Foreign exchange gain was approximately $1,800 for the three months ended October 31, 2016, compared to a foreign exchange loss of $25,000 for the three months ended October 31, 2015.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ind w:right="20" w:firstLine="713"/>
        <w:spacing w:after="0" w:line="277" w:lineRule="auto"/>
        <w:rPr>
          <w:sz w:val="20"/>
          <w:szCs w:val="20"/>
          <w:color w:val="auto"/>
        </w:rPr>
      </w:pPr>
      <w:r>
        <w:rPr>
          <w:rFonts w:ascii="Arial" w:cs="Arial" w:eastAsia="Arial" w:hAnsi="Arial"/>
          <w:sz w:val="18"/>
          <w:szCs w:val="18"/>
          <w:color w:val="auto"/>
        </w:rPr>
        <w:t>During the three months ended October 31, 2016, we did not have any other expense. During the three months ended October 31, 2015, other expense was approximately $8,000.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October 31, 2016 Compared to Six Months Ended October 31, 2015</w:t>
      </w:r>
    </w:p>
    <w:p>
      <w:pPr>
        <w:spacing w:after="0" w:line="225"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gridSpan w:val="6"/>
            <w:vMerge w:val="restart"/>
          </w:tcPr>
          <w:p>
            <w:pPr>
              <w:jc w:val="right"/>
              <w:ind w:right="640"/>
              <w:spacing w:after="0"/>
              <w:rPr>
                <w:sz w:val="20"/>
                <w:szCs w:val="20"/>
                <w:color w:val="auto"/>
              </w:rPr>
            </w:pPr>
            <w:r>
              <w:rPr>
                <w:rFonts w:ascii="Arial" w:cs="Arial" w:eastAsia="Arial" w:hAnsi="Arial"/>
                <w:sz w:val="18"/>
                <w:szCs w:val="18"/>
                <w:b w:val="1"/>
                <w:bCs w:val="1"/>
                <w:color w:val="auto"/>
                <w:w w:val="96"/>
              </w:rPr>
              <w:t>Six Months ended October 31,</w:t>
            </w:r>
          </w:p>
        </w:tc>
        <w:tc>
          <w:tcPr>
            <w:tcW w:w="16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gridSpan w:val="6"/>
            <w:vMerge w:val="continue"/>
          </w:tcPr>
          <w:p>
            <w:pPr>
              <w:spacing w:after="0"/>
              <w:rPr>
                <w:sz w:val="19"/>
                <w:szCs w:val="19"/>
                <w:color w:val="auto"/>
              </w:rPr>
            </w:pPr>
          </w:p>
        </w:tc>
        <w:tc>
          <w:tcPr>
            <w:tcW w:w="16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2016 Period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6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2015 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600,078</w:t>
            </w:r>
          </w:p>
        </w:tc>
        <w:tc>
          <w:tcPr>
            <w:tcW w:w="2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600,078</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3,660,444</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3,242,296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3,728,938</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6,186,402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7,389,382</w:t>
            </w:r>
          </w:p>
        </w:tc>
        <w:tc>
          <w:tcPr>
            <w:tcW w:w="2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(6,066,480)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(7,389,382)</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8,835</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242,927</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(5,842)</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(7,143,462)</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ind w:left="320"/>
              <w:spacing w:after="0" w:line="201" w:lineRule="exact"/>
              <w:rPr>
                <w:sz w:val="20"/>
                <w:szCs w:val="20"/>
                <w:color w:val="auto"/>
              </w:rPr>
            </w:pPr>
            <w:r>
              <w:rPr>
                <w:rFonts w:ascii="Arial" w:cs="Arial" w:eastAsia="Arial" w:hAnsi="Arial"/>
                <w:sz w:val="18"/>
                <w:szCs w:val="18"/>
                <w:color w:val="auto"/>
                <w:w w:val="95"/>
              </w:rPr>
              <w:t>Less: Net (gain) loss attributable to the non-controlling interest in Ocean Power</w:t>
            </w:r>
          </w:p>
        </w:tc>
        <w:tc>
          <w:tcPr>
            <w:tcW w:w="2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(45,340)</w:t>
            </w:r>
          </w:p>
        </w:tc>
        <w:tc>
          <w:tcPr>
            <w:tcW w:w="16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Technologies (Australasia) Pty Ltd</w:t>
            </w:r>
          </w:p>
        </w:tc>
        <w:tc>
          <w:tcPr>
            <w:tcW w:w="2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(4,792,531)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(7,188,802)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Revenues decreased by $0.2 million, or 38%, to $0.4 million in the six months ended October 31, 2016, as compared to $0.6 million in the six months ended October 31, 2015. The decrease in revenue is related to our MES agreement, announced in June 2016, as compared to revenue from our WavePort contract with the EU for our project in Spain and the billable work under our prior contracts with the DOE during the six months ended October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right="20" w:firstLine="713"/>
        <w:spacing w:after="0" w:line="259" w:lineRule="auto"/>
        <w:rPr>
          <w:sz w:val="20"/>
          <w:szCs w:val="20"/>
          <w:color w:val="auto"/>
        </w:rPr>
      </w:pPr>
      <w:r>
        <w:rPr>
          <w:rFonts w:ascii="Arial" w:cs="Arial" w:eastAsia="Arial" w:hAnsi="Arial"/>
          <w:sz w:val="18"/>
          <w:szCs w:val="18"/>
          <w:color w:val="auto"/>
        </w:rPr>
        <w:t>Cost of revenues decreased by approximately $0.3 million, or 58%, to approximately $0.3 million for the six months ended October 31, 2016, as compared to $0.6 million for the six months ended October 31, 2015. The decrease in cost of revenue is related to lower costs incurred from our MES agreement, announced in June 2016, compared to higher costs from our WavePort contract with the EU for our project in Spain and the billable work under our prior contracts with the DOE during the six months ended October 31, 2015.</w:t>
      </w:r>
    </w:p>
    <w:p>
      <w:pPr>
        <w:spacing w:after="0" w:line="187" w:lineRule="exact"/>
        <w:rPr>
          <w:sz w:val="20"/>
          <w:szCs w:val="20"/>
          <w:color w:val="auto"/>
        </w:rPr>
      </w:pPr>
    </w:p>
    <w:p>
      <w:pPr>
        <w:jc w:val="both"/>
        <w:ind w:firstLine="713"/>
        <w:spacing w:after="0" w:line="293" w:lineRule="auto"/>
        <w:rPr>
          <w:sz w:val="20"/>
          <w:szCs w:val="20"/>
          <w:color w:val="auto"/>
        </w:rPr>
      </w:pPr>
      <w:r>
        <w:rPr>
          <w:rFonts w:ascii="Arial" w:cs="Arial" w:eastAsia="Arial" w:hAnsi="Arial"/>
          <w:sz w:val="16"/>
          <w:szCs w:val="16"/>
          <w:color w:val="auto"/>
        </w:rPr>
        <w:t>Our revenue in the six month period ended October 31, 2015 included revenue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Product development costs decreased by $0.7 million, or 20%, to $2.9 million in the six months ended October 31, 2016, as compared to $3.7 million in the six months ended October 31, 2015. For the six months ended October 31, 2016 product development costs reflect the redeployment of the PB3-A1, the deployment of the commercial design PB3 PowerBuoy and estimated costs related to the retrieval of the PB40 mooring system. For the six months ended October 31, 2015 product development costs reflected costs related to deployment of the legacy PB40 utility scale PowerBuoy as well as costs related to the redesigned commercial PB3..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firstLine="713"/>
        <w:spacing w:after="0" w:line="286" w:lineRule="auto"/>
        <w:rPr>
          <w:sz w:val="20"/>
          <w:szCs w:val="20"/>
          <w:color w:val="auto"/>
        </w:rPr>
      </w:pPr>
      <w:r>
        <w:rPr>
          <w:rFonts w:ascii="Arial" w:cs="Arial" w:eastAsia="Arial" w:hAnsi="Arial"/>
          <w:sz w:val="17"/>
          <w:szCs w:val="17"/>
          <w:color w:val="auto"/>
        </w:rPr>
        <w:t>Selling, general and administrative costs decreased by approximately $0.5 million, or 13%, to $3.2 million for the six months ended October 31, 2016 as compared to $3.7 million for the six months ended October 31, 2015. The decrease was related primarily to lower employee related costs, legal fees and third party consultant fees. These decreases were partially offset by increased stock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225"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Change in fair value of warrant liabilities for the six months ended October 31, 2016 and 2015, reflected a net fair market value unrealized gain of $1.3 million and $0 on our warrant derivatives,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Interest income, net was approximately $2,000 for the six months ended October 31, 2016, as compared to approximately $9,000 in the six months ended October 31, 2015. The decrease in interest income was related to lower interest earned on marketable securities for the six months ended October 31, 2016 compared to the six months ended October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Foreign exchange gain was approximately $6,400 for the six months ended October 31, 2016, compared to a foreign exchange loss of $5,800 for the six months ended October 31, 2015.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20" w:firstLine="713"/>
        <w:spacing w:after="0" w:line="277" w:lineRule="auto"/>
        <w:rPr>
          <w:sz w:val="20"/>
          <w:szCs w:val="20"/>
          <w:color w:val="auto"/>
        </w:rPr>
      </w:pPr>
      <w:r>
        <w:rPr>
          <w:rFonts w:ascii="Arial" w:cs="Arial" w:eastAsia="Arial" w:hAnsi="Arial"/>
          <w:sz w:val="18"/>
          <w:szCs w:val="18"/>
          <w:color w:val="auto"/>
        </w:rPr>
        <w:t>During the six months ended October 31, 2016, we did not have any other income. During the six months ended October 31, 2015, we received a refund of $243,000 related to research and development expenditures in Australia.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Outlook</w:t>
      </w:r>
    </w:p>
    <w:p>
      <w:pPr>
        <w:spacing w:after="0" w:line="229"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We have incurred net losses since we began operations in 1994. To achieve profitability, we will need to increase revenue and gross profit, control our fixed costs and/or possibly reduce our expenses, including our unfunded product development expenditures.</w:t>
      </w:r>
    </w:p>
    <w:p>
      <w:pPr>
        <w:spacing w:after="0" w:line="170"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We do not know whether or when we will become profitable because of the significant uncertainties with respect to our ability to successfully commercialize our PowerBuoys in our target markets. Even if we do achieve profitability at some point in the future, we may not be able to sustain or increase profitability on a quarterly or annual basis. Refer to “Liquidity Outlook” below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713"/>
        <w:spacing w:after="0" w:line="312" w:lineRule="auto"/>
        <w:rPr>
          <w:sz w:val="20"/>
          <w:szCs w:val="20"/>
          <w:color w:val="auto"/>
        </w:rPr>
      </w:pPr>
      <w:r>
        <w:rPr>
          <w:rFonts w:ascii="Arial" w:cs="Arial" w:eastAsia="Arial" w:hAnsi="Arial"/>
          <w:sz w:val="16"/>
          <w:szCs w:val="16"/>
          <w:color w:val="auto"/>
        </w:rPr>
        <w:t>Since our inception, the cash flows from customer revenues have not been sufficient to fund our operations and provide the capital resources for the planned growth of our business. For the two years ended April 30, 2016, our aggregate revenues were $4.8 million, our aggregate net losses were $26.3 million and our aggregate net cash used in operating activities was $28.1 million. Refer to “Liquidity Outlook” below for additional information.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 w:name="page35"/>
    <w:bookmarkEnd w:id="34"/>
    <w:p>
      <w:pPr>
        <w:ind w:left="720"/>
        <w:spacing w:after="0"/>
        <w:rPr>
          <w:sz w:val="20"/>
          <w:szCs w:val="20"/>
          <w:color w:val="auto"/>
        </w:rPr>
      </w:pPr>
      <w:r>
        <w:rPr>
          <w:rFonts w:ascii="Arial" w:cs="Arial" w:eastAsia="Arial" w:hAnsi="Arial"/>
          <w:sz w:val="18"/>
          <w:szCs w:val="18"/>
          <w:color w:val="auto"/>
        </w:rPr>
        <w:t>Cash flows for the six months ended October 31, 2016 and 2015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(4,792,531)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(575,124)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338,383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(5,367,655)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(6,805,079)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(915,833)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(179,626)</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(6,283,538)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(6,984,705)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00" w:type="dxa"/>
            <w:vAlign w:val="bottom"/>
            <w:gridSpan w:val="2"/>
          </w:tcPr>
          <w:p>
            <w:pPr>
              <w:spacing w:after="0"/>
              <w:rPr>
                <w:sz w:val="17"/>
                <w:szCs w:val="17"/>
                <w:color w:val="auto"/>
              </w:rPr>
            </w:pPr>
          </w:p>
        </w:tc>
        <w:tc>
          <w:tcPr>
            <w:tcW w:w="1580" w:type="dxa"/>
            <w:vAlign w:val="bottom"/>
            <w:gridSpan w:val="2"/>
          </w:tcPr>
          <w:p>
            <w:pPr>
              <w:spacing w:after="0"/>
              <w:rPr>
                <w:sz w:val="17"/>
                <w:szCs w:val="17"/>
                <w:color w:val="auto"/>
              </w:rPr>
            </w:pPr>
          </w:p>
        </w:tc>
        <w:tc>
          <w:tcPr>
            <w:tcW w:w="132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32,353</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12,051,235</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(17,679)</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Net cash used in operating activities was $6.3 million and $7.0 million for the six months ended October 31, 2016 and 2015, respectively. The change was primarily the result of the net change in operating assets and liabilities.</w:t>
      </w:r>
    </w:p>
    <w:p>
      <w:pPr>
        <w:spacing w:after="0" w:line="170"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The decrease in net loss for the six months ended October 31, 2016 compared to the six months ended October 31, 2015 reflects a decrease in product development costs of $0.7 million relating primarily to the deployment of the PB40 off the coast of New Jersey and the anticipated deployment of the APB350 in the prior year, a decrease in SG&amp;A costs of $0.5 million relating primarily to decreased legal fees and employee related costs, and a decrease of $1.3 million in the change in fair value of warrant liabilities.</w:t>
      </w:r>
    </w:p>
    <w:p>
      <w:pPr>
        <w:spacing w:after="0" w:line="187"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The decrease in noncash operating items reflects a decrease in the change in fair value of the warrant assets of $1.3 million partially offset by an increase in equity compensation of $0.4 million.</w:t>
      </w:r>
    </w:p>
    <w:p>
      <w:pPr>
        <w:spacing w:after="0" w:line="170"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The decrease in operating assets and liabilities reflects a net decrease in accounts payable and accrued expenses of $0.4 million, a decrease in unbilled receivables of $0.1 million and a decrease of $0.2 million in other current assets, during the six months ended October 31, 2016. In July 2016, the Company paid $0.5 million related to a litigation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9"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Net cash provided by investing activities was approximately $32,000 and $0.1 million for the six months ended October 31, 2016 and 2015, respectively. The change was primarily the result of a net decrease in restricted cash during the six months ended October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229" w:lineRule="exact"/>
        <w:rPr>
          <w:sz w:val="20"/>
          <w:szCs w:val="20"/>
          <w:color w:val="auto"/>
        </w:rPr>
      </w:pPr>
    </w:p>
    <w:p>
      <w:pPr>
        <w:jc w:val="both"/>
        <w:ind w:firstLine="713"/>
        <w:spacing w:after="0" w:line="286" w:lineRule="auto"/>
        <w:rPr>
          <w:sz w:val="20"/>
          <w:szCs w:val="20"/>
          <w:color w:val="auto"/>
        </w:rPr>
      </w:pPr>
      <w:r>
        <w:rPr>
          <w:rFonts w:ascii="Arial" w:cs="Arial" w:eastAsia="Arial" w:hAnsi="Arial"/>
          <w:sz w:val="17"/>
          <w:szCs w:val="17"/>
          <w:color w:val="auto"/>
        </w:rPr>
        <w:t>Net cash provided by financing activities was $12.1 million for the six months ended October 31, 2016 and net cash used in financing activities was $47,000 for the six months ended October 31, 2015. The net cash provided in 2016 was the result of the issuance of common stock and warrants through our public offerings net of related issuance costs. The net cash used in 2015 was primarily for repayment of long-term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$18,000 and $54,000 in the six months ended October 31, 2016 and 2015, respectively. The effect of exchange rates on cash and cash equivalents results primarily from gains or losses on consolidation of foreign subsidiaries and foreign denominated cash and cash equivalents.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ind w:right="140" w:firstLine="704"/>
        <w:spacing w:after="0" w:line="291" w:lineRule="auto"/>
        <w:rPr>
          <w:sz w:val="20"/>
          <w:szCs w:val="20"/>
          <w:color w:val="auto"/>
        </w:rPr>
      </w:pPr>
      <w:r>
        <w:rPr>
          <w:rFonts w:ascii="Arial" w:cs="Arial" w:eastAsia="Arial" w:hAnsi="Arial"/>
          <w:sz w:val="16"/>
          <w:szCs w:val="16"/>
          <w:color w:val="auto"/>
        </w:rPr>
        <w:t>Our financial statements have been prepared assuming we will continue as a going concern. We have experienced substantial and recurring losses from operations, which losses have caused an accumulated deficit of $182.7 million at October 31, 2016. At October 31, 2016, we had approximately $12.5 million in cash on hand, including $6.9 million resulting from the closing of a public offering of the Company's Common Stock on October 19, 2016. In addition, as of October 31, 2016, our restricted cash balance was approximately $0.3 million. We generated revenues of $0.4 million for the six months ended October 31, 2016, and $0.6 million for the six months ended October 31, 2015. Based on the Company’s cash and cash equivalents and marketable securities balances as of October 31, 2016, the Company believes that it will be able to finance its capital requirements and operations into the quarter ending January 31, 2018. These conditions raise substantial doubt about our ability to continue as a going concern.</w:t>
      </w:r>
    </w:p>
    <w:p>
      <w:pPr>
        <w:spacing w:after="0" w:line="167" w:lineRule="exact"/>
        <w:rPr>
          <w:sz w:val="20"/>
          <w:szCs w:val="20"/>
          <w:color w:val="auto"/>
        </w:rPr>
      </w:pPr>
    </w:p>
    <w:p>
      <w:pPr>
        <w:jc w:val="both"/>
        <w:ind w:right="20" w:firstLine="713"/>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may choose to reduce our operating expenses through personnel reductions, and reductions in our research and development and other operating costs during fiscal year 2017,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713"/>
        <w:spacing w:after="0" w:line="270" w:lineRule="auto"/>
        <w:rPr>
          <w:sz w:val="20"/>
          <w:szCs w:val="20"/>
          <w:color w:val="auto"/>
        </w:rPr>
      </w:pPr>
      <w:r>
        <w:rPr>
          <w:rFonts w:ascii="Arial" w:cs="Arial" w:eastAsia="Arial" w:hAnsi="Arial"/>
          <w:sz w:val="17"/>
          <w:szCs w:val="17"/>
          <w:color w:val="auto"/>
        </w:rPr>
        <w:t>Management, under the supervision and with the participation of our Chief Executive Officer and Chief Financial Officer, evaluated the effectiveness of the design and operation of our disclosure controls and procedures as of October 31, 2016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October 31, 2016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713"/>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October 31, 2016 that has materially affected, or is reasonably likely to materially affect, our internal control over financial reporting.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 and Demands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We and our former Chief Executive Officer, Charles Dunleavy, are defendants in consolidated securities class action lawsuits pending in the United States District Court for the District of New Jersey captioned In Re: Ocean Power Technologies, Inc. Securities Litigation, Civil Action No. 14-3799 (FLW) (LHG). The consolidated actions are Roby v. Ocean Power Technologies, Inc., et al., Case No. 3:14-cv-03799-FLW-LHG (filed June 13, 2014); Chew, et al. v. Ocean Power Technologies, Inc. et. al., Case No 3:14-cv-03815 (filed June 13, 2014); Konstantinidis v. Ocean Power Technologies, Inc., et al., Case No. 3:14-cv-04015 (filed June 23, 2014); and Turner v. Ocean Power Technologies, Inc., et al., Case No. 3:14-cv-04592 (filed July 22, 2014). On March 17, 2015, the court entered an order appointing Five More Special Situation Fund Ltd. as the lead plaintiff.</w:t>
      </w:r>
    </w:p>
    <w:p>
      <w:pPr>
        <w:spacing w:after="0" w:line="178" w:lineRule="exact"/>
        <w:rPr>
          <w:sz w:val="20"/>
          <w:szCs w:val="20"/>
          <w:color w:val="auto"/>
        </w:rPr>
      </w:pPr>
    </w:p>
    <w:p>
      <w:pPr>
        <w:jc w:val="both"/>
        <w:ind w:firstLine="713"/>
        <w:spacing w:after="0" w:line="285" w:lineRule="auto"/>
        <w:rPr>
          <w:sz w:val="20"/>
          <w:szCs w:val="20"/>
          <w:color w:val="auto"/>
        </w:rPr>
      </w:pPr>
      <w:r>
        <w:rPr>
          <w:rFonts w:ascii="Arial" w:cs="Arial" w:eastAsia="Arial" w:hAnsi="Arial"/>
          <w:sz w:val="16"/>
          <w:szCs w:val="16"/>
          <w:color w:val="auto"/>
        </w:rPr>
        <w:t>On October 9, 2015, the lead plaintiff filed a third amended class action complaint which alleges claims for violations of sections 12(a) (2) and 15 of the Securities Act of 1933 and for violations of §10(b) and §20(a) of the Securities Exchange Act of 1934 arising out of public statements relating to our technology and a now terminated agreement between VWP and ARENA for the VWP Project. The third amended class action complaint seeks unspecified monetary damages and other relief. On November 5, 2015, defendants filed a motion to dismiss the third amended class action complaint. The lead plaintiff filed a brief in opposition to the motion on December 7, 2015, and defendants filed a reply in support of the motion on December 21, 2015. On May 5, 2016, the parties entered into a Stipulation and Agreement of Class Settlement (“Stipulation”) in which they agreed to a settlement of the consolidated securities class action lawsuits, subject to Court approval. The Stipulation provides, among other things, for a settlement payment by or on behalf of the Company of $3,000,000 in cash, of which the Company was to pay $500,000 and the Company’s insurer will pay $2,500,000, and the issuance by the Company of 380,000 shares (valued at $596,000 on the date the Stipulation was signed by the parties) of its Common Stock to the class members. In connection with the settlement, the parties have agreed to execute mutually agreeable releases. On June 7, 2016, the Court entered an Order Granting Preliminary Approval of Settlement. The Stipulation is subject to, among other requirements, final approval by the Court following notice to all class members. The Court scheduled a hearing for November 14, 2016 to determine, among other things, whether to grant final approval of the settlement. The amounts agreed in the Stipulation agreement, including the amount to be contributed by our insurance carrier, have been reflected in the financial statements as of July 31, 2016 and April 30, 2016. In July 2016, the Company paid the $500,000 portion of the settlement and the remaining balance of $2,500,000 was paid by the Company’s insurer in August 2016. On November 14, 2016, the Court held its previously scheduled Settlement Hearing to consider whether to grant final approval of the settlement, and on November 15, 2016, the Court issued its Final Judgement approving the settlement and dismissing the proceedings with prejudice. The distribution of the $3,000,000 in cash and 380,000 shares of the Company’s common stock is scheduled to occur 30 days after the date of the Final Judgment.</w:t>
      </w:r>
    </w:p>
    <w:p>
      <w:pPr>
        <w:spacing w:after="0" w:line="175" w:lineRule="exact"/>
        <w:rPr>
          <w:sz w:val="20"/>
          <w:szCs w:val="20"/>
          <w:color w:val="auto"/>
        </w:rPr>
      </w:pPr>
    </w:p>
    <w:p>
      <w:pPr>
        <w:jc w:val="both"/>
        <w:ind w:firstLine="713"/>
        <w:spacing w:after="0" w:line="279" w:lineRule="auto"/>
        <w:rPr>
          <w:sz w:val="20"/>
          <w:szCs w:val="20"/>
          <w:color w:val="auto"/>
        </w:rPr>
      </w:pPr>
      <w:r>
        <w:rPr>
          <w:rFonts w:ascii="Arial" w:cs="Arial" w:eastAsia="Arial" w:hAnsi="Arial"/>
          <w:sz w:val="17"/>
          <w:szCs w:val="17"/>
          <w:color w:val="auto"/>
        </w:rPr>
        <w:t>On July 10, 2014, we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We invited the attorney to participate in the Section 220 Demand process discussed below. On February 6, 2015, we produced documents to the attorney pursuant to a confidentiality agreement in connection with the Section 220 Demand process.</w:t>
      </w:r>
    </w:p>
    <w:p>
      <w:pPr>
        <w:spacing w:after="0" w:line="171"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We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We have received two additional Section 220 Demands relating to the same subject matter from attorneys claiming to represent two different shareholders. We have responded in writing to the three Section 220 Demands and on February 6, 2015 produced documents to each of the attorneys pursuant to confidentiality agreements.</w:t>
      </w:r>
    </w:p>
    <w:p>
      <w:pPr>
        <w:spacing w:after="0" w:line="188"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We and certain of our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8" w:name="page39"/>
    <w:bookmarkEnd w:id="38"/>
    <w:p>
      <w:pPr>
        <w:jc w:val="both"/>
        <w:ind w:firstLine="713"/>
        <w:spacing w:after="0" w:line="270" w:lineRule="auto"/>
        <w:rPr>
          <w:sz w:val="20"/>
          <w:szCs w:val="20"/>
          <w:color w:val="auto"/>
        </w:rPr>
      </w:pPr>
      <w:r>
        <w:rPr>
          <w:rFonts w:ascii="Arial" w:cs="Arial" w:eastAsia="Arial" w:hAnsi="Arial"/>
          <w:sz w:val="17"/>
          <w:szCs w:val="17"/>
          <w:color w:val="auto"/>
        </w:rPr>
        <w:t>On July 10, 2015, a second derivative lawsuit, captioned Rywolt v. Dunleavy, et al.,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Rywolt complaint also seeks unspecified monetary damages and other relief. On September 2, 2015, the plaintiff and all the defendants agreed to stay the Rywolt derivative lawsuit pending action in the consolidated class action securities litigation discussed above (namely, a court order denying any motions to dismiss the commencement of discovery, a joint request to lift the stay, or further order of the court). In addition, on September 2, 2015, the plaintiffs in the Labare and Rywolt derivative lawsuits filed an unopposed motion to consolidate the two actions. On February 8, 2016, the Court entered an order (i) consolidating the Labare and Rywolt actions; (ii) appointing Labare and Rywolt as co-lead plaintiffs; (iii) appointing The Rosen Law Firm P.C. as lead counsel; and (iv) directing the co-lead plaintiffs to file a consolidated amended complaint within 30 days of the order. The co-lead plaintiffs filed a consolidated complaint on March 9, 2016. Defendants have not responded to the consolidated complaint because of the pending stay.</w:t>
      </w:r>
    </w:p>
    <w:p>
      <w:pPr>
        <w:spacing w:after="0" w:line="178" w:lineRule="exact"/>
        <w:rPr>
          <w:sz w:val="20"/>
          <w:szCs w:val="20"/>
          <w:color w:val="auto"/>
        </w:rPr>
      </w:pPr>
    </w:p>
    <w:p>
      <w:pPr>
        <w:jc w:val="both"/>
        <w:ind w:firstLine="713"/>
        <w:spacing w:after="0" w:line="279" w:lineRule="auto"/>
        <w:rPr>
          <w:sz w:val="20"/>
          <w:szCs w:val="20"/>
          <w:color w:val="auto"/>
        </w:rPr>
      </w:pPr>
      <w:r>
        <w:rPr>
          <w:rFonts w:ascii="Arial" w:cs="Arial" w:eastAsia="Arial" w:hAnsi="Arial"/>
          <w:sz w:val="17"/>
          <w:szCs w:val="17"/>
          <w:color w:val="auto"/>
        </w:rPr>
        <w:t>On April 21, 2016, a third derivative lawsuit, captioned LaCalamito v. Dunleavy, et al.,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LaCalamito complaint seeks unspecified monetary damages and other relief. We have not been formally served and have not yet responded to the complaint.</w:t>
      </w:r>
    </w:p>
    <w:p>
      <w:pPr>
        <w:spacing w:after="0" w:line="171"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7"/>
          <w:szCs w:val="17"/>
          <w:color w:val="auto"/>
        </w:rPr>
        <w:t xml:space="preserve">On June 9, 2016, a fourth derivative lawsuit, captioned Pucillo v. Dunleavy, et al.,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Pucillo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On October 25, 2016, the Court approved and entered a Stipulation and Order that, among other things, (i) consolidated the four derivative actions;</w:t>
      </w:r>
    </w:p>
    <w:p>
      <w:pPr>
        <w:spacing w:after="0" w:line="46" w:lineRule="exact"/>
        <w:rPr>
          <w:sz w:val="20"/>
          <w:szCs w:val="20"/>
          <w:color w:val="auto"/>
        </w:rPr>
      </w:pPr>
    </w:p>
    <w:p>
      <w:pPr>
        <w:ind w:firstLine="8"/>
        <w:spacing w:after="0" w:line="261" w:lineRule="auto"/>
        <w:tabs>
          <w:tab w:leader="none" w:pos="2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substituted plaintiff Pucillo for plaintiffs Labare and Rywolt as the lead plaintiff in the consolidated actions; and (iii) stayed the consolidated actions pending the settlement hearing scheduled for November 14, 2016 in the securities class action and further order of the Court.</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and certain of our current and former directors are defendants in a lawsuit filed by an alleged shareholder in the Superior Court of New Jersey, Mercer County Chancery Division on January 25, 2016, captioned Stern v. Ocean Power Technologies, Inc., et al., Civil Action No. C-5-16. The complaint alleges that certain provisions of our Certificate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current provisions and declare that the Company’s directors may be removed and replaced without cause and by a simple majority vote. The Complaint seeks declaratory and injunctive relief as well as unspecified costs and attorneys’ fees. Defendants have not yet responded to the Complaint. By Unanimous Written Consent dated June 17, 2016, the Company’s Board of Directors amended the Company’s By-laws to delete the “only for cause” requirement, thereby allowing for removal of directors with or without cause by the Company’s stockholders. In addition, the Board proposed, subject to approval by the Company’s stockholders at the next annual general meeting of stockholders, a similar amendment to the director removal provision in the Company’s Certificate of Incorporation. On June 22, 2016, the parties to this lawsuit submitted a Stipulation and Proposed Order Staying Proceedings that (1) stays the case pending the stockholder vote on the proposed amendment to the Company’s Certificate of Incorporation; (2) provides for dismissal of the action with prejudice if the stockholders approve the amendment, subject to plaintiff’s right to make a fee application to the court and defendants’ right to oppose any such application; and (3) provides for the stay to be lifted and the action to resume, without waiver of any parties’ rights, if the stockholders do not approve the amendment. The court approved the stipulation on June 30, 2016. On September 2, 2016, the Company filed a definitive proxy statement with the SEC which includes this proposal. At the annual shareholder meeting on October 21, 2016, the proposal was not approved because an insufficient number of votes were cast to satisfy the requirement that the proposal be approved by the holders of at least 75% of the outstanding shares of common stock entitled to vote at the meeting. However, stockholders approved an amendment to the Company’s Certificate of Incorporation to add a provision which requires that any provision of the Certificate of Incorporation that is contrary to a requirement of the Delaware General Corporate Law shall be read in conformity with the applicable requirement of the Delaware General Corporate Law. The parties have agreed that the case shall remained stayed until further steps, if any, can be agreed to and taken as needed.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713"/>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173"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Except for the Stipulation agreement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Investigation</w:t>
      </w:r>
    </w:p>
    <w:p>
      <w:pPr>
        <w:spacing w:after="0" w:line="229"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On February 4, 2015, we received a subpoena from the SEC requesting information related to the VWP Project. We have provided information to the SEC in response to that subpoena. As part of the same investigation, on July 12, 2016, the SEC issued a second subpoena requesting information related to the Company’s April 4, 2014 public offering. The Company has provided information to the SEC in response to that subpoena. The SEC investigation is ongoing and we continue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Spain IVA (sales tax)</w:t>
      </w:r>
    </w:p>
    <w:p>
      <w:pPr>
        <w:spacing w:after="0" w:line="229"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In June 2012, we received notice that the Spanish tax authorities are inquiring into our 2010 IVA (value-added tax) filing for which the Company benefitted from the offset of approximately $250,000 of input tax. We believe that the inquiry will find that the tax credit was properly claimed and, therefore, no liability has been recorded. We have issued two letters of credit in the amount of €278,828 ($305,690) at the request of the Spanish tax authorities. This is a customary request during the inquiry period. In November 2014, March 2015 and September 2015, we received partial refunds of the amount under dispute and continue to expect that this matter will be resolved in our favor.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Spain Income Tax Audit</w:t>
      </w:r>
    </w:p>
    <w:p>
      <w:pPr>
        <w:spacing w:after="0" w:line="229"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We are currently undergoing an income tax audit in Spain for the period from 2008 to 2014, when our Spanish branch was closed. The branch reported net operating losses for each of the years reported. We have not established any provision for losses related to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ind w:firstLine="713"/>
        <w:spacing w:after="0" w:line="297"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2016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15, 2016 and our Form 10-Q for the quarter ended July 31, 2016, except as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ind w:firstLine="713"/>
        <w:spacing w:after="0" w:line="299" w:lineRule="auto"/>
        <w:rPr>
          <w:sz w:val="20"/>
          <w:szCs w:val="20"/>
          <w:color w:val="auto"/>
        </w:rPr>
      </w:pPr>
      <w:r>
        <w:rPr>
          <w:rFonts w:ascii="Arial" w:cs="Arial" w:eastAsia="Arial" w:hAnsi="Arial"/>
          <w:sz w:val="16"/>
          <w:szCs w:val="16"/>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losses have caused an accumulated deficit of $182.7 million at October 31, 2016. At October 31, 2016, the Company has approximately $12.5 million in cash on hand, including $6.9 million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resulting from the closing of a public offering of the Company's common stock on October 19, 2016. The Company generated revenues of $0.4 million and $0.6 million in the six months ended October 31, 2016 and 2015, respectively. We generated revenues of only $0.7 million in fiscal 2016, and $4.1 million in fiscal 2015. Based on the Company’s cash and cash equivalents and marketable securities balances as of October 31, 2016 the Company believes that it will be able to finance its capital requirements and operations into at least the quarter ending January 31, 2018. We continue to experience operating losses and currently have only one primary revenue producing contract, which is an agreement with MES (the “MES Agreement”) to, among other things, lease and deploy our PB3 PowerBuoy off Kozushima Island, Japan and to provide certain engineering and other services. The total value of the lease and other services to be provided by us under the MES Agreement is $975,587. We currently expect the term of the lease to commence in March 2017, and the term of the MES Agreement to extend through August 2017. During the six months ended October 31, 2016, our net burn rate (cash used in operations less cash generated by operations) including product development spending was approximately $900,000 per month, excluding $500,000 cash paid in relation to the litigation settlement.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0" w:name="page41"/>
    <w:bookmarkEnd w:id="40"/>
    <w:p>
      <w:pPr>
        <w:jc w:val="both"/>
        <w:ind w:firstLine="713"/>
        <w:spacing w:after="0" w:line="269" w:lineRule="auto"/>
        <w:rPr>
          <w:sz w:val="20"/>
          <w:szCs w:val="20"/>
          <w:color w:val="auto"/>
        </w:rPr>
      </w:pPr>
      <w:r>
        <w:rPr>
          <w:rFonts w:ascii="Arial" w:cs="Arial" w:eastAsia="Arial" w:hAnsi="Arial"/>
          <w:sz w:val="17"/>
          <w:szCs w:val="17"/>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a largely a result of the high product development costs associated with our product development.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$12 million in fiscal 2017. Through the six months ended October 31, 2016, the Company has already incurred approximately $6.1 million in such operating costs. We may choose to reduce our operating expenses through personnel reductions, and reductions in our research and development and other operating costs during fiscal year 2017,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$4.8 million during the six months ended October 31, 2016 and $13.1 million in fiscal 2016. As of October 31, 2016, we had an accumulated deficit of $182.7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3" w:lineRule="exact"/>
        <w:rPr>
          <w:sz w:val="20"/>
          <w:szCs w:val="20"/>
          <w:color w:val="auto"/>
        </w:rPr>
      </w:pPr>
    </w:p>
    <w:p>
      <w:pPr>
        <w:jc w:val="both"/>
        <w:ind w:firstLine="713"/>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raise sufficient capital to continue to operate our business.</w:t>
      </w:r>
    </w:p>
    <w:p>
      <w:pPr>
        <w:spacing w:after="0" w:line="225" w:lineRule="exact"/>
        <w:rPr>
          <w:sz w:val="20"/>
          <w:szCs w:val="20"/>
          <w:color w:val="auto"/>
        </w:rPr>
      </w:pPr>
    </w:p>
    <w:p>
      <w:pPr>
        <w:jc w:val="both"/>
        <w:ind w:firstLine="713"/>
        <w:spacing w:after="0" w:line="297" w:lineRule="auto"/>
        <w:rPr>
          <w:sz w:val="20"/>
          <w:szCs w:val="20"/>
          <w:color w:val="auto"/>
        </w:rPr>
      </w:pPr>
      <w:r>
        <w:rPr>
          <w:rFonts w:ascii="Arial" w:cs="Arial" w:eastAsia="Arial" w:hAnsi="Arial"/>
          <w:sz w:val="16"/>
          <w:szCs w:val="16"/>
          <w:color w:val="auto"/>
        </w:rPr>
        <w:t>Historically, we have funded our business operations through sales of equity securities. We do not know whether we will be able to secure additional equity funding or, if secured, whether the terms will be favorable to us or our investors. Our ability to obtain additional funding will be subject to a number of factors, including market conditions, our operating performance, pending litigation and investor sentiment. These factors may make additional funding unavailable, or the timing, amount, terms and conditions of additional funding unattractive. If we issue additional equity securities to raise capital, our existing stockholders would experience dilution or may be subordinated to any rights, preferences or privileges granted to the new equity holders.</w:t>
      </w:r>
    </w:p>
    <w:p>
      <w:pPr>
        <w:spacing w:after="0" w:line="158" w:lineRule="exact"/>
        <w:rPr>
          <w:sz w:val="20"/>
          <w:szCs w:val="20"/>
          <w:color w:val="auto"/>
        </w:rPr>
      </w:pPr>
    </w:p>
    <w:p>
      <w:pPr>
        <w:jc w:val="both"/>
        <w:ind w:firstLine="758"/>
        <w:spacing w:after="0" w:line="276" w:lineRule="auto"/>
        <w:rPr>
          <w:sz w:val="20"/>
          <w:szCs w:val="20"/>
          <w:color w:val="auto"/>
        </w:rPr>
      </w:pPr>
      <w:r>
        <w:rPr>
          <w:rFonts w:ascii="Arial" w:cs="Arial" w:eastAsia="Arial" w:hAnsi="Arial"/>
          <w:sz w:val="17"/>
          <w:szCs w:val="17"/>
          <w:color w:val="auto"/>
        </w:rPr>
        <w:t>We have filed a shelf registration statement on Form S-3 with the SEC registering the sale of up to $15,000,000 of debt, equity and other securities (the “Shelf Registration Statement”), which was declared effective on April 26, 2016. In June 2016, we completed an offering off of the Shelf Registration Statement of an aggregate of 417,000 shares of common stock together with warrants to purchase up to an aggregate of 145,952 shares of common stock. In July 2016, we completed a best efforts public offering off of the Shelf Registration Statement of 595,000 units, with each unit consisting of one share of common stock and 0.3 of a warrant to purchase one share of our common stock, for a total of 178,500 warrants.</w:t>
      </w:r>
    </w:p>
    <w:p>
      <w:pPr>
        <w:spacing w:after="0" w:line="173"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On October 19, 2016, we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estimated offering expenses payable by the Company, but excluding the proceeds, if any, from the exercise of the warrants issued in the offering. We are using the net proceeds from this offering for general corporate purposes, which may include additional development, testing and demonstrations of our PowerBuoy system with the goal of furthering and accelerating its commercialization efforts and expanding its sales and marketing functions.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1" w:name="page42"/>
    <w:bookmarkEnd w:id="41"/>
    <w:p>
      <w:pPr>
        <w:jc w:val="both"/>
        <w:ind w:firstLine="766"/>
        <w:spacing w:after="0" w:line="297" w:lineRule="auto"/>
        <w:rPr>
          <w:sz w:val="20"/>
          <w:szCs w:val="20"/>
          <w:color w:val="auto"/>
        </w:rPr>
      </w:pPr>
      <w:r>
        <w:rPr>
          <w:rFonts w:ascii="Arial" w:cs="Arial" w:eastAsia="Arial" w:hAnsi="Arial"/>
          <w:sz w:val="16"/>
          <w:szCs w:val="16"/>
          <w:color w:val="auto"/>
        </w:rPr>
        <w:t>Future sales under our current Shelf Registration Statement or other sales of equity or convertible securities could be dilutive to our stockholders. We cannot assure you that we will be able to issue any such securities or, if issued, what the terms of those securities would be. In particular, any new securities issued could have rights senior to those associated with our common stock and could contain covenants that would restrict our operations. Should the financing we require to sustain our working capital needs be unavailable or prohibitively expensive when we require it, our business, operating results, financial condition and prospects could be materially and adversely affected and we may be unable to continue our operations.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Shares</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Purchased as</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 Price</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Part of Publicly</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Paid per Share</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Under the Plan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August 1-31, 2016</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September 1-30, 2016</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3,450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October 1-31, 2016</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Represents shares delivered back to the Company by employees to pay taxes related to the vesting of restricted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45"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Amendment to Certificate of Incorporation of the Company, filed with the Secretary of State of the State of Delaware on October 21,</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2016 (incorporated by reference to Exhibit 3.1 to the Company’s Current Report on Form 8-K filed on October 21, 2016).</w:t>
      </w:r>
    </w:p>
    <w:p>
      <w:pPr>
        <w:spacing w:after="0" w:line="211" w:lineRule="exact"/>
        <w:rPr>
          <w:sz w:val="20"/>
          <w:szCs w:val="20"/>
          <w:color w:val="auto"/>
        </w:rPr>
      </w:pPr>
    </w:p>
    <w:p>
      <w:pPr>
        <w:ind w:left="820" w:right="40" w:hanging="676"/>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Employment Letter between the Company and Matthew Shafer dated August 23, 2016 (incorporated by reference from Exhibit 10.1 to the Current Report on Form 8-K filed August 29, 2016).</w:t>
      </w:r>
    </w:p>
    <w:p>
      <w:pPr>
        <w:spacing w:after="0" w:line="170" w:lineRule="exact"/>
        <w:rPr>
          <w:sz w:val="20"/>
          <w:szCs w:val="20"/>
          <w:color w:val="auto"/>
        </w:rPr>
      </w:pPr>
    </w:p>
    <w:p>
      <w:pPr>
        <w:ind w:left="820" w:right="340" w:hanging="676"/>
        <w:spacing w:after="0" w:line="277"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Letter Agreement between the Company and Mark A. Featherstone dated August 25, 2016 (incorporated by reference from Exhibit 10.3 to the Current Report on Form 8-K filed August 29, 2016).</w:t>
      </w:r>
    </w:p>
    <w:p>
      <w:pPr>
        <w:spacing w:after="0" w:line="170"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Agreement by and between the Company and the U.S. Office of Naval Research dated September 13, 2016 (incorporated by reference to Exhibit</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 to the Company’s Current Report on Form 8-K filed on September 14, 2016).</w:t>
      </w:r>
    </w:p>
    <w:p>
      <w:pPr>
        <w:spacing w:after="0" w:line="211"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jc w:val="both"/>
        <w:ind w:left="820" w:hanging="657"/>
        <w:spacing w:after="0" w:line="273"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materials formatted in eXtensible Business Reporting Language (XBRL) from Ocean Power Technologies, Inc Quarterly Report on Form 10-Q for the quarter ended October 31, 2016, filed December 9, 2016: (i) Consolidated Balance Sheets – October 31, 2016 (unaudited) and April 30, 2016, (ii) Consolidated Statements of Operations (unaudited) – Three and Six Months Ended October 31, 2016 and 2015, (iii) Consolidated Statements of Comprehensive Loss (unaudited) – Three and Six Months Ended October 31, 2016 and 2015, (iv) Consolidated Statements of Cash Flows (unaudited) –Six Months Ended October 31, 2016 and 2015, (v) Consolidated Statements of Stockholders’ Equity (unaudited) – Six Months Ended October 31, 2016 and 2015 (vi) Notes to Consolidated Financial Statements.**</w:t>
      </w:r>
    </w:p>
    <w:p>
      <w:pPr>
        <w:spacing w:after="0" w:line="178" w:lineRule="exact"/>
        <w:rPr>
          <w:rFonts w:ascii="Arial" w:cs="Arial" w:eastAsia="Arial" w:hAnsi="Arial"/>
          <w:sz w:val="17"/>
          <w:szCs w:val="17"/>
          <w:color w:val="auto"/>
        </w:rPr>
      </w:pPr>
    </w:p>
    <w:p>
      <w:pPr>
        <w:jc w:val="both"/>
        <w:ind w:left="820"/>
        <w:spacing w:after="0" w:line="264" w:lineRule="auto"/>
        <w:rPr>
          <w:rFonts w:ascii="Arial" w:cs="Arial" w:eastAsia="Arial" w:hAnsi="Arial"/>
          <w:sz w:val="17"/>
          <w:szCs w:val="17"/>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rFonts w:ascii="Arial" w:cs="Arial" w:eastAsia="Arial" w:hAnsi="Arial"/>
          <w:sz w:val="17"/>
          <w:szCs w:val="17"/>
          <w:color w:val="auto"/>
        </w:rPr>
      </w:pPr>
    </w:p>
    <w:p>
      <w:pPr>
        <w:jc w:val="both"/>
        <w:ind w:left="820" w:hanging="2"/>
        <w:spacing w:after="0" w:line="264" w:lineRule="auto"/>
        <w:tabs>
          <w:tab w:leader="none" w:pos="10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jc w:val="center"/>
        <w:ind w:left="4140"/>
        <w:spacing w:after="0"/>
        <w:rPr>
          <w:sz w:val="20"/>
          <w:szCs w:val="20"/>
          <w:color w:val="auto"/>
        </w:rPr>
      </w:pPr>
      <w:r>
        <w:rPr>
          <w:rFonts w:ascii="Arial" w:cs="Arial" w:eastAsia="Arial" w:hAnsi="Arial"/>
          <w:sz w:val="18"/>
          <w:szCs w:val="18"/>
          <w:i w:val="1"/>
          <w:iCs w:val="1"/>
          <w:color w:val="auto"/>
        </w:rPr>
        <w:t>(Registrant)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December 9, 2016</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H. Kirby III</w:t>
            </w:r>
          </w:p>
        </w:tc>
        <w:tc>
          <w:tcPr>
            <w:tcW w:w="1280" w:type="dxa"/>
            <w:vAlign w:val="bottom"/>
          </w:tcPr>
          <w:p>
            <w:pPr>
              <w:spacing w:after="0"/>
              <w:rPr>
                <w:sz w:val="20"/>
                <w:szCs w:val="20"/>
                <w:color w:val="auto"/>
              </w:rPr>
            </w:pPr>
          </w:p>
        </w:tc>
      </w:tr>
      <w:tr>
        <w:trPr>
          <w:trHeight w:val="195"/>
        </w:trPr>
        <w:tc>
          <w:tcPr>
            <w:tcW w:w="6080" w:type="dxa"/>
            <w:vAlign w:val="bottom"/>
          </w:tcPr>
          <w:p>
            <w:pPr>
              <w:ind w:left="5380"/>
              <w:spacing w:after="0" w:line="195" w:lineRule="exact"/>
              <w:rPr>
                <w:sz w:val="20"/>
                <w:szCs w:val="20"/>
                <w:color w:val="auto"/>
              </w:rPr>
            </w:pPr>
            <w:r>
              <w:rPr>
                <w:rFonts w:ascii="Arial" w:cs="Arial" w:eastAsia="Arial" w:hAnsi="Arial"/>
                <w:sz w:val="18"/>
                <w:szCs w:val="18"/>
                <w:color w:val="auto"/>
              </w:rPr>
              <w:t>By:</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George H. Kirby III</w:t>
            </w:r>
          </w:p>
        </w:tc>
        <w:tc>
          <w:tcPr>
            <w:tcW w:w="1280" w:type="dxa"/>
            <w:vAlign w:val="bottom"/>
          </w:tcPr>
          <w:p>
            <w:pPr>
              <w:spacing w:after="0"/>
              <w:rPr>
                <w:sz w:val="16"/>
                <w:szCs w:val="16"/>
                <w:color w:val="auto"/>
              </w:rPr>
            </w:pPr>
          </w:p>
        </w:tc>
      </w:tr>
      <w:tr>
        <w:trPr>
          <w:trHeight w:val="230"/>
        </w:trPr>
        <w:tc>
          <w:tcPr>
            <w:tcW w:w="60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280" w:type="dxa"/>
            <w:vAlign w:val="bottom"/>
          </w:tcPr>
          <w:p>
            <w:pPr>
              <w:spacing w:after="0"/>
              <w:rPr>
                <w:sz w:val="20"/>
                <w:szCs w:val="20"/>
                <w:color w:val="auto"/>
              </w:rPr>
            </w:pPr>
          </w:p>
        </w:tc>
      </w:tr>
      <w:tr>
        <w:trPr>
          <w:trHeight w:val="648"/>
        </w:trPr>
        <w:tc>
          <w:tcPr>
            <w:tcW w:w="6080" w:type="dxa"/>
            <w:vAlign w:val="bottom"/>
          </w:tcPr>
          <w:p>
            <w:pPr>
              <w:spacing w:after="0"/>
              <w:rPr>
                <w:sz w:val="20"/>
                <w:szCs w:val="20"/>
                <w:color w:val="auto"/>
              </w:rPr>
            </w:pPr>
            <w:r>
              <w:rPr>
                <w:rFonts w:ascii="Arial" w:cs="Arial" w:eastAsia="Arial" w:hAnsi="Arial"/>
                <w:sz w:val="18"/>
                <w:szCs w:val="18"/>
                <w:color w:val="auto"/>
              </w:rPr>
              <w:t>Date: December 9, 2016</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T. Shafer</w:t>
            </w:r>
          </w:p>
        </w:tc>
        <w:tc>
          <w:tcPr>
            <w:tcW w:w="1280" w:type="dxa"/>
            <w:vAlign w:val="bottom"/>
          </w:tcPr>
          <w:p>
            <w:pPr>
              <w:spacing w:after="0"/>
              <w:rPr>
                <w:sz w:val="24"/>
                <w:szCs w:val="24"/>
                <w:color w:val="auto"/>
              </w:rPr>
            </w:pPr>
          </w:p>
        </w:tc>
      </w:tr>
      <w:tr>
        <w:trPr>
          <w:trHeight w:val="195"/>
        </w:trPr>
        <w:tc>
          <w:tcPr>
            <w:tcW w:w="6080" w:type="dxa"/>
            <w:vAlign w:val="bottom"/>
          </w:tcPr>
          <w:p>
            <w:pPr>
              <w:ind w:left="5380"/>
              <w:spacing w:after="0" w:line="195" w:lineRule="exact"/>
              <w:rPr>
                <w:sz w:val="20"/>
                <w:szCs w:val="20"/>
                <w:color w:val="auto"/>
              </w:rPr>
            </w:pPr>
            <w:r>
              <w:rPr>
                <w:rFonts w:ascii="Arial" w:cs="Arial" w:eastAsia="Arial" w:hAnsi="Arial"/>
                <w:sz w:val="18"/>
                <w:szCs w:val="18"/>
                <w:color w:val="auto"/>
              </w:rPr>
              <w:t>By:</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Matthew T. Shafer</w:t>
            </w:r>
          </w:p>
        </w:tc>
        <w:tc>
          <w:tcPr>
            <w:tcW w:w="1280" w:type="dxa"/>
            <w:vAlign w:val="bottom"/>
          </w:tcPr>
          <w:p>
            <w:pPr>
              <w:spacing w:after="0"/>
              <w:rPr>
                <w:sz w:val="16"/>
                <w:szCs w:val="16"/>
                <w:color w:val="auto"/>
              </w:rPr>
            </w:pPr>
          </w:p>
        </w:tc>
      </w:tr>
      <w:tr>
        <w:trPr>
          <w:trHeight w:val="230"/>
        </w:trPr>
        <w:tc>
          <w:tcPr>
            <w:tcW w:w="60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280" w:type="dxa"/>
            <w:vAlign w:val="bottom"/>
          </w:tcPr>
          <w:p>
            <w:pPr>
              <w:spacing w:after="0"/>
              <w:rPr>
                <w:sz w:val="20"/>
                <w:szCs w:val="20"/>
                <w:color w:val="auto"/>
              </w:rPr>
            </w:pPr>
          </w:p>
        </w:tc>
      </w:tr>
      <w:tr>
        <w:trPr>
          <w:trHeight w:val="675"/>
        </w:trPr>
        <w:tc>
          <w:tcPr>
            <w:tcW w:w="6080" w:type="dxa"/>
            <w:vAlign w:val="bottom"/>
          </w:tcPr>
          <w:p>
            <w:pPr>
              <w:ind w:left="5620"/>
              <w:spacing w:after="0"/>
              <w:rPr>
                <w:sz w:val="20"/>
                <w:szCs w:val="20"/>
                <w:color w:val="auto"/>
              </w:rPr>
            </w:pPr>
            <w:r>
              <w:rPr>
                <w:rFonts w:ascii="Arial" w:cs="Arial" w:eastAsia="Arial" w:hAnsi="Arial"/>
                <w:sz w:val="18"/>
                <w:szCs w:val="18"/>
                <w:color w:val="auto"/>
              </w:rPr>
              <w:t>43</w:t>
            </w:r>
          </w:p>
        </w:tc>
        <w:tc>
          <w:tcPr>
            <w:tcW w:w="4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5"/>
        </w:trPr>
        <w:tc>
          <w:tcPr>
            <w:tcW w:w="60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61"/>
        </w:trPr>
        <w:tc>
          <w:tcPr>
            <w:tcW w:w="6080" w:type="dxa"/>
            <w:vAlign w:val="bottom"/>
            <w:shd w:val="clear" w:color="auto" w:fill="808080"/>
          </w:tcPr>
          <w:p>
            <w:pPr>
              <w:spacing w:after="0"/>
              <w:rPr>
                <w:sz w:val="5"/>
                <w:szCs w:val="5"/>
                <w:color w:val="auto"/>
              </w:rPr>
            </w:pPr>
          </w:p>
        </w:tc>
        <w:tc>
          <w:tcPr>
            <w:tcW w:w="4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44" w:name="page45"/>
    <w:bookmarkEnd w:id="44"/>
    <w:p>
      <w:pPr>
        <w:jc w:val="center"/>
        <w:ind w:right="80"/>
        <w:spacing w:after="0"/>
        <w:rPr>
          <w:sz w:val="20"/>
          <w:szCs w:val="20"/>
          <w:color w:val="auto"/>
        </w:rPr>
      </w:pPr>
      <w:r>
        <w:rPr>
          <w:rFonts w:ascii="Arial" w:cs="Arial" w:eastAsia="Arial" w:hAnsi="Arial"/>
          <w:sz w:val="18"/>
          <w:szCs w:val="18"/>
          <w:b w:val="1"/>
          <w:bCs w:val="1"/>
          <w:color w:val="auto"/>
        </w:rPr>
        <w:t>EXHIBITS INDEX</w:t>
      </w:r>
    </w:p>
    <w:p>
      <w:pPr>
        <w:spacing w:after="0" w:line="229" w:lineRule="exact"/>
        <w:rPr>
          <w:sz w:val="20"/>
          <w:szCs w:val="20"/>
          <w:color w:val="auto"/>
        </w:rPr>
      </w:pPr>
    </w:p>
    <w:p>
      <w:pPr>
        <w:ind w:left="80"/>
        <w:spacing w:after="0"/>
        <w:tabs>
          <w:tab w:leader="none" w:pos="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Amendment to Certificate of Incorporation of the Company, filed with the Secretary of State of the State of Delaware on October 21,</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2016 (incorporated by reference to Exhibit 3.1 to the Company’s Current Report on Form 8-K filed on October 21, 2016).</w:t>
      </w:r>
    </w:p>
    <w:p>
      <w:pPr>
        <w:spacing w:after="0" w:line="211" w:lineRule="exact"/>
        <w:rPr>
          <w:sz w:val="20"/>
          <w:szCs w:val="20"/>
          <w:color w:val="auto"/>
        </w:rPr>
      </w:pPr>
    </w:p>
    <w:p>
      <w:pPr>
        <w:ind w:left="480" w:right="260" w:hanging="447"/>
        <w:spacing w:after="0" w:line="277" w:lineRule="auto"/>
        <w:rPr>
          <w:sz w:val="20"/>
          <w:szCs w:val="20"/>
          <w:color w:val="auto"/>
        </w:rPr>
      </w:pPr>
      <w:r>
        <w:rPr>
          <w:rFonts w:ascii="Arial" w:cs="Arial" w:eastAsia="Arial" w:hAnsi="Arial"/>
          <w:sz w:val="18"/>
          <w:szCs w:val="18"/>
          <w:color w:val="auto"/>
        </w:rPr>
        <w:t>10.1 Employment Letter between the Company and Matthew Shafer dated August 23, 2016 (incorporated by reference from Exhibit 10.1 to the Current Report on Form 8-K filed August 29, 2016).</w:t>
      </w:r>
    </w:p>
    <w:p>
      <w:pPr>
        <w:spacing w:after="0" w:line="170" w:lineRule="exact"/>
        <w:rPr>
          <w:sz w:val="20"/>
          <w:szCs w:val="20"/>
          <w:color w:val="auto"/>
        </w:rPr>
      </w:pPr>
    </w:p>
    <w:p>
      <w:pPr>
        <w:ind w:left="480" w:right="560" w:hanging="447"/>
        <w:spacing w:after="0" w:line="277" w:lineRule="auto"/>
        <w:rPr>
          <w:sz w:val="20"/>
          <w:szCs w:val="20"/>
          <w:color w:val="auto"/>
        </w:rPr>
      </w:pPr>
      <w:r>
        <w:rPr>
          <w:rFonts w:ascii="Arial" w:cs="Arial" w:eastAsia="Arial" w:hAnsi="Arial"/>
          <w:sz w:val="18"/>
          <w:szCs w:val="18"/>
          <w:color w:val="auto"/>
        </w:rPr>
        <w:t>10.2 Letter Agreement between the Company and Mark A. Featherstone dated August 25, 2016 (incorporated by reference from Exhibit 10.3 to the Current Report on Form 8-K filed August 29, 2016).</w:t>
      </w:r>
    </w:p>
    <w:p>
      <w:pPr>
        <w:spacing w:after="0" w:line="170" w:lineRule="exact"/>
        <w:rPr>
          <w:sz w:val="20"/>
          <w:szCs w:val="20"/>
          <w:color w:val="auto"/>
        </w:rPr>
      </w:pPr>
    </w:p>
    <w:p>
      <w:pPr>
        <w:ind w:left="480" w:right="40" w:hanging="447"/>
        <w:spacing w:after="0" w:line="277" w:lineRule="auto"/>
        <w:rPr>
          <w:sz w:val="20"/>
          <w:szCs w:val="20"/>
          <w:color w:val="auto"/>
        </w:rPr>
      </w:pPr>
      <w:r>
        <w:rPr>
          <w:rFonts w:ascii="Arial" w:cs="Arial" w:eastAsia="Arial" w:hAnsi="Arial"/>
          <w:sz w:val="18"/>
          <w:szCs w:val="18"/>
          <w:color w:val="auto"/>
        </w:rPr>
        <w:t>10.3 Agreement by and between the Company and the U.S. Office of Naval Research dated September 13, 2016 (incorporated by reference to Exhibit 10.1 to the Company’s Current Report on Form 8-K filed on September 14, 2016).</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  Certification of Chief Executive Officer pursuant to Section 302 of the Sarbanes-Oxley Act of 2002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  Certification of Chief Financial Officer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 Certification of Chief Executive Officer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32.2* Certification of Chief Financial Officer pursuant to Section 302 of the Sarbanes-Oxley Act of 2002</w:t>
      </w:r>
    </w:p>
    <w:p>
      <w:pPr>
        <w:spacing w:after="0" w:line="225" w:lineRule="exact"/>
        <w:rPr>
          <w:sz w:val="20"/>
          <w:szCs w:val="20"/>
          <w:color w:val="auto"/>
        </w:rPr>
      </w:pPr>
    </w:p>
    <w:p>
      <w:pPr>
        <w:jc w:val="both"/>
        <w:ind w:left="480" w:hanging="417"/>
        <w:spacing w:after="0" w:line="273" w:lineRule="auto"/>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materials formatted in eXtensible Business Reporting Language (XBRL) from Ocean Power Technologies, Inc Quarterly Report on Form 10-Q for the quarter ended October 31, 2016, filed December 9, 2016: (i) Consolidated Balance Sheets – October 31, 2016 (unaudited) and April 30, 2016, (ii) Consolidated Statements of Operations (unaudited) – Three and Six Months Ended October 31, 2016 and 2015, (iii) Consolidated Statements of Comprehensive Loss (unaudited) – Three and Six Months Ended October 31, 2016 and 2015, (iv) Consolidated Statements of Cash Flows (unaudited) – Six Months Ended October 31, 2016 and 2015, (v) Consolidated Statements of Stockholders’ Equity (unaudited) – Six Months Ended October 31, 2016 and (vi) Notes to Consolidated Financial Statements.**</w:t>
      </w:r>
    </w:p>
    <w:p>
      <w:pPr>
        <w:spacing w:after="0" w:line="178" w:lineRule="exact"/>
        <w:rPr>
          <w:rFonts w:ascii="Arial" w:cs="Arial" w:eastAsia="Arial" w:hAnsi="Arial"/>
          <w:sz w:val="17"/>
          <w:szCs w:val="17"/>
          <w:color w:val="auto"/>
        </w:rPr>
      </w:pPr>
    </w:p>
    <w:p>
      <w:pPr>
        <w:jc w:val="both"/>
        <w:ind w:left="480"/>
        <w:spacing w:after="0" w:line="264" w:lineRule="auto"/>
        <w:rPr>
          <w:rFonts w:ascii="Arial" w:cs="Arial" w:eastAsia="Arial" w:hAnsi="Arial"/>
          <w:sz w:val="17"/>
          <w:szCs w:val="17"/>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rFonts w:ascii="Arial" w:cs="Arial" w:eastAsia="Arial" w:hAnsi="Arial"/>
          <w:sz w:val="17"/>
          <w:szCs w:val="17"/>
          <w:color w:val="auto"/>
        </w:rPr>
      </w:pPr>
    </w:p>
    <w:p>
      <w:pPr>
        <w:jc w:val="both"/>
        <w:ind w:left="480" w:firstLine="9"/>
        <w:spacing w:after="0" w:line="264" w:lineRule="auto"/>
        <w:tabs>
          <w:tab w:leader="none" w:pos="7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320"/>
          </w:cols>
          <w:pgMar w:left="340" w:top="580" w:right="239" w:bottom="1440" w:gutter="0" w:footer="0" w:header="0"/>
        </w:sectPr>
      </w:pPr>
    </w:p>
    <w:bookmarkStart w:id="45" w:name="page46"/>
    <w:bookmarkEnd w:id="45"/>
    <w:p>
      <w:pPr>
        <w:ind w:left="1036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certify that:</w:t>
      </w:r>
    </w:p>
    <w:p>
      <w:pPr>
        <w:spacing w:after="0" w:line="22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07"/>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2016</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George H. Kirby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91" w:right="239" w:bottom="1440" w:gutter="0" w:footer="0" w:header="0"/>
        </w:sectPr>
      </w:pPr>
    </w:p>
    <w:bookmarkStart w:id="46" w:name="page47"/>
    <w:bookmarkEnd w:id="46"/>
    <w:p>
      <w:pPr>
        <w:ind w:left="1036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2016</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Matthew T. Shafer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ind w:left="1036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2016,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 December 9, 2016</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George H. Kirby III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2016,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 December 9, 2016</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Matthew T. Shafer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2"/>
    </w:lvl>
  </w:abstractNum>
  <w:abstractNum w:abstractNumId="6">
    <w:nsid w:val="3F2DBA31"/>
    <w:multiLevelType w:val="hybridMultilevel"/>
    <w:lvl w:ilvl="0">
      <w:lvlJc w:val="left"/>
      <w:lvlText w:val="%1)"/>
      <w:numFmt w:val="lowerLetter"/>
      <w:start w:val="3"/>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lowerLetter"/>
      <w:start w:val="1"/>
    </w:lvl>
    <w:lvl w:ilvl="1">
      <w:lvlJc w:val="left"/>
      <w:lvlText w:val="(%2)"/>
      <w:numFmt w:val="decimal"/>
      <w:start w:val="11"/>
    </w:lvl>
  </w:abstractNum>
  <w:abstractNum w:abstractNumId="9">
    <w:nsid w:val="62BBD95A"/>
    <w:multiLevelType w:val="hybridMultilevel"/>
    <w:lvl w:ilvl="0">
      <w:lvlJc w:val="left"/>
      <w:lvlText w:val="(%1)"/>
      <w:numFmt w:val="lowerLetter"/>
      <w:start w:val="1"/>
    </w:lvl>
    <w:lvl w:ilvl="1">
      <w:lvlJc w:val="left"/>
      <w:lvlText w:val="%2"/>
      <w:numFmt w:val="decimal"/>
      <w:start w:val="1"/>
    </w:lvl>
  </w:abstractNum>
  <w:abstractNum w:abstractNumId="10">
    <w:nsid w:val="436C6125"/>
    <w:multiLevelType w:val="hybridMultilevel"/>
    <w:lvl w:ilvl="0">
      <w:lvlJc w:val="left"/>
      <w:lvlText w:val="(%1)"/>
      <w:numFmt w:val="lowerRoman"/>
      <w:start w:val="2"/>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lowerRoman"/>
      <w:start w:val="2"/>
    </w:lvl>
  </w:abstractNum>
  <w:abstractNum w:abstractNumId="16">
    <w:nsid w:val="6763845E"/>
    <w:multiLevelType w:val="hybridMultilevel"/>
    <w:lvl w:ilvl="0">
      <w:lvlJc w:val="left"/>
      <w:lvlText w:val="%1"/>
      <w:numFmt w:val="decimal"/>
      <w:start w:val="101"/>
    </w:lvl>
    <w:lvl w:ilvl="1">
      <w:lvlJc w:val="left"/>
      <w:lvlText w:val="*"/>
      <w:numFmt w:val="bullet"/>
      <w:start w:val="1"/>
    </w:lvl>
  </w:abstractNum>
  <w:abstractNum w:abstractNumId="17">
    <w:nsid w:val="75A2A8D4"/>
    <w:multiLevelType w:val="hybridMultilevel"/>
    <w:lvl w:ilvl="0">
      <w:lvlJc w:val="left"/>
      <w:lvlText w:val="%1"/>
      <w:numFmt w:val="decimal"/>
      <w:start w:val="1"/>
    </w:lvl>
    <w:lvl w:ilvl="1">
      <w:lvlJc w:val="left"/>
      <w:lvlText w:val="**"/>
      <w:numFmt w:val="bullet"/>
      <w:start w:val="1"/>
    </w:lvl>
  </w:abstractNum>
  <w:abstractNum w:abstractNumId="18">
    <w:nsid w:val="8EDBDAB"/>
    <w:multiLevelType w:val="hybridMultilevel"/>
    <w:lvl w:ilvl="0">
      <w:lvlJc w:val="left"/>
      <w:lvlText w:val="%1"/>
      <w:numFmt w:val="decimal"/>
      <w:start w:val="101"/>
    </w:lvl>
    <w:lvl w:ilvl="1">
      <w:lvlJc w:val="left"/>
      <w:lvlText w:val="*"/>
      <w:numFmt w:val="bullet"/>
      <w:start w:val="1"/>
    </w:lvl>
  </w:abstractNum>
  <w:abstractNum w:abstractNumId="19">
    <w:nsid w:val="79838CB2"/>
    <w:multiLevelType w:val="hybridMultilevel"/>
    <w:lvl w:ilvl="0">
      <w:lvlJc w:val="left"/>
      <w:lvlText w:val="%1"/>
      <w:numFmt w:val="decimal"/>
      <w:start w:val="1"/>
    </w:lvl>
    <w:lvl w:ilvl="1">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2019-12-08T12:56:01Z</dcterms:created>
  <dcterms:modified xsi:type="dcterms:W3CDTF">2019-12-08T12:56:01Z</dcterms:modified>
</cp:coreProperties>
</file>