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860" w:right="1440" w:hanging="3852"/>
        <w:spacing w:after="0" w:line="500" w:lineRule="auto"/>
        <w:tabs>
          <w:tab w:leader="none" w:pos="6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780" w:right="1420" w:hanging="3772"/>
        <w:spacing w:after="0" w:line="500" w:lineRule="auto"/>
        <w:tabs>
          <w:tab w:leader="none" w:pos="66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001-33417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OCEAN POWER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1540" w:type="dxa"/>
        <w:tblCellMar>
          <w:top w:w="0" w:type="dxa"/>
          <w:left w:w="0" w:type="dxa"/>
          <w:bottom w:w="0" w:type="dxa"/>
          <w:right w:w="0" w:type="dxa"/>
        </w:tblCellMar>
      </w:tblPr>
      <w:tr>
        <w:trPr>
          <w:trHeight w:val="220"/>
        </w:trPr>
        <w:tc>
          <w:tcPr>
            <w:tcW w:w="4360" w:type="dxa"/>
            <w:vAlign w:val="bottom"/>
          </w:tcPr>
          <w:p>
            <w:pPr>
              <w:jc w:val="center"/>
              <w:ind w:right="1830"/>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22-2535818</w:t>
            </w:r>
          </w:p>
        </w:tc>
      </w:tr>
      <w:tr>
        <w:trPr>
          <w:trHeight w:val="216"/>
        </w:trPr>
        <w:tc>
          <w:tcPr>
            <w:tcW w:w="43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3"/>
              </w:rPr>
              <w:t>(State or Other Jurisdiction</w:t>
            </w:r>
          </w:p>
        </w:tc>
        <w:tc>
          <w:tcPr>
            <w:tcW w:w="326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360" w:type="dxa"/>
            <w:vAlign w:val="bottom"/>
          </w:tcPr>
          <w:p>
            <w:pPr>
              <w:jc w:val="center"/>
              <w:ind w:right="1810"/>
              <w:spacing w:after="0"/>
              <w:rPr>
                <w:sz w:val="20"/>
                <w:szCs w:val="20"/>
                <w:color w:val="auto"/>
              </w:rPr>
            </w:pPr>
            <w:r>
              <w:rPr>
                <w:rFonts w:ascii="Arial" w:cs="Arial" w:eastAsia="Arial" w:hAnsi="Arial"/>
                <w:sz w:val="18"/>
                <w:szCs w:val="18"/>
                <w:i w:val="1"/>
                <w:iCs w:val="1"/>
                <w:color w:val="auto"/>
                <w:w w:val="94"/>
              </w:rPr>
              <w:t>of Incorporation or Organization)</w:t>
            </w:r>
          </w:p>
        </w:tc>
        <w:tc>
          <w:tcPr>
            <w:tcW w:w="3260" w:type="dxa"/>
            <w:vAlign w:val="bottom"/>
          </w:tcPr>
          <w:p>
            <w:pPr>
              <w:jc w:val="center"/>
              <w:ind w:left="1830"/>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28 ENGELHARD DRIVE, SUITE B, MONROE TOWNSHIP, NJ 08831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OPTT</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NYSE American</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51" w:lineRule="exact"/>
        <w:rPr>
          <w:sz w:val="24"/>
          <w:szCs w:val="24"/>
          <w:color w:val="auto"/>
        </w:rPr>
      </w:pPr>
    </w:p>
    <w:p>
      <w:pPr>
        <w:spacing w:after="0" w:line="207" w:lineRule="exact"/>
        <w:tabs>
          <w:tab w:leader="none" w:pos="2920" w:val="left"/>
          <w:tab w:leader="none" w:pos="5740" w:val="left"/>
          <w:tab w:leader="none" w:pos="85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As of September 13, 2021, the number of outstanding shares of common stock of the registrant was 52,458,011.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41"/>
        </w:trPr>
        <w:tc>
          <w:tcPr>
            <w:tcW w:w="3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196"/>
        </w:trPr>
        <w:tc>
          <w:tcPr>
            <w:tcW w:w="3260" w:type="dxa"/>
            <w:vAlign w:val="bottom"/>
            <w:tcBorders>
              <w:bottom w:val="single" w:sz="8" w:color="0000EE"/>
            </w:tcBorders>
            <w:gridSpan w:val="11"/>
            <w:shd w:val="clear" w:color="auto" w:fill="CCEEFF"/>
          </w:tcPr>
          <w:p>
            <w:pPr>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7000" w:type="dxa"/>
            <w:vAlign w:val="bottom"/>
            <w:tcBorders>
              <w:bottom w:val="single" w:sz="8" w:color="CCEEFF"/>
            </w:tcBorders>
            <w:gridSpan w:val="10"/>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75"/>
        </w:trPr>
        <w:tc>
          <w:tcPr>
            <w:tcW w:w="10260" w:type="dxa"/>
            <w:vAlign w:val="bottom"/>
            <w:gridSpan w:val="21"/>
          </w:tcPr>
          <w:p>
            <w:pPr>
              <w:ind w:left="36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98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720" w:type="dxa"/>
            <w:vAlign w:val="bottom"/>
            <w:gridSpan w:val="19"/>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July 31, 2021 (unaudited) and April 30, 2021</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19"/>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for the three months ended July 31, 2021 and 2020</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720" w:type="dxa"/>
            <w:vAlign w:val="bottom"/>
            <w:gridSpan w:val="19"/>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Comprehensive Loss for the three months ended July 31, 2021 and 2020</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175"/>
        </w:trPr>
        <w:tc>
          <w:tcPr>
            <w:tcW w:w="3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18"/>
          </w:tcPr>
          <w:p>
            <w:pPr>
              <w:spacing w:after="0" w:line="17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Unaudited Consolidated Statement of Stockholders’ Equity for the three months ended July 31, 2021 and 2020</w:t>
              </w:r>
            </w:hyperlink>
          </w:p>
        </w:tc>
        <w:tc>
          <w:tcPr>
            <w:tcW w:w="16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6</w:t>
            </w:r>
          </w:p>
        </w:tc>
      </w:tr>
      <w:tr>
        <w:trPr>
          <w:trHeight w:val="21"/>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Unaudited Consolidated Statements of Cash Flows for the three months ended July 31, 2021 and 2020</w:t>
              </w:r>
            </w:hyperlink>
          </w:p>
        </w:tc>
        <w:tc>
          <w:tcPr>
            <w:tcW w:w="234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7</w:t>
            </w:r>
          </w:p>
        </w:tc>
      </w:tr>
      <w:tr>
        <w:trPr>
          <w:trHeight w:val="175"/>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19"/>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Consolidated Financial Statements</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99"/>
              </w:rPr>
              <w:t>8</w:t>
            </w:r>
          </w:p>
        </w:tc>
      </w:tr>
      <w:tr>
        <w:trPr>
          <w:trHeight w:val="21"/>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2. Management’s Discussion and Analysis of Financial Condition and Results of Operations</w:t>
              </w:r>
            </w:hyperlink>
          </w:p>
        </w:tc>
        <w:tc>
          <w:tcPr>
            <w:tcW w:w="2880" w:type="dxa"/>
            <w:vAlign w:val="bottom"/>
            <w:tcBorders>
              <w:bottom w:val="single" w:sz="8" w:color="CCEEFF"/>
            </w:tcBorders>
            <w:gridSpan w:val="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r>
      <w:tr>
        <w:trPr>
          <w:trHeight w:val="176"/>
        </w:trPr>
        <w:tc>
          <w:tcPr>
            <w:tcW w:w="10260" w:type="dxa"/>
            <w:vAlign w:val="bottom"/>
            <w:gridSpan w:val="21"/>
          </w:tcPr>
          <w:p>
            <w:pPr>
              <w:ind w:left="36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Item 3. Quantitative and Qualitative Disclosures About Market Risk</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4. Controls and Procedures</w:t>
              </w:r>
            </w:hyperlink>
          </w:p>
        </w:tc>
        <w:tc>
          <w:tcPr>
            <w:tcW w:w="7560" w:type="dxa"/>
            <w:vAlign w:val="bottom"/>
            <w:tcBorders>
              <w:bottom w:val="single" w:sz="8" w:color="CCEEFF"/>
            </w:tcBorders>
            <w:gridSpan w:val="1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175"/>
        </w:trPr>
        <w:tc>
          <w:tcPr>
            <w:tcW w:w="10260" w:type="dxa"/>
            <w:vAlign w:val="bottom"/>
            <w:gridSpan w:val="21"/>
          </w:tcPr>
          <w:p>
            <w:pPr>
              <w:spacing w:after="0" w:line="17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 OTHER INFORMATION</w:t>
              </w:r>
            </w:hyperlink>
          </w:p>
        </w:tc>
        <w:tc>
          <w:tcPr>
            <w:tcW w:w="980" w:type="dxa"/>
            <w:vAlign w:val="bottom"/>
          </w:tcPr>
          <w:p>
            <w:pPr>
              <w:spacing w:after="0"/>
              <w:rPr>
                <w:sz w:val="15"/>
                <w:szCs w:val="15"/>
                <w:color w:val="auto"/>
              </w:rPr>
            </w:pPr>
          </w:p>
        </w:tc>
      </w:tr>
      <w:tr>
        <w:trPr>
          <w:trHeight w:val="21"/>
        </w:trPr>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1. Legal Proceedings</w:t>
              </w:r>
            </w:hyperlink>
          </w:p>
        </w:tc>
        <w:tc>
          <w:tcPr>
            <w:tcW w:w="8000" w:type="dxa"/>
            <w:vAlign w:val="bottom"/>
            <w:tcBorders>
              <w:bottom w:val="single" w:sz="8" w:color="CCEEFF"/>
            </w:tcBorders>
            <w:gridSpan w:val="1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176"/>
        </w:trPr>
        <w:tc>
          <w:tcPr>
            <w:tcW w:w="10260" w:type="dxa"/>
            <w:vAlign w:val="bottom"/>
            <w:gridSpan w:val="21"/>
          </w:tcPr>
          <w:p>
            <w:pPr>
              <w:ind w:left="36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1A. Risk Factors</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990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2. Unregistered Sales of Equity Securities and Use of Proceeds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176"/>
        </w:trPr>
        <w:tc>
          <w:tcPr>
            <w:tcW w:w="36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3. Defaults Upon Senior Securities</w:t>
              </w:r>
            </w:hyperlink>
          </w:p>
        </w:tc>
        <w:tc>
          <w:tcPr>
            <w:tcW w:w="5000" w:type="dxa"/>
            <w:vAlign w:val="bottom"/>
            <w:tcBorders>
              <w:top w:val="single" w:sz="8" w:color="CCEEFF"/>
            </w:tcBorders>
            <w:gridSpan w:val="8"/>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4. Mine Safety Disclosures</w:t>
              </w:r>
            </w:hyperlink>
          </w:p>
        </w:tc>
        <w:tc>
          <w:tcPr>
            <w:tcW w:w="7560" w:type="dxa"/>
            <w:vAlign w:val="bottom"/>
            <w:tcBorders>
              <w:bottom w:val="single" w:sz="8" w:color="CCEEFF"/>
            </w:tcBorders>
            <w:gridSpan w:val="1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175"/>
        </w:trPr>
        <w:tc>
          <w:tcPr>
            <w:tcW w:w="10260" w:type="dxa"/>
            <w:vAlign w:val="bottom"/>
            <w:gridSpan w:val="21"/>
          </w:tcPr>
          <w:p>
            <w:pPr>
              <w:ind w:left="36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Item 5. Other Information</w:t>
              </w:r>
            </w:hyperlink>
          </w:p>
        </w:tc>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9900" w:type="dxa"/>
            <w:vAlign w:val="bottom"/>
            <w:gridSpan w:val="20"/>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6. Exhibits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439"/>
        </w:trPr>
        <w:tc>
          <w:tcPr>
            <w:tcW w:w="3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2"/>
          </w:tcPr>
          <w:p>
            <w:pPr>
              <w:spacing w:after="0"/>
              <w:rPr>
                <w:sz w:val="24"/>
                <w:szCs w:val="24"/>
                <w:color w:val="auto"/>
              </w:rPr>
            </w:pPr>
          </w:p>
        </w:tc>
        <w:tc>
          <w:tcPr>
            <w:tcW w:w="4800" w:type="dxa"/>
            <w:vAlign w:val="bottom"/>
            <w:tcBorders>
              <w:top w:val="single" w:sz="8" w:color="CCEEFF"/>
              <w:bottom w:val="single" w:sz="8" w:color="auto"/>
            </w:tcBorders>
            <w:gridSpan w:val="12"/>
          </w:tcPr>
          <w:p>
            <w:pPr>
              <w:jc w:val="right"/>
              <w:ind w:right="640"/>
              <w:spacing w:after="0"/>
              <w:rPr>
                <w:sz w:val="20"/>
                <w:szCs w:val="20"/>
                <w:color w:val="auto"/>
              </w:rPr>
            </w:pPr>
            <w:r>
              <w:rPr>
                <w:rFonts w:ascii="Arial" w:cs="Arial" w:eastAsia="Arial" w:hAnsi="Arial"/>
                <w:sz w:val="18"/>
                <w:szCs w:val="18"/>
                <w:color w:val="auto"/>
              </w:rPr>
              <w:t>1</w:t>
            </w:r>
          </w:p>
        </w:tc>
        <w:tc>
          <w:tcPr>
            <w:tcW w:w="10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several factors, including market conditions, and our operating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operations, customers, suppliers and manufacturers and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which may use significant resources, may be unsuccessful or may expose us to unforeseen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commercially viable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that we will be successful in our efforts to commercialize our products or the timetable upon which commercialization can be achieved, if at all;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and our wave energy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relationships with our strategic partners may not be successful and we may not be successful in establishing additional relationships;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products and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2021,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38"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 $000’s, except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8"/>
                <w:szCs w:val="18"/>
                <w:color w:val="auto"/>
              </w:rPr>
              <w:t>July 31, 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540"/>
              <w:spacing w:after="0"/>
              <w:rPr>
                <w:sz w:val="20"/>
                <w:szCs w:val="20"/>
                <w:color w:val="auto"/>
              </w:rPr>
            </w:pPr>
            <w:r>
              <w:rPr>
                <w:rFonts w:ascii="Arial" w:cs="Arial" w:eastAsia="Arial" w:hAnsi="Arial"/>
                <w:sz w:val="18"/>
                <w:szCs w:val="18"/>
                <w:color w:val="auto"/>
              </w:rPr>
              <w:t>April 30, 2021</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306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77,720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83,028</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Restricted cash, short-term</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9"/>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79,361</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84,439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Restricted cash, long-term</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540"/>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454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Right-of-use liability, current portion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Litigation payable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Liability classified stock awards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Paycheck protection program loan- current</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2,652</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4,694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 less current portion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6"/>
        </w:trPr>
        <w:tc>
          <w:tcPr>
            <w:tcW w:w="6840" w:type="dxa"/>
            <w:vAlign w:val="bottom"/>
          </w:tcPr>
          <w:p>
            <w:pPr>
              <w:spacing w:after="0"/>
              <w:rPr>
                <w:sz w:val="20"/>
                <w:szCs w:val="20"/>
                <w:color w:val="auto"/>
              </w:rPr>
            </w:pPr>
            <w:r>
              <w:rPr>
                <w:rFonts w:ascii="Arial" w:cs="Arial" w:eastAsia="Arial" w:hAnsi="Arial"/>
                <w:sz w:val="18"/>
                <w:szCs w:val="18"/>
                <w:color w:val="auto"/>
              </w:rPr>
              <w:t>Right-of-use liability, less current portion</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36"/>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84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 (Note 16)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w w:val="90"/>
              </w:rPr>
              <w:t>Preferred stock, $0.001 par value; authorized 5,000,000 shares, none issued or outstanding</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$0.001 par value; authorized 100,000,000 shares, issued</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52,458,011 shares</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Treasury stock, at cost; 21,040 shares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316,211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315,821</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(237,975)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(234,896)</w:t>
            </w: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77,765</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80,468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right"/>
              <w:ind w:right="106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272</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60" w:type="dxa"/>
            <w:vAlign w:val="bottom"/>
          </w:tcPr>
          <w:p>
            <w:pPr>
              <w:spacing w:after="0"/>
              <w:rPr>
                <w:sz w:val="20"/>
                <w:szCs w:val="20"/>
                <w:color w:val="auto"/>
              </w:rPr>
            </w:pPr>
            <w:r>
              <w:rPr>
                <w:rFonts w:ascii="Arial" w:cs="Arial" w:eastAsia="Arial" w:hAnsi="Arial"/>
                <w:sz w:val="18"/>
                <w:szCs w:val="18"/>
                <w:color w:val="auto"/>
              </w:rPr>
              <w:t>Cost of revenues</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loss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6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2,909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6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Gain on extinguishment of PPP loan</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6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3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before income taxes</w:t>
            </w:r>
          </w:p>
        </w:tc>
        <w:tc>
          <w:tcPr>
            <w:tcW w:w="6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(4,120)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(3,385)</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6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36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62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w:t>
            </w:r>
          </w:p>
        </w:tc>
        <w:tc>
          <w:tcPr>
            <w:tcW w:w="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180"/>
              <w:spacing w:after="0"/>
              <w:rPr>
                <w:sz w:val="20"/>
                <w:szCs w:val="20"/>
                <w:color w:val="auto"/>
              </w:rPr>
            </w:pPr>
            <w:r>
              <w:rPr>
                <w:rFonts w:ascii="Arial" w:cs="Arial" w:eastAsia="Arial" w:hAnsi="Arial"/>
                <w:sz w:val="18"/>
                <w:szCs w:val="18"/>
                <w:color w:val="auto"/>
                <w:w w:val="97"/>
              </w:rPr>
              <w:t>Weighted average shares used to compute basic and diluted net loss per share</w:t>
            </w: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52,458,011</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15,677,331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5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 July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34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(3,079)</w:t>
            </w:r>
          </w:p>
        </w:tc>
        <w:tc>
          <w:tcPr>
            <w:tcW w:w="1420" w:type="dxa"/>
            <w:vAlign w:val="bottom"/>
            <w:gridSpan w:val="2"/>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(3,385)</w:t>
            </w:r>
          </w:p>
        </w:tc>
      </w:tr>
      <w:tr>
        <w:trPr>
          <w:trHeight w:val="236"/>
        </w:trPr>
        <w:tc>
          <w:tcPr>
            <w:tcW w:w="49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15</w:t>
            </w:r>
          </w:p>
        </w:tc>
      </w:tr>
      <w:tr>
        <w:trPr>
          <w:trHeight w:val="230"/>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Balances at May 1, 2021 Net loss</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Share-based compensation Other comprehensive gain/(loss)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July 31, 2021</w:t>
      </w:r>
    </w:p>
    <w:p>
      <w:pPr>
        <w:spacing w:after="0" w:line="20" w:lineRule="exact"/>
        <w:rPr>
          <w:sz w:val="20"/>
          <w:szCs w:val="20"/>
          <w:color w:val="auto"/>
        </w:rPr>
      </w:pPr>
      <w:r>
        <w:rPr>
          <w:sz w:val="20"/>
          <w:szCs w:val="20"/>
          <w:color w:val="auto"/>
        </w:rPr>
        <w:br w:type="column"/>
      </w:r>
    </w:p>
    <w:p>
      <w:pPr>
        <w:ind w:left="13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 $000’s, except share data)</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Three Months Ended July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right="201"/>
              <w:spacing w:after="0" w:line="205" w:lineRule="exact"/>
              <w:rPr>
                <w:sz w:val="20"/>
                <w:szCs w:val="20"/>
                <w:color w:val="auto"/>
              </w:rPr>
            </w:pPr>
            <w:r>
              <w:rPr>
                <w:rFonts w:ascii="Arial" w:cs="Arial" w:eastAsia="Arial" w:hAnsi="Arial"/>
                <w:sz w:val="18"/>
                <w:szCs w:val="18"/>
                <w:b w:val="1"/>
                <w:bCs w:val="1"/>
                <w:color w:val="auto"/>
                <w:w w:val="90"/>
              </w:rPr>
              <w:t>Accumulated</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421"/>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55"/>
        </w:trPr>
        <w:tc>
          <w:tcPr>
            <w:tcW w:w="1580" w:type="dxa"/>
            <w:vAlign w:val="bottom"/>
            <w:gridSpan w:val="3"/>
          </w:tcPr>
          <w:p>
            <w:pPr>
              <w:ind w:left="26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5"/>
          </w:tcPr>
          <w:p>
            <w:pPr>
              <w:jc w:val="right"/>
              <w:ind w:right="341"/>
              <w:spacing w:after="0"/>
              <w:rPr>
                <w:sz w:val="20"/>
                <w:szCs w:val="20"/>
                <w:color w:val="auto"/>
              </w:rPr>
            </w:pPr>
            <w:r>
              <w:rPr>
                <w:rFonts w:ascii="Arial" w:cs="Arial" w:eastAsia="Arial" w:hAnsi="Arial"/>
                <w:sz w:val="18"/>
                <w:szCs w:val="18"/>
                <w:b w:val="1"/>
                <w:bCs w:val="1"/>
                <w:color w:val="auto"/>
                <w:w w:val="99"/>
              </w:rPr>
              <w:t>Treasury Shares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300" w:type="dxa"/>
            <w:vAlign w:val="bottom"/>
            <w:gridSpan w:val="4"/>
          </w:tcPr>
          <w:p>
            <w:pPr>
              <w:ind w:left="120"/>
              <w:spacing w:after="0"/>
              <w:rPr>
                <w:sz w:val="20"/>
                <w:szCs w:val="20"/>
                <w:color w:val="auto"/>
              </w:rPr>
            </w:pPr>
            <w:r>
              <w:rPr>
                <w:rFonts w:ascii="Arial" w:cs="Arial" w:eastAsia="Arial" w:hAnsi="Arial"/>
                <w:sz w:val="18"/>
                <w:szCs w:val="18"/>
                <w:b w:val="1"/>
                <w:bCs w:val="1"/>
                <w:color w:val="auto"/>
              </w:rPr>
              <w:t>Accumulated</w:t>
            </w:r>
          </w:p>
        </w:tc>
        <w:tc>
          <w:tcPr>
            <w:tcW w:w="1560" w:type="dxa"/>
            <w:vAlign w:val="bottom"/>
            <w:gridSpan w:val="4"/>
          </w:tcPr>
          <w:p>
            <w:pPr>
              <w:jc w:val="center"/>
              <w:ind w:right="81"/>
              <w:spacing w:after="0"/>
              <w:rPr>
                <w:sz w:val="20"/>
                <w:szCs w:val="20"/>
                <w:color w:val="auto"/>
              </w:rPr>
            </w:pPr>
            <w:r>
              <w:rPr>
                <w:rFonts w:ascii="Arial" w:cs="Arial" w:eastAsia="Arial" w:hAnsi="Arial"/>
                <w:sz w:val="18"/>
                <w:szCs w:val="18"/>
                <w:b w:val="1"/>
                <w:bCs w:val="1"/>
                <w:color w:val="auto"/>
                <w:w w:val="88"/>
              </w:rPr>
              <w:t>Comprehensive</w:t>
            </w:r>
          </w:p>
        </w:tc>
        <w:tc>
          <w:tcPr>
            <w:tcW w:w="11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9"/>
              </w:rPr>
              <w:t>Stockholders’</w:t>
            </w:r>
          </w:p>
        </w:tc>
      </w:tr>
      <w:tr>
        <w:trPr>
          <w:trHeight w:val="236"/>
        </w:trPr>
        <w:tc>
          <w:tcPr>
            <w:tcW w:w="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Shares</w:t>
            </w: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Equity</w:t>
            </w:r>
          </w:p>
        </w:tc>
        <w:tc>
          <w:tcPr>
            <w:tcW w:w="60" w:type="dxa"/>
            <w:vAlign w:val="bottom"/>
          </w:tcPr>
          <w:p>
            <w:pPr>
              <w:spacing w:after="0"/>
              <w:rPr>
                <w:sz w:val="20"/>
                <w:szCs w:val="20"/>
                <w:color w:val="auto"/>
              </w:rPr>
            </w:pPr>
          </w:p>
        </w:tc>
      </w:tr>
      <w:tr>
        <w:trPr>
          <w:trHeight w:val="418"/>
        </w:trPr>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52,479,051</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52</w:t>
            </w: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(21,040)</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315,821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(234,896)</w:t>
            </w:r>
          </w:p>
        </w:tc>
        <w:tc>
          <w:tcPr>
            <w:tcW w:w="32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80,468</w:t>
            </w:r>
          </w:p>
        </w:tc>
        <w:tc>
          <w:tcPr>
            <w:tcW w:w="60" w:type="dxa"/>
            <w:vAlign w:val="bottom"/>
          </w:tcPr>
          <w:p>
            <w:pPr>
              <w:spacing w:after="0"/>
              <w:rPr>
                <w:sz w:val="24"/>
                <w:szCs w:val="24"/>
                <w:color w:val="auto"/>
              </w:rPr>
            </w:pPr>
          </w:p>
        </w:tc>
      </w:tr>
      <w:tr>
        <w:trPr>
          <w:trHeight w:val="216"/>
        </w:trPr>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(3,079)</w:t>
            </w:r>
          </w:p>
        </w:tc>
      </w:tr>
      <w:tr>
        <w:trPr>
          <w:trHeight w:val="230"/>
        </w:trPr>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w:t>
            </w:r>
          </w:p>
        </w:tc>
        <w:tc>
          <w:tcPr>
            <w:tcW w:w="60" w:type="dxa"/>
            <w:vAlign w:val="bottom"/>
          </w:tcPr>
          <w:p>
            <w:pPr>
              <w:spacing w:after="0"/>
              <w:rPr>
                <w:sz w:val="20"/>
                <w:szCs w:val="20"/>
                <w:color w:val="auto"/>
              </w:rPr>
            </w:pPr>
          </w:p>
        </w:tc>
      </w:tr>
      <w:tr>
        <w:trPr>
          <w:trHeight w:val="453"/>
        </w:trPr>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52,479,051</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52</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316,211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(237,975</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77,765</w:t>
            </w:r>
          </w:p>
        </w:tc>
        <w:tc>
          <w:tcPr>
            <w:tcW w:w="60" w:type="dxa"/>
            <w:vAlign w:val="bottom"/>
          </w:tcPr>
          <w:p>
            <w:pPr>
              <w:spacing w:after="0"/>
              <w:rPr>
                <w:sz w:val="19"/>
                <w:szCs w:val="19"/>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-882015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-607695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-179070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Three Months Ended July 31, 2020</w:t>
      </w:r>
    </w:p>
    <w:p>
      <w:pPr>
        <w:spacing w:after="0" w:line="27" w:lineRule="exact"/>
        <w:rPr>
          <w:sz w:val="20"/>
          <w:szCs w:val="20"/>
          <w:color w:val="auto"/>
        </w:rPr>
      </w:pPr>
    </w:p>
    <w:p>
      <w:pPr>
        <w:sectPr>
          <w:pgSz w:w="11900" w:h="16838" w:orient="portrait"/>
          <w:cols w:equalWidth="0" w:num="2">
            <w:col w:w="1940" w:space="460"/>
            <w:col w:w="8840"/>
          </w:cols>
          <w:pgMar w:left="320" w:top="688" w:right="339" w:bottom="1440" w:gutter="0" w:footer="0" w:header="0"/>
        </w:sectPr>
      </w:pPr>
    </w:p>
    <w:tbl>
      <w:tblPr>
        <w:tblLayout w:type="fixed"/>
        <w:tblInd w:w="0" w:type="dxa"/>
        <w:tblCellMar>
          <w:top w:w="0" w:type="dxa"/>
          <w:left w:w="0" w:type="dxa"/>
          <w:bottom w:w="0" w:type="dxa"/>
          <w:right w:w="0" w:type="dxa"/>
        </w:tblCellMar>
      </w:tblPr>
      <w:tr>
        <w:trPr>
          <w:trHeight w:val="205"/>
        </w:trPr>
        <w:tc>
          <w:tcPr>
            <w:tcW w:w="23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3"/>
          </w:tcPr>
          <w:p>
            <w:pPr>
              <w:jc w:val="center"/>
              <w:ind w:right="41"/>
              <w:spacing w:after="0" w:line="205"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Total</w:t>
            </w:r>
          </w:p>
        </w:tc>
      </w:tr>
      <w:tr>
        <w:trPr>
          <w:trHeight w:val="255"/>
        </w:trPr>
        <w:tc>
          <w:tcPr>
            <w:tcW w:w="2320" w:type="dxa"/>
            <w:vAlign w:val="bottom"/>
          </w:tcPr>
          <w:p>
            <w:pPr>
              <w:spacing w:after="0"/>
              <w:rPr>
                <w:sz w:val="22"/>
                <w:szCs w:val="22"/>
                <w:color w:val="auto"/>
              </w:rPr>
            </w:pPr>
          </w:p>
        </w:tc>
        <w:tc>
          <w:tcPr>
            <w:tcW w:w="1600" w:type="dxa"/>
            <w:vAlign w:val="bottom"/>
            <w:gridSpan w:val="4"/>
          </w:tcPr>
          <w:p>
            <w:pPr>
              <w:ind w:left="280"/>
              <w:spacing w:after="0"/>
              <w:rPr>
                <w:sz w:val="20"/>
                <w:szCs w:val="20"/>
                <w:color w:val="auto"/>
              </w:rPr>
            </w:pPr>
            <w:r>
              <w:rPr>
                <w:rFonts w:ascii="Arial" w:cs="Arial" w:eastAsia="Arial" w:hAnsi="Arial"/>
                <w:sz w:val="18"/>
                <w:szCs w:val="18"/>
                <w:b w:val="1"/>
                <w:bCs w:val="1"/>
                <w:color w:val="auto"/>
                <w:w w:val="90"/>
              </w:rPr>
              <w:t>Common Shares</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gridSpan w:val="5"/>
          </w:tcPr>
          <w:p>
            <w:pPr>
              <w:jc w:val="right"/>
              <w:ind w:right="381"/>
              <w:spacing w:after="0"/>
              <w:rPr>
                <w:sz w:val="20"/>
                <w:szCs w:val="20"/>
                <w:color w:val="auto"/>
              </w:rPr>
            </w:pPr>
            <w:r>
              <w:rPr>
                <w:rFonts w:ascii="Arial" w:cs="Arial" w:eastAsia="Arial" w:hAnsi="Arial"/>
                <w:sz w:val="18"/>
                <w:szCs w:val="18"/>
                <w:b w:val="1"/>
                <w:bCs w:val="1"/>
                <w:color w:val="auto"/>
              </w:rPr>
              <w:t>Treasury Shares</w:t>
            </w:r>
          </w:p>
        </w:tc>
        <w:tc>
          <w:tcPr>
            <w:tcW w:w="100" w:type="dxa"/>
            <w:vAlign w:val="bottom"/>
          </w:tcPr>
          <w:p>
            <w:pPr>
              <w:spacing w:after="0"/>
              <w:rPr>
                <w:sz w:val="22"/>
                <w:szCs w:val="22"/>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6"/>
              </w:rPr>
              <w:t>Paid-In</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22"/>
                <w:szCs w:val="22"/>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Stockholders’</w:t>
            </w:r>
          </w:p>
        </w:tc>
      </w:tr>
      <w:tr>
        <w:trPr>
          <w:trHeight w:val="237"/>
        </w:trPr>
        <w:tc>
          <w:tcPr>
            <w:tcW w:w="2320" w:type="dxa"/>
            <w:vAlign w:val="bottom"/>
          </w:tcPr>
          <w:p>
            <w:pPr>
              <w:spacing w:after="0"/>
              <w:rPr>
                <w:sz w:val="20"/>
                <w:szCs w:val="20"/>
                <w:color w:val="auto"/>
              </w:rPr>
            </w:pPr>
          </w:p>
        </w:tc>
        <w:tc>
          <w:tcPr>
            <w:tcW w:w="104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860" w:type="dxa"/>
            <w:vAlign w:val="bottom"/>
            <w:tcBorders>
              <w:top w:val="single" w:sz="8" w:color="auto"/>
            </w:tcBorders>
            <w:gridSpan w:val="2"/>
          </w:tcPr>
          <w:p>
            <w:pPr>
              <w:jc w:val="right"/>
              <w:ind w:right="201"/>
              <w:spacing w:after="0"/>
              <w:rPr>
                <w:sz w:val="20"/>
                <w:szCs w:val="20"/>
                <w:color w:val="auto"/>
              </w:rPr>
            </w:pPr>
            <w:r>
              <w:rPr>
                <w:rFonts w:ascii="Arial" w:cs="Arial" w:eastAsia="Arial" w:hAnsi="Arial"/>
                <w:sz w:val="18"/>
                <w:szCs w:val="18"/>
                <w:b w:val="1"/>
                <w:bCs w:val="1"/>
                <w:color w:val="auto"/>
                <w:w w:val="93"/>
              </w:rPr>
              <w:t>Shares</w:t>
            </w: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Amount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Capital</w:t>
            </w:r>
          </w:p>
        </w:tc>
        <w:tc>
          <w:tcPr>
            <w:tcW w:w="160" w:type="dxa"/>
            <w:vAlign w:val="bottom"/>
          </w:tcPr>
          <w:p>
            <w:pPr>
              <w:spacing w:after="0"/>
              <w:rPr>
                <w:sz w:val="20"/>
                <w:szCs w:val="20"/>
                <w:color w:val="auto"/>
              </w:rPr>
            </w:pPr>
          </w:p>
        </w:tc>
        <w:tc>
          <w:tcPr>
            <w:tcW w:w="1000" w:type="dxa"/>
            <w:vAlign w:val="bottom"/>
            <w:gridSpan w:val="2"/>
          </w:tcPr>
          <w:p>
            <w:pPr>
              <w:jc w:val="right"/>
              <w:ind w:right="32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85"/>
              </w:rPr>
              <w:t>Loss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2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Balances at May 1, 2020</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12,939,420</w:t>
            </w:r>
          </w:p>
        </w:tc>
        <w:tc>
          <w:tcPr>
            <w:tcW w:w="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13</w:t>
            </w:r>
          </w:p>
        </w:tc>
        <w:tc>
          <w:tcPr>
            <w:tcW w:w="8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(4,251)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231,101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(220,136)</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10,492</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(3,385)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(3,385)</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02"/>
        </w:trPr>
        <w:tc>
          <w:tcPr>
            <w:tcW w:w="232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Aspire financing, net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issuance costs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5,025,000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2,630</w:t>
            </w:r>
          </w:p>
        </w:tc>
        <w:tc>
          <w:tcPr>
            <w:tcW w:w="16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2,635</w:t>
            </w: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AGP At The Market offering,</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 of issuance costs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660,396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r>
      <w:tr>
        <w:trPr>
          <w:trHeight w:val="237"/>
        </w:trPr>
        <w:tc>
          <w:tcPr>
            <w:tcW w:w="2320" w:type="dxa"/>
            <w:vAlign w:val="bottom"/>
          </w:tcPr>
          <w:p>
            <w:pPr>
              <w:spacing w:after="0"/>
              <w:rPr>
                <w:sz w:val="20"/>
                <w:szCs w:val="20"/>
                <w:color w:val="auto"/>
              </w:rPr>
            </w:pPr>
            <w:r>
              <w:rPr>
                <w:rFonts w:ascii="Arial" w:cs="Arial" w:eastAsia="Arial" w:hAnsi="Arial"/>
                <w:sz w:val="18"/>
                <w:szCs w:val="18"/>
                <w:color w:val="auto"/>
              </w:rPr>
              <w:t>Other comprehensive gain</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30"/>
        </w:trPr>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at July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18,624,816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234,089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(223,521</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 July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5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(3,079)</w:t>
            </w:r>
          </w:p>
        </w:tc>
        <w:tc>
          <w:tcPr>
            <w:tcW w:w="14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(3,385)</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Foreign exchange gain</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of fixed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right of use asset</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Gain on extinguishment of PPP Loan</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116</w:t>
            </w:r>
          </w:p>
        </w:tc>
      </w:tr>
      <w:tr>
        <w:trPr>
          <w:trHeight w:val="216"/>
        </w:trPr>
        <w:tc>
          <w:tcPr>
            <w:tcW w:w="67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84</w:t>
            </w:r>
          </w:p>
        </w:tc>
      </w:tr>
      <w:tr>
        <w:trPr>
          <w:trHeight w:val="216"/>
        </w:trPr>
        <w:tc>
          <w:tcPr>
            <w:tcW w:w="6760" w:type="dxa"/>
            <w:vAlign w:val="bottom"/>
          </w:tcPr>
          <w:p>
            <w:pPr>
              <w:ind w:left="54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181</w:t>
            </w:r>
          </w:p>
        </w:tc>
      </w:tr>
      <w:tr>
        <w:trPr>
          <w:trHeight w:val="216"/>
        </w:trPr>
        <w:tc>
          <w:tcPr>
            <w:tcW w:w="676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8</w:t>
            </w:r>
          </w:p>
        </w:tc>
      </w:tr>
      <w:tr>
        <w:trPr>
          <w:trHeight w:val="216"/>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381</w:t>
            </w:r>
          </w:p>
        </w:tc>
      </w:tr>
      <w:tr>
        <w:trPr>
          <w:trHeight w:val="216"/>
        </w:trPr>
        <w:tc>
          <w:tcPr>
            <w:tcW w:w="6760" w:type="dxa"/>
            <w:vAlign w:val="bottom"/>
          </w:tcPr>
          <w:p>
            <w:pPr>
              <w:ind w:left="540"/>
              <w:spacing w:after="0"/>
              <w:rPr>
                <w:sz w:val="20"/>
                <w:szCs w:val="20"/>
                <w:color w:val="auto"/>
              </w:rPr>
            </w:pPr>
            <w:r>
              <w:rPr>
                <w:rFonts w:ascii="Arial" w:cs="Arial" w:eastAsia="Arial" w:hAnsi="Arial"/>
                <w:sz w:val="18"/>
                <w:szCs w:val="18"/>
                <w:color w:val="auto"/>
              </w:rPr>
              <w:t>Change in lease liability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6"/>
        </w:trPr>
        <w:tc>
          <w:tcPr>
            <w:tcW w:w="6760" w:type="dxa"/>
            <w:vAlign w:val="bottom"/>
          </w:tcPr>
          <w:p>
            <w:pPr>
              <w:ind w:left="540"/>
              <w:spacing w:after="0"/>
              <w:rPr>
                <w:sz w:val="20"/>
                <w:szCs w:val="20"/>
                <w:color w:val="auto"/>
              </w:rPr>
            </w:pPr>
            <w:r>
              <w:rPr>
                <w:rFonts w:ascii="Arial" w:cs="Arial" w:eastAsia="Arial" w:hAnsi="Arial"/>
                <w:sz w:val="18"/>
                <w:szCs w:val="18"/>
                <w:color w:val="auto"/>
              </w:rPr>
              <w:t>Litigation Payable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(1,224)</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67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6760" w:type="dxa"/>
            <w:vAlign w:val="bottom"/>
            <w:tcBorders>
              <w:top w:val="single" w:sz="8" w:color="CCEEFF"/>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Proceeds from Paycheck Protection Program Loan</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890</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Aspire financing net of issuance costs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2,635</w:t>
            </w:r>
          </w:p>
        </w:tc>
      </w:tr>
      <w:tr>
        <w:trPr>
          <w:trHeight w:val="202"/>
        </w:trPr>
        <w:tc>
          <w:tcPr>
            <w:tcW w:w="6760" w:type="dxa"/>
            <w:vAlign w:val="bottom"/>
          </w:tcPr>
          <w:p>
            <w:pPr>
              <w:ind w:left="180"/>
              <w:spacing w:after="0" w:line="201" w:lineRule="exact"/>
              <w:rPr>
                <w:sz w:val="20"/>
                <w:szCs w:val="20"/>
                <w:color w:val="auto"/>
              </w:rPr>
            </w:pPr>
            <w:r>
              <w:rPr>
                <w:rFonts w:ascii="Arial" w:cs="Arial" w:eastAsia="Arial" w:hAnsi="Arial"/>
                <w:sz w:val="18"/>
                <w:szCs w:val="18"/>
                <w:color w:val="auto"/>
                <w:w w:val="94"/>
              </w:rPr>
              <w:t>Proceeds from issuance of common stock- AGP At The Market offering, net of issuance</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6760" w:type="dxa"/>
            <w:vAlign w:val="bottom"/>
          </w:tcPr>
          <w:p>
            <w:pPr>
              <w:ind w:left="18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243</w:t>
            </w:r>
          </w:p>
        </w:tc>
      </w:tr>
      <w:tr>
        <w:trPr>
          <w:trHeight w:val="236"/>
        </w:trPr>
        <w:tc>
          <w:tcPr>
            <w:tcW w:w="676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67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8"/>
                <w:szCs w:val="18"/>
                <w:color w:val="auto"/>
              </w:rPr>
            </w:pPr>
          </w:p>
        </w:tc>
      </w:tr>
      <w:tr>
        <w:trPr>
          <w:trHeight w:val="216"/>
        </w:trPr>
        <w:tc>
          <w:tcPr>
            <w:tcW w:w="67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(decrease) / increase in cash, cash equivalents and restricted cash</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r>
      <w:tr>
        <w:trPr>
          <w:trHeight w:val="236"/>
        </w:trPr>
        <w:tc>
          <w:tcPr>
            <w:tcW w:w="676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83,634</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10,930</w:t>
            </w:r>
          </w:p>
        </w:tc>
      </w:tr>
      <w:tr>
        <w:trPr>
          <w:trHeight w:val="230"/>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Prepaid financing costs reported in accrued expenses</w:t>
            </w:r>
          </w:p>
        </w:tc>
        <w:tc>
          <w:tcPr>
            <w:tcW w:w="15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40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ind w:left="37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We are a complete solutions provider, controlling the design, manufacturing, sales, installation, operations and maintenance of our products while working closely with partners that provide payloads, integration services, and marine installation capabilities. Our solutions provide distributed offshore power which is persistent, reliable, and economical along with power and communications for remote surface and subsea applications. Historically, funding from government agencies, such as research and development grants, accounted for a significant portion of the Company’s revenues. Today our goal is to generate the majority of our revenue from the sale or lease of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solutions and services.</w:t>
      </w:r>
    </w:p>
    <w:p>
      <w:pPr>
        <w:spacing w:after="0" w:line="16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10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2021, as filed with the SEC and elsewhere in this Form 10-Q. Certain items have been reclassified from prior periods to be consistent with current GAAP presentations.</w:t>
      </w:r>
    </w:p>
    <w:p>
      <w:pPr>
        <w:spacing w:after="0" w:line="19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 the three months ended July 31, 2021, and the fiscal year ended April 30, 2021, the Company incurred net losses of approximately $3.1 million and $14.8 million, respectively, and used cash in operations of approximately $5.3 million and $11.7 million, respectively.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performance of its products, its ability to market and commercialize its products and new products that it may develop, technology development, scalability of technology and production, dependence on skills of key personnel, concentration of customers and suppliers, deployment risks and integration of acquisitions, pending or threatened litigation, and the impact of COVID-19 on its business. The Company obtained equity financing through its At the Market Offering Agreement with A.G.P/Alliance Global Partners (“AGP”) and through its equity line financing with Aspire Capital, but the Company cannot be sure that additional equity and/or debt financing will be available to the Company as needed on acceptable terms, or at all. Management believes the Company’s current cash balance of $77.7 million is sufficient to fund its planned expenditures through at least September 2022.</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7, 2019, the Company entered into the 2019 ATM Facility with AGP, under which the Company may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including 12,342,506 shares in fiscal year 2021 with an aggregate market value of $18.7 million at an average price of $1.51 per share and paid AGP a sales commission of approximately $0.8 million related to those shares. The agreement was fully utilized and terminated on December 8, 2020.</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20, 2020, the Company entered into an At the Market Offering Agreement with AGP (the “2020 ATM Facility”), having capacity up to $100.0 million.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July 31, 2021, the Company had sold and issued an aggregate of 17,179,883 shares of its common stock with an aggregate market value of $50.0 million at an average price of $2.91 per share and paid AGP a sales commission of approximately $1.6 million related to those shares. A prospectus supplement would need to be filed for the Company to sell an additional amount under the 2020 ATM Facility.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including 5,025,000 shares in fiscal year 2021 with an aggregate market value of $2.9 million at an average price of $0.57 per share. The agreement was fully utilized and terminated on September 18, 2020.</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18, 2020, the Company entered into a new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stockholders on December 23, 2020 for the sale of 9,864,706 additional shares of common stock which exceeds the 19.99% limit of the outstanding common stock on the date of the agreement. Through July 31, 2021, the Company had sold an aggregate of 3,722,251 shares of common stock with an aggregate market value of $11.8 million at an average price of $3.17 per share pursuant to this common stock purchase agreement with approximately $1.0 million remaining on the facility as of July 31,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at the date of the consolidated financial statements and the reported amounts of revenues and expenses during the period. Significant items subject to such estimates and assumptions include, among other items, estimated costs to complete projects and percentage of completion of customer contracts for purposes of revenue recognition.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 invests excess cash in a money market account. The following table summarizes cash and cash equivalents as of July 31, 2021 and April 30,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July 31, 2021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2021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520" w:type="dxa"/>
            <w:vAlign w:val="bottom"/>
            <w:tcBorders>
              <w:top w:val="single" w:sz="8" w:color="auto"/>
            </w:tcBorders>
            <w:gridSpan w:val="5"/>
          </w:tcPr>
          <w:p>
            <w:pPr>
              <w:jc w:val="right"/>
              <w:ind w:right="127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Checking and savings accounts</w:t>
            </w:r>
          </w:p>
        </w:tc>
        <w:tc>
          <w:tcPr>
            <w:tcW w:w="28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Arial" w:cs="Arial" w:eastAsia="Arial" w:hAnsi="Arial"/>
                <w:sz w:val="18"/>
                <w:szCs w:val="18"/>
                <w:color w:val="auto"/>
              </w:rPr>
              <w:t>Money market account</w:t>
            </w: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76,698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81,178</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600" w:type="dxa"/>
            <w:vAlign w:val="bottom"/>
            <w:tcBorders>
              <w:top w:val="single" w:sz="8" w:color="CCEEFF"/>
              <w:bottom w:val="single" w:sz="8" w:color="CCEEFF"/>
            </w:tcBorders>
            <w:shd w:val="clear" w:color="auto" w:fill="CCEEFF"/>
          </w:tcPr>
          <w:p>
            <w:pPr>
              <w:spacing w:after="0"/>
              <w:rPr>
                <w:sz w:val="19"/>
                <w:szCs w:val="19"/>
                <w:color w:val="auto"/>
              </w:rPr>
            </w:pPr>
          </w:p>
        </w:tc>
        <w:tc>
          <w:tcPr>
            <w:tcW w:w="26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77,720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660" w:type="dxa"/>
            <w:vAlign w:val="bottom"/>
            <w:vMerge w:val="restart"/>
          </w:tcPr>
          <w:p>
            <w:pPr>
              <w:jc w:val="right"/>
              <w:ind w:right="115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letter of credit agreement with Santander Bank, N.A. (“Santander”). Cash of $157,000 is on deposit at Santander and serves as security for a letter of credit issued by Santander for the lease of warehouse/office space in Monroe Township, New Jersey. This agreement cannot be extended beyond July 31, 2025 and is cancelable at the discretion of the bank.</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Santander also issued two letters of credit to subsidiaries of Enel Green Power (“EGP”) pursuant to the Company’s contracts with EGP. The first letter of credit was issued in the amount of $126,000 that will be released 12 months after the PB3 PowerBuoy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(“PB3”) is fully deployed. The second letter of credit was issued in the amount of $645,000 and reduced to $323,000 in August 2020. The second letter of credit will be reduced by $64,000 once the PB3 is fully deployed and passes final acceptance testing. The remaining restricted amount of $258,000 will be released 12 months after the buoy is fully deployed.</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short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long term</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8"/>
                <w:szCs w:val="18"/>
                <w:b w:val="1"/>
                <w:bCs w:val="1"/>
                <w:color w:val="auto"/>
              </w:rPr>
              <w:t>July 31, 2021</w:t>
            </w: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1"/>
              </w:rPr>
              <w:t>April 30, 2021</w:t>
            </w:r>
          </w:p>
        </w:tc>
      </w:tr>
      <w:tr>
        <w:trPr>
          <w:trHeight w:val="202"/>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4"/>
          </w:tcPr>
          <w:p>
            <w:pPr>
              <w:jc w:val="right"/>
              <w:spacing w:after="0" w:line="201" w:lineRule="exact"/>
              <w:rPr>
                <w:sz w:val="20"/>
                <w:szCs w:val="20"/>
                <w:color w:val="auto"/>
              </w:rPr>
            </w:pPr>
            <w:r>
              <w:rPr>
                <w:rFonts w:ascii="Arial" w:cs="Arial" w:eastAsia="Arial" w:hAnsi="Arial"/>
                <w:sz w:val="18"/>
                <w:szCs w:val="18"/>
                <w:color w:val="auto"/>
              </w:rPr>
              <w:t>(in thousands)</w:t>
            </w:r>
          </w:p>
        </w:tc>
        <w:tc>
          <w:tcPr>
            <w:tcW w:w="1500" w:type="dxa"/>
            <w:vAlign w:val="bottom"/>
          </w:tcPr>
          <w:p>
            <w:pPr>
              <w:spacing w:after="0"/>
              <w:rPr>
                <w:sz w:val="17"/>
                <w:szCs w:val="17"/>
                <w:color w:val="auto"/>
              </w:rPr>
            </w:pPr>
          </w:p>
        </w:tc>
      </w:tr>
      <w:tr>
        <w:trPr>
          <w:trHeight w:val="216"/>
        </w:trPr>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77,720</w:t>
            </w:r>
          </w:p>
        </w:tc>
        <w:tc>
          <w:tcPr>
            <w:tcW w:w="420" w:type="dxa"/>
            <w:vAlign w:val="bottom"/>
            <w:gridSpan w:val="2"/>
          </w:tcPr>
          <w:p>
            <w:pPr>
              <w:jc w:val="right"/>
              <w:ind w:right="247"/>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83,028</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37"/>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78,326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83,634</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-607695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-334010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692"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Concentration of Credit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principally of accounts receivable and cash and cash equivalents. The Company believes that its credit risk is limited because the Company’s current contracts are with companies with strong financial strength. The Company invests its excess cash in a money market account and does not believe that it is exposed to any significant risks related to its cash and money market accounts. Cash and cash equivalents are also maintained at foreign financial institutions. Cash and cash equivalents in foreign financial institutions as of July 31, 2021 was $0.3 million.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shows the amount of the Company’s revenues derived from customers whose revenues accounted for at least 10% of the Company’s consolidated revenues for at least one of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Three months ended July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gridSpan w:val="3"/>
          </w:tcPr>
          <w:p>
            <w:pPr>
              <w:jc w:val="right"/>
              <w:ind w:right="567"/>
              <w:spacing w:after="0"/>
              <w:rPr>
                <w:sz w:val="20"/>
                <w:szCs w:val="20"/>
                <w:color w:val="auto"/>
              </w:rPr>
            </w:pPr>
            <w:r>
              <w:rPr>
                <w:rFonts w:ascii="Arial" w:cs="Arial" w:eastAsia="Arial" w:hAnsi="Arial"/>
                <w:sz w:val="18"/>
                <w:szCs w:val="18"/>
                <w:color w:val="auto"/>
                <w:w w:val="99"/>
              </w:rPr>
              <w:t>(in thousands)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3380" w:type="dxa"/>
            <w:vAlign w:val="bottom"/>
            <w:gridSpan w:val="2"/>
            <w:shd w:val="clear" w:color="auto" w:fill="CCEEFF"/>
          </w:tcPr>
          <w:p>
            <w:pPr>
              <w:jc w:val="right"/>
              <w:ind w:right="9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94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Harbour (p/k/a Premier Oil)</w:t>
            </w: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2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Valaris</w:t>
            </w:r>
          </w:p>
        </w:tc>
        <w:tc>
          <w:tcPr>
            <w:tcW w:w="2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 customer over 10%)</w:t>
            </w:r>
          </w:p>
        </w:tc>
        <w:tc>
          <w:tcPr>
            <w:tcW w:w="2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80" w:type="dxa"/>
            <w:vAlign w:val="bottom"/>
            <w:tcBorders>
              <w:bottom w:val="single" w:sz="8" w:color="auto"/>
            </w:tcBorders>
          </w:tcPr>
          <w:p>
            <w:pPr>
              <w:jc w:val="right"/>
              <w:ind w:right="916"/>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00" w:type="dxa"/>
            <w:vAlign w:val="bottom"/>
            <w:vMerge w:val="restart"/>
          </w:tcPr>
          <w:p>
            <w:pPr>
              <w:jc w:val="right"/>
              <w:ind w:right="930"/>
              <w:spacing w:after="0"/>
              <w:rPr>
                <w:sz w:val="20"/>
                <w:szCs w:val="20"/>
                <w:color w:val="auto"/>
              </w:rPr>
            </w:pPr>
            <w:r>
              <w:rPr>
                <w:rFonts w:ascii="Arial" w:cs="Arial" w:eastAsia="Arial" w:hAnsi="Arial"/>
                <w:sz w:val="18"/>
                <w:szCs w:val="18"/>
                <w:color w:val="auto"/>
              </w:rPr>
              <w:t>10</w:t>
            </w: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 Share-Based Compensation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following table summarizes share-based compensation related to the Company’s share-based plans by expense category for the three months ended July 31, 2021 and 2020:</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280" w:type="dxa"/>
            <w:vAlign w:val="bottom"/>
            <w:tcBorders>
              <w:bottom w:val="single" w:sz="8" w:color="auto"/>
            </w:tcBorders>
            <w:gridSpan w:val="5"/>
          </w:tcPr>
          <w:p>
            <w:pPr>
              <w:jc w:val="right"/>
              <w:ind w:right="227"/>
              <w:spacing w:after="0"/>
              <w:rPr>
                <w:sz w:val="20"/>
                <w:szCs w:val="20"/>
                <w:color w:val="auto"/>
              </w:rPr>
            </w:pPr>
            <w:r>
              <w:rPr>
                <w:rFonts w:ascii="Arial" w:cs="Arial" w:eastAsia="Arial" w:hAnsi="Arial"/>
                <w:sz w:val="18"/>
                <w:szCs w:val="18"/>
                <w:b w:val="1"/>
                <w:bCs w:val="1"/>
                <w:color w:val="auto"/>
              </w:rPr>
              <w:t>Three months ended July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260" w:type="dxa"/>
            <w:vAlign w:val="bottom"/>
          </w:tcPr>
          <w:p>
            <w:pPr>
              <w:spacing w:after="0"/>
              <w:rPr>
                <w:sz w:val="20"/>
                <w:szCs w:val="20"/>
                <w:color w:val="auto"/>
              </w:rPr>
            </w:pPr>
          </w:p>
        </w:tc>
        <w:tc>
          <w:tcPr>
            <w:tcW w:w="1220" w:type="dxa"/>
            <w:vAlign w:val="bottom"/>
            <w:tcBorders>
              <w:bottom w:val="single" w:sz="8" w:color="auto"/>
            </w:tcBorders>
          </w:tcPr>
          <w:p>
            <w:pPr>
              <w:jc w:val="right"/>
              <w:ind w:right="98"/>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6"/>
        </w:trPr>
        <w:tc>
          <w:tcPr>
            <w:tcW w:w="6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60" w:type="dxa"/>
            <w:vAlign w:val="bottom"/>
            <w:gridSpan w:val="4"/>
          </w:tcPr>
          <w:p>
            <w:pPr>
              <w:jc w:val="right"/>
              <w:ind w:right="787"/>
              <w:spacing w:after="0"/>
              <w:rPr>
                <w:sz w:val="20"/>
                <w:szCs w:val="20"/>
                <w:color w:val="auto"/>
              </w:rPr>
            </w:pPr>
            <w:r>
              <w:rPr>
                <w:rFonts w:ascii="Arial" w:cs="Arial" w:eastAsia="Arial" w:hAnsi="Arial"/>
                <w:sz w:val="18"/>
                <w:szCs w:val="18"/>
                <w:color w:val="auto"/>
              </w:rPr>
              <w:t>(in thousands)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w:t>
            </w:r>
          </w:p>
        </w:tc>
        <w:tc>
          <w:tcPr>
            <w:tcW w:w="1220" w:type="dxa"/>
            <w:vAlign w:val="bottom"/>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217</w:t>
            </w:r>
          </w:p>
        </w:tc>
        <w:tc>
          <w:tcPr>
            <w:tcW w:w="1400" w:type="dxa"/>
            <w:vAlign w:val="bottom"/>
            <w:gridSpan w:val="2"/>
            <w:shd w:val="clear" w:color="auto" w:fill="CCEEFF"/>
          </w:tcPr>
          <w:p>
            <w:pPr>
              <w:jc w:val="right"/>
              <w:ind w:right="108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37"/>
        </w:trPr>
        <w:tc>
          <w:tcPr>
            <w:tcW w:w="6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Pr>
          <w:p>
            <w:pPr>
              <w:spacing w:after="0"/>
              <w:rPr>
                <w:sz w:val="20"/>
                <w:szCs w:val="20"/>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29"/>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220" w:type="dxa"/>
            <w:vAlign w:val="bottom"/>
            <w:tcBorders>
              <w:top w:val="single" w:sz="8" w:color="auto"/>
              <w:bottom w:val="single" w:sz="8" w:color="auto"/>
            </w:tcBorders>
            <w:shd w:val="clear" w:color="auto" w:fill="CCEEFF"/>
          </w:tcPr>
          <w:p>
            <w:pPr>
              <w:jc w:val="right"/>
              <w:ind w:right="105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390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b w:val="1"/>
          <w:bCs w:val="1"/>
          <w:i w:val="1"/>
          <w:iCs w:val="1"/>
          <w:color w:val="auto"/>
        </w:rPr>
        <w:t>Revenue Recognition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July 31, 2021 and 2020. The Company presents shipping and handling costs, that occur after control of the promised goods or services transfer to the customer, as fulfillment costs rather than evaluating whether the shipping and handling activities are promised services to the customer.</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incentive awards, change orders, claims, anticipated losses, and others are recorded in the accounting period in which the events indicating a loss are known and the loss can be reasonably estimated. These loss projects are re-assessed for each subsequent reporting period until the project is complete. Such revisions could occur at any time and the effects may be material.</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three-month periods ended July 31, 2021 and 2020, all of the Company’s contracts were classified as firm fixed price.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As of July 31, 2021, the Company’s total remaining performance obligations, also referred to as backlog, totaled $0.4 million. The Company expects to recognize 100%, or $0.4 million, of the remaining performance obligations as revenue over the next twelve months.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enters into lease arrangements for its PB3 with certain customers.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Solutions Leasing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enters into lease arrangements with certain customers for their products and solutions. As of July 31, 2021, the Company had one lease arrangement with a remaining operating lease term of less than 10 months.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At inception of the contract, the Company evaluates the lease against the lease classification criteria within ASC Topic 842. If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or sales-type classification criteria are met, then the lease is accounted for as a finance lease. All others are treated as operating leases.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revenue from operating lease arrangements generally on a straight-line basis over the lease term which is presented in Revenues in the Consolidated Statement of Operations. The lease income for the three months ended July 31, 2021 and 2020 was immaterial.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Net Loss per Common Share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Basic and diluted net loss per common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unvested restricted stock issued to employees and non-employee directors, were excluded from the diluted loss per common share calculation due to their anti-dilutive effect.</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computing diluted net loss per common share on the Consolidated Statement of Operations, warrants on common stock, options to purchase shares of common stock and non-vested restricted stock issued to employees and non-employee directors, totaling 5,243,647 and 5,564,404 for the three months ended July 31, 2021 and 2020, respectively, were excluded from each of the computations as the effect would be anti-dilutive due to the Company’s net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Standards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This amendment replaces the incurred loss impairment methodology in current GAAP with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Derivatives and Hedging (Topic 815), and Leases (Topic 842)</w:t>
      </w:r>
      <w:r>
        <w:rPr>
          <w:rFonts w:ascii="Arial" w:cs="Arial" w:eastAsia="Arial" w:hAnsi="Arial"/>
          <w:sz w:val="17"/>
          <w:szCs w:val="17"/>
          <w:color w:val="auto"/>
        </w:rPr>
        <w:t>, which deferred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(3) Account Receivable and Contract Assets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provides further details on the balance sheet accounts of accounts receivable and contract assets from contracts with customers: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31, 2021</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30, 2021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260" w:type="dxa"/>
            <w:vAlign w:val="bottom"/>
          </w:tcPr>
          <w:p>
            <w:pPr>
              <w:spacing w:after="0"/>
              <w:rPr>
                <w:sz w:val="18"/>
                <w:szCs w:val="18"/>
                <w:color w:val="auto"/>
              </w:rPr>
            </w:pPr>
          </w:p>
        </w:tc>
        <w:tc>
          <w:tcPr>
            <w:tcW w:w="3440" w:type="dxa"/>
            <w:vAlign w:val="bottom"/>
            <w:gridSpan w:val="3"/>
          </w:tcPr>
          <w:p>
            <w:pPr>
              <w:jc w:val="right"/>
              <w:ind w:right="97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20" w:type="dxa"/>
            <w:vAlign w:val="bottom"/>
            <w:shd w:val="clear" w:color="auto" w:fill="CCEEFF"/>
          </w:tcPr>
          <w:p>
            <w:pPr>
              <w:jc w:val="right"/>
              <w:ind w:right="1256"/>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3"/>
              </w:rPr>
              <w:t>446</w:t>
            </w:r>
          </w:p>
        </w:tc>
        <w:tc>
          <w:tcPr>
            <w:tcW w:w="156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350</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Contract assets</w:t>
            </w:r>
          </w:p>
        </w:tc>
        <w:tc>
          <w:tcPr>
            <w:tcW w:w="142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w w:val="93"/>
              </w:rPr>
              <w:t>304</w:t>
            </w:r>
          </w:p>
        </w:tc>
        <w:tc>
          <w:tcPr>
            <w:tcW w:w="156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190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to its customers, generally without collateral, under normal payment terms (typically 30 to 60 days after invoicing). Generally, invoicing occurs after the related services are performed or control of goods have transferred to the customer. Accounts receivable represent an unconditional right to consideration arising from the Company’s performance under contracts with customers. The carrying value of such receivables represents their estimated realizable value.</w:t>
      </w:r>
    </w:p>
    <w:p>
      <w:pPr>
        <w:sectPr>
          <w:pgSz w:w="11900" w:h="16838" w:orient="portrait"/>
          <w:cols w:equalWidth="0" w:num="1">
            <w:col w:w="11240"/>
          </w:cols>
          <w:pgMar w:left="320" w:top="688"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contract assets balances during the period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right="111"/>
        <w:spacing w:after="0" w:line="266" w:lineRule="auto"/>
        <w:rPr>
          <w:sz w:val="20"/>
          <w:szCs w:val="20"/>
          <w:color w:val="auto"/>
        </w:rPr>
      </w:pPr>
      <w:r>
        <w:rPr>
          <w:rFonts w:ascii="Arial" w:cs="Arial" w:eastAsia="Arial" w:hAnsi="Arial"/>
          <w:sz w:val="18"/>
          <w:szCs w:val="18"/>
          <w:color w:val="auto"/>
        </w:rPr>
        <w:t>Transferred to receivables from contract assets recognized at the beginning of the period Revenue recognized and not billed as of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-281305</wp:posOffset>
            </wp:positionV>
            <wp:extent cx="570039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Net change in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1"/>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1191"/>
        <w:spacing w:after="0"/>
        <w:rPr>
          <w:sz w:val="20"/>
          <w:szCs w:val="20"/>
          <w:color w:val="auto"/>
        </w:rPr>
      </w:pPr>
      <w:r>
        <w:rPr>
          <w:rFonts w:ascii="Arial" w:cs="Arial" w:eastAsia="Arial" w:hAnsi="Arial"/>
          <w:sz w:val="18"/>
          <w:szCs w:val="18"/>
          <w:b w:val="1"/>
          <w:bCs w:val="1"/>
          <w:color w:val="auto"/>
        </w:rPr>
        <w:t>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08013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0135" cy="17145"/>
                    </a:xfrm>
                    <a:prstGeom prst="rect">
                      <a:avLst/>
                    </a:prstGeom>
                    <a:noFill/>
                  </pic:spPr>
                </pic:pic>
              </a:graphicData>
            </a:graphic>
          </wp:anchor>
        </w:drawing>
      </w:r>
    </w:p>
    <w:p>
      <w:pPr>
        <w:spacing w:after="0" w:line="15" w:lineRule="exact"/>
        <w:rPr>
          <w:sz w:val="20"/>
          <w:szCs w:val="20"/>
          <w:color w:val="auto"/>
        </w:rPr>
      </w:pPr>
    </w:p>
    <w:p>
      <w:pPr>
        <w:ind w:left="389"/>
        <w:spacing w:after="0"/>
        <w:rPr>
          <w:sz w:val="20"/>
          <w:szCs w:val="20"/>
          <w:color w:val="auto"/>
        </w:rPr>
      </w:pPr>
      <w:r>
        <w:rPr>
          <w:rFonts w:ascii="Arial" w:cs="Arial" w:eastAsia="Arial" w:hAnsi="Arial"/>
          <w:sz w:val="18"/>
          <w:szCs w:val="18"/>
          <w:color w:val="auto"/>
        </w:rPr>
        <w:t>(in thousands)</w:t>
      </w:r>
    </w:p>
    <w:p>
      <w:pPr>
        <w:spacing w:after="0" w:line="23" w:lineRule="exact"/>
        <w:rPr>
          <w:sz w:val="20"/>
          <w:szCs w:val="20"/>
          <w:color w:val="auto"/>
        </w:rPr>
      </w:pPr>
    </w:p>
    <w:p>
      <w:pPr>
        <w:ind w:left="1369" w:hanging="1369"/>
        <w:spacing w:after="0"/>
        <w:tabs>
          <w:tab w:leader="none" w:pos="1369" w:val="left"/>
        </w:tabs>
        <w:numPr>
          <w:ilvl w:val="0"/>
          <w:numId w:val="7"/>
        </w:numPr>
        <w:rPr>
          <w:rFonts w:ascii="Arial" w:cs="Arial" w:eastAsia="Arial" w:hAnsi="Arial"/>
          <w:sz w:val="17"/>
          <w:szCs w:val="17"/>
          <w:color w:val="auto"/>
        </w:rPr>
      </w:pPr>
      <w:r>
        <w:rPr>
          <w:rFonts w:ascii="Arial" w:cs="Arial" w:eastAsia="Arial" w:hAnsi="Arial"/>
          <w:sz w:val="17"/>
          <w:szCs w:val="17"/>
          <w:color w:val="auto"/>
        </w:rPr>
        <w:t>(190)</w:t>
      </w:r>
    </w:p>
    <w:p>
      <w:pPr>
        <w:spacing w:after="0" w:line="20" w:lineRule="exact"/>
        <w:rPr>
          <w:rFonts w:ascii="Arial" w:cs="Arial" w:eastAsia="Arial" w:hAnsi="Arial"/>
          <w:sz w:val="17"/>
          <w:szCs w:val="17"/>
          <w:color w:val="auto"/>
        </w:rPr>
      </w:pPr>
    </w:p>
    <w:p>
      <w:pPr>
        <w:ind w:left="1429"/>
        <w:spacing w:after="0"/>
        <w:rPr>
          <w:rFonts w:ascii="Arial" w:cs="Arial" w:eastAsia="Arial" w:hAnsi="Arial"/>
          <w:sz w:val="17"/>
          <w:szCs w:val="17"/>
          <w:color w:val="auto"/>
        </w:rPr>
      </w:pPr>
      <w:r>
        <w:rPr>
          <w:rFonts w:ascii="Arial" w:cs="Arial" w:eastAsia="Arial" w:hAnsi="Arial"/>
          <w:sz w:val="18"/>
          <w:szCs w:val="18"/>
          <w:color w:val="auto"/>
        </w:rPr>
        <w:t>304</w:t>
      </w:r>
    </w:p>
    <w:p>
      <w:pPr>
        <w:spacing w:after="0" w:line="49" w:lineRule="exact"/>
        <w:rPr>
          <w:sz w:val="20"/>
          <w:szCs w:val="20"/>
          <w:color w:val="auto"/>
        </w:rPr>
      </w:pPr>
    </w:p>
    <w:p>
      <w:pPr>
        <w:ind w:left="9"/>
        <w:spacing w:after="0"/>
        <w:tabs>
          <w:tab w:leader="none" w:pos="1409"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0801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11" w:space="720"/>
            <w:col w:w="2909"/>
          </w:cols>
          <w:pgMar w:left="320" w:top="688" w:right="339" w:bottom="1440" w:gutter="0" w:footer="0" w:header="0"/>
          <w:type w:val="continuous"/>
        </w:sectPr>
      </w:pPr>
    </w:p>
    <w:p>
      <w:pPr>
        <w:spacing w:after="0" w:line="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Contract assets include unbilled amounts typically resulting from arrangements whereby the right to payment is conditioned on completing additional tasks or services for a performance obligation.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at July 31, 2021 and April 30,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31, 2021</w:t>
            </w: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April 30, 2021</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80" w:type="dxa"/>
            <w:vAlign w:val="bottom"/>
            <w:gridSpan w:val="4"/>
          </w:tcPr>
          <w:p>
            <w:pPr>
              <w:jc w:val="right"/>
              <w:ind w:right="958"/>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434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580" w:type="dxa"/>
            <w:vAlign w:val="bottom"/>
            <w:gridSpan w:val="2"/>
            <w:shd w:val="clear" w:color="auto" w:fill="CCEEFF"/>
          </w:tcPr>
          <w:p>
            <w:pPr>
              <w:jc w:val="right"/>
              <w:ind w:right="1258"/>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Other receivables</w:t>
            </w:r>
          </w:p>
        </w:tc>
        <w:tc>
          <w:tcPr>
            <w:tcW w:w="2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29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Prepaid recruiting</w:t>
            </w:r>
          </w:p>
        </w:tc>
        <w:tc>
          <w:tcPr>
            <w:tcW w:w="2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other</w:t>
            </w:r>
          </w:p>
        </w:tc>
        <w:tc>
          <w:tcPr>
            <w:tcW w:w="29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192</w:t>
            </w:r>
          </w:p>
        </w:tc>
        <w:tc>
          <w:tcPr>
            <w:tcW w:w="480" w:type="dxa"/>
            <w:vAlign w:val="bottom"/>
          </w:tcPr>
          <w:p>
            <w:pPr>
              <w:spacing w:after="0"/>
              <w:rPr>
                <w:sz w:val="21"/>
                <w:szCs w:val="21"/>
                <w:color w:val="auto"/>
              </w:rPr>
            </w:pPr>
          </w:p>
        </w:tc>
      </w:tr>
      <w:tr>
        <w:trPr>
          <w:trHeight w:val="210"/>
        </w:trPr>
        <w:tc>
          <w:tcPr>
            <w:tcW w:w="660" w:type="dxa"/>
            <w:vAlign w:val="bottom"/>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296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190"/>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507</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125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6"/>
              </w:rPr>
              <w:t>487</w:t>
            </w:r>
          </w:p>
        </w:tc>
        <w:tc>
          <w:tcPr>
            <w:tcW w:w="100" w:type="dxa"/>
            <w:vAlign w:val="bottom"/>
            <w:tcBorders>
              <w:top w:val="single" w:sz="8" w:color="CCEEFF"/>
            </w:tcBorders>
          </w:tcPr>
          <w:p>
            <w:pPr>
              <w:spacing w:after="0"/>
              <w:rPr>
                <w:sz w:val="18"/>
                <w:szCs w:val="18"/>
                <w:color w:val="auto"/>
              </w:rPr>
            </w:pPr>
          </w:p>
        </w:tc>
        <w:tc>
          <w:tcPr>
            <w:tcW w:w="480" w:type="dxa"/>
            <w:vAlign w:val="bottom"/>
          </w:tcPr>
          <w:p>
            <w:pPr>
              <w:spacing w:after="0"/>
              <w:rPr>
                <w:sz w:val="18"/>
                <w:szCs w:val="18"/>
                <w:color w:val="auto"/>
              </w:rPr>
            </w:pPr>
          </w:p>
        </w:tc>
      </w:tr>
      <w:tr>
        <w:trPr>
          <w:trHeight w:val="439"/>
        </w:trPr>
        <w:tc>
          <w:tcPr>
            <w:tcW w:w="6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13</w:t>
            </w: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(5) Property and Equipment, net</w:t>
            </w: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960" w:type="dxa"/>
            <w:vAlign w:val="bottom"/>
            <w:gridSpan w:val="5"/>
          </w:tcPr>
          <w:p>
            <w:pPr>
              <w:spacing w:after="0"/>
              <w:rPr>
                <w:sz w:val="20"/>
                <w:szCs w:val="20"/>
                <w:color w:val="auto"/>
              </w:rPr>
            </w:pPr>
            <w:r>
              <w:rPr>
                <w:rFonts w:ascii="Arial" w:cs="Arial" w:eastAsia="Arial" w:hAnsi="Arial"/>
                <w:sz w:val="18"/>
                <w:szCs w:val="18"/>
                <w:color w:val="auto"/>
                <w:w w:val="99"/>
              </w:rPr>
              <w:t>The components of property and equipment, net as of July 31, 2021 and April 30, 2021 consisted of the following:</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6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July 31, 2021</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April 30, 2021</w:t>
            </w:r>
          </w:p>
        </w:tc>
      </w:tr>
      <w:tr>
        <w:trPr>
          <w:trHeight w:val="216"/>
        </w:trPr>
        <w:tc>
          <w:tcPr>
            <w:tcW w:w="6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20" w:type="dxa"/>
            <w:vAlign w:val="bottom"/>
            <w:gridSpan w:val="7"/>
          </w:tcPr>
          <w:p>
            <w:pPr>
              <w:jc w:val="right"/>
              <w:ind w:right="1420"/>
              <w:spacing w:after="0"/>
              <w:rPr>
                <w:sz w:val="20"/>
                <w:szCs w:val="20"/>
                <w:color w:val="auto"/>
              </w:rPr>
            </w:pPr>
            <w:r>
              <w:rPr>
                <w:rFonts w:ascii="Arial" w:cs="Arial" w:eastAsia="Arial" w:hAnsi="Arial"/>
                <w:sz w:val="18"/>
                <w:szCs w:val="18"/>
                <w:color w:val="auto"/>
              </w:rPr>
              <w:t>(in thousands)</w:t>
            </w:r>
          </w:p>
        </w:tc>
      </w:tr>
      <w:tr>
        <w:trPr>
          <w:trHeight w:val="216"/>
        </w:trPr>
        <w:tc>
          <w:tcPr>
            <w:tcW w:w="6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Computer equipment &amp; software</w:t>
            </w:r>
          </w:p>
        </w:tc>
        <w:tc>
          <w:tcPr>
            <w:tcW w:w="22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486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&amp; equipment</w:t>
            </w: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474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2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1"/>
                <w:szCs w:val="21"/>
                <w:color w:val="auto"/>
              </w:rPr>
            </w:pPr>
          </w:p>
        </w:tc>
      </w:tr>
      <w:tr>
        <w:trPr>
          <w:trHeight w:val="203"/>
        </w:trPr>
        <w:tc>
          <w:tcPr>
            <w:tcW w:w="660" w:type="dxa"/>
            <w:vAlign w:val="bottom"/>
          </w:tcPr>
          <w:p>
            <w:pPr>
              <w:spacing w:after="0"/>
              <w:rPr>
                <w:sz w:val="17"/>
                <w:szCs w:val="17"/>
                <w:color w:val="auto"/>
              </w:rPr>
            </w:pPr>
          </w:p>
        </w:tc>
        <w:tc>
          <w:tcPr>
            <w:tcW w:w="6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1,625</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1,619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660" w:type="dxa"/>
            <w:vAlign w:val="bottom"/>
          </w:tcPr>
          <w:p>
            <w:pPr>
              <w:spacing w:after="0"/>
              <w:rPr>
                <w:sz w:val="21"/>
                <w:szCs w:val="21"/>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(1,252)</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r>
      <w:tr>
        <w:trPr>
          <w:trHeight w:val="216"/>
        </w:trPr>
        <w:tc>
          <w:tcPr>
            <w:tcW w:w="660" w:type="dxa"/>
            <w:vAlign w:val="bottom"/>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$40,000 and $37,000 for the three-month periods ended July 31, 2021 and 2020,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Information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of July 31, 2021, the Company has one lease which has been classified as an operating lease per accounting guidance contained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The Company’s remaining term on this operating lease is less than 10 months. The maturity of lease payments remaining on this lease is</w:t>
      </w:r>
      <w:r>
        <w:rPr>
          <w:rFonts w:ascii="Arial" w:cs="Arial" w:eastAsia="Arial" w:hAnsi="Arial"/>
          <w:sz w:val="18"/>
          <w:szCs w:val="18"/>
          <w:i w:val="1"/>
          <w:iCs w:val="1"/>
          <w:color w:val="auto"/>
        </w:rPr>
        <w:t xml:space="preserve"> </w:t>
      </w:r>
      <w:r>
        <w:rPr>
          <w:rFonts w:ascii="Arial" w:cs="Arial" w:eastAsia="Arial" w:hAnsi="Arial"/>
          <w:sz w:val="18"/>
          <w:szCs w:val="18"/>
          <w:color w:val="auto"/>
        </w:rPr>
        <w:t>immaterial.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one lease for its facility located in Monroe Township, New Jersey that is used as warehouse/production space and the Company’s principal offices and corporate headquarters. The initial lease term is for 7 years which is set to expire in November of 2024 with an option to extend the lease for another 5 years. The lease is classified as an operating lease. The operating lease is included in right-of-use assets, lease liabilities- current and lease liabilities- long-term on the Company’s Consolidated Balance Sheets.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one lease located in Houston, Texas that was acquired as part of the 3Dent acquisition that is used as office space. The lease term is for 3 years, and is set to expire in January of 2023. The lease is classified as an operating lease, and included in the right-of-use assets, lease liabilities-current and lease liabilities- long-term on the Company’s Consolidated Balance Sheets.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one lease for additional office space also located in Houston, Texas. The lease was renewed for a 12-month term ending on June 30, 2022. As the lease term is 12 months, the asset was recognized directly to the profit and loss statement on a straight-line basis under ASC 842-20-25-2 and was not recognized as a right-of-use asset.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 Variable lease expenses, if any, are recorded as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operating lease cash flow payments for the three months ended July 31, 2021 and 2020 were $102,000 and $83,000,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5"/>
        </w:trPr>
        <w:tc>
          <w:tcPr>
            <w:tcW w:w="10780" w:type="dxa"/>
            <w:vAlign w:val="bottom"/>
            <w:gridSpan w:val="14"/>
          </w:tcPr>
          <w:p>
            <w:pPr>
              <w:spacing w:after="0"/>
              <w:rPr>
                <w:sz w:val="20"/>
                <w:szCs w:val="20"/>
                <w:color w:val="auto"/>
              </w:rPr>
            </w:pPr>
            <w:r>
              <w:rPr>
                <w:rFonts w:ascii="Arial" w:cs="Arial" w:eastAsia="Arial" w:hAnsi="Arial"/>
                <w:sz w:val="18"/>
                <w:szCs w:val="18"/>
                <w:color w:val="auto"/>
                <w:w w:val="91"/>
              </w:rPr>
              <w:t>The components of lease expense in the Consolidated Statement of Operations for the three months ended July 31, 2021 and 2020 were as follows: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34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8"/>
                <w:szCs w:val="18"/>
                <w:b w:val="1"/>
                <w:bCs w:val="1"/>
                <w:color w:val="auto"/>
              </w:rPr>
              <w:t>Three months ended July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gridSpan w:val="7"/>
          </w:tcPr>
          <w:p>
            <w:pPr>
              <w:jc w:val="right"/>
              <w:ind w:right="940"/>
              <w:spacing w:after="0"/>
              <w:rPr>
                <w:sz w:val="20"/>
                <w:szCs w:val="20"/>
                <w:color w:val="auto"/>
              </w:rPr>
            </w:pPr>
            <w:r>
              <w:rPr>
                <w:rFonts w:ascii="Arial" w:cs="Arial" w:eastAsia="Arial" w:hAnsi="Arial"/>
                <w:sz w:val="18"/>
                <w:szCs w:val="18"/>
                <w:color w:val="auto"/>
              </w:rPr>
              <w:t>(in thousands)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820" w:type="dxa"/>
            <w:vAlign w:val="bottom"/>
            <w:shd w:val="clear" w:color="auto" w:fill="CCEEFF"/>
          </w:tcPr>
          <w:p>
            <w:pPr>
              <w:jc w:val="right"/>
              <w:ind w:right="656"/>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780" w:type="dxa"/>
            <w:vAlign w:val="bottom"/>
            <w:gridSpan w:val="2"/>
            <w:shd w:val="clear" w:color="auto" w:fill="CCEEFF"/>
          </w:tcPr>
          <w:p>
            <w:pPr>
              <w:jc w:val="right"/>
              <w:ind w:right="347"/>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7440" w:type="dxa"/>
            <w:vAlign w:val="bottom"/>
            <w:gridSpan w:val="4"/>
          </w:tcPr>
          <w:p>
            <w:pPr>
              <w:spacing w:after="0"/>
              <w:rPr>
                <w:sz w:val="20"/>
                <w:szCs w:val="20"/>
                <w:color w:val="auto"/>
              </w:rPr>
            </w:pPr>
            <w:r>
              <w:rPr>
                <w:rFonts w:ascii="Arial" w:cs="Arial" w:eastAsia="Arial" w:hAnsi="Arial"/>
                <w:sz w:val="18"/>
                <w:szCs w:val="18"/>
                <w:color w:val="auto"/>
              </w:rPr>
              <w:t>Short-term lease cost</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82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20" w:type="dxa"/>
            <w:vAlign w:val="bottom"/>
            <w:gridSpan w:val="7"/>
          </w:tcPr>
          <w:p>
            <w:pPr>
              <w:spacing w:after="0"/>
              <w:rPr>
                <w:sz w:val="20"/>
                <w:szCs w:val="20"/>
                <w:color w:val="auto"/>
              </w:rPr>
            </w:pPr>
            <w:r>
              <w:rPr>
                <w:rFonts w:ascii="Arial" w:cs="Arial" w:eastAsia="Arial" w:hAnsi="Arial"/>
                <w:sz w:val="18"/>
                <w:szCs w:val="18"/>
                <w:color w:val="auto"/>
                <w:w w:val="95"/>
              </w:rPr>
              <w:t>Information related to the Company’s right-of use assets and lease liabilities as of July 31, 2021 was as follows:</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jc w:val="right"/>
              <w:ind w:right="1180"/>
              <w:spacing w:after="0"/>
              <w:rPr>
                <w:sz w:val="20"/>
                <w:szCs w:val="20"/>
                <w:color w:val="auto"/>
              </w:rPr>
            </w:pPr>
            <w:r>
              <w:rPr>
                <w:rFonts w:ascii="Arial" w:cs="Arial" w:eastAsia="Arial" w:hAnsi="Arial"/>
                <w:sz w:val="18"/>
                <w:szCs w:val="18"/>
                <w:b w:val="1"/>
                <w:bCs w:val="1"/>
                <w:color w:val="auto"/>
                <w:w w:val="95"/>
              </w:rPr>
              <w:t>July 31, 2021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4"/>
          </w:tcPr>
          <w:p>
            <w:pPr>
              <w:jc w:val="right"/>
              <w:ind w:right="267"/>
              <w:spacing w:after="0"/>
              <w:rPr>
                <w:sz w:val="20"/>
                <w:szCs w:val="20"/>
                <w:color w:val="auto"/>
              </w:rPr>
            </w:pPr>
            <w:r>
              <w:rPr>
                <w:rFonts w:ascii="Arial" w:cs="Arial" w:eastAsia="Arial" w:hAnsi="Arial"/>
                <w:sz w:val="18"/>
                <w:szCs w:val="18"/>
                <w:color w:val="auto"/>
                <w:w w:val="94"/>
              </w:rPr>
              <w:t>(in thousands)</w:t>
            </w:r>
          </w:p>
        </w:tc>
        <w:tc>
          <w:tcPr>
            <w:tcW w:w="80" w:type="dxa"/>
            <w:vAlign w:val="bottom"/>
          </w:tcPr>
          <w:p>
            <w:pPr>
              <w:spacing w:after="0"/>
              <w:rPr>
                <w:sz w:val="20"/>
                <w:szCs w:val="20"/>
                <w:color w:val="auto"/>
              </w:rPr>
            </w:pPr>
          </w:p>
        </w:tc>
        <w:tc>
          <w:tcPr>
            <w:tcW w:w="7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2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lease:</w:t>
            </w: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1140" w:type="dxa"/>
            <w:vAlign w:val="bottom"/>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Operating right-of-use asset, net</w:t>
            </w:r>
          </w:p>
        </w:tc>
        <w:tc>
          <w:tcPr>
            <w:tcW w:w="108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5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Right-of-use liability- current</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Right-of-use liability- long term</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lease liability</w:t>
            </w:r>
          </w:p>
        </w:tc>
        <w:tc>
          <w:tcPr>
            <w:tcW w:w="8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vMerge w:val="restart"/>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 operating leases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color w:val="auto"/>
                <w:w w:val="90"/>
              </w:rPr>
              <w:t>3.10 years</w:t>
            </w:r>
          </w:p>
        </w:tc>
        <w:tc>
          <w:tcPr>
            <w:tcW w:w="6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 operating leases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440" w:type="dxa"/>
            <w:vAlign w:val="bottom"/>
            <w:gridSpan w:val="4"/>
          </w:tcPr>
          <w:p>
            <w:pPr>
              <w:spacing w:after="0"/>
              <w:rPr>
                <w:sz w:val="20"/>
                <w:szCs w:val="20"/>
                <w:color w:val="auto"/>
              </w:rPr>
            </w:pPr>
            <w:r>
              <w:rPr>
                <w:rFonts w:ascii="Arial" w:cs="Arial" w:eastAsia="Arial" w:hAnsi="Arial"/>
                <w:sz w:val="18"/>
                <w:szCs w:val="18"/>
                <w:color w:val="auto"/>
              </w:rPr>
              <w:t>Total remaining lease payments under the Company’s operating leases are as follows: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jc w:val="right"/>
              <w:ind w:right="1100"/>
              <w:spacing w:after="0"/>
              <w:rPr>
                <w:sz w:val="20"/>
                <w:szCs w:val="20"/>
                <w:color w:val="auto"/>
              </w:rPr>
            </w:pPr>
            <w:r>
              <w:rPr>
                <w:rFonts w:ascii="Arial" w:cs="Arial" w:eastAsia="Arial" w:hAnsi="Arial"/>
                <w:sz w:val="18"/>
                <w:szCs w:val="18"/>
                <w:b w:val="1"/>
                <w:bCs w:val="1"/>
                <w:color w:val="auto"/>
              </w:rPr>
              <w:t>July 31, 2021</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5"/>
          </w:tcPr>
          <w:p>
            <w:pPr>
              <w:jc w:val="right"/>
              <w:ind w:right="340"/>
              <w:spacing w:after="0"/>
              <w:rPr>
                <w:sz w:val="20"/>
                <w:szCs w:val="20"/>
                <w:color w:val="auto"/>
              </w:rPr>
            </w:pPr>
            <w:r>
              <w:rPr>
                <w:rFonts w:ascii="Arial" w:cs="Arial" w:eastAsia="Arial" w:hAnsi="Arial"/>
                <w:sz w:val="18"/>
                <w:szCs w:val="18"/>
                <w:color w:val="auto"/>
              </w:rPr>
              <w:t>(in thousands)</w:t>
            </w:r>
          </w:p>
        </w:tc>
        <w:tc>
          <w:tcPr>
            <w:tcW w:w="740" w:type="dxa"/>
            <w:vAlign w:val="bottom"/>
            <w:gridSpan w:val="2"/>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1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year 2022</w:t>
            </w:r>
          </w:p>
        </w:tc>
        <w:tc>
          <w:tcPr>
            <w:tcW w:w="1080" w:type="dxa"/>
            <w:vAlign w:val="bottom"/>
            <w:gridSpan w:val="3"/>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2023</w:t>
            </w:r>
          </w:p>
        </w:tc>
        <w:tc>
          <w:tcPr>
            <w:tcW w:w="5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2025</w:t>
            </w:r>
          </w:p>
        </w:tc>
        <w:tc>
          <w:tcPr>
            <w:tcW w:w="51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bottom w:val="single" w:sz="8" w:color="CCEEFF"/>
            </w:tcBorders>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9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(183)</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July 31, 2021 and April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86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July 31, 2021</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 2021</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(in thousands)</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37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Contract loss reserve</w:t>
            </w: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3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3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598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3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6"/>
        </w:trPr>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3860" w:type="dxa"/>
            <w:vAlign w:val="bottom"/>
            <w:tcBorders>
              <w:top w:val="single" w:sz="8" w:color="CCEEFF"/>
              <w:bottom w:val="single" w:sz="8" w:color="CCEEFF"/>
            </w:tcBorders>
            <w:shd w:val="clear" w:color="auto" w:fill="CCEEFF"/>
          </w:tcPr>
          <w:p>
            <w:pPr>
              <w:spacing w:after="0"/>
              <w:rPr>
                <w:sz w:val="19"/>
                <w:szCs w:val="19"/>
                <w:color w:val="auto"/>
              </w:rPr>
            </w:pPr>
          </w:p>
        </w:tc>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580" w:type="dxa"/>
            <w:vAlign w:val="bottom"/>
            <w:vMerge w:val="restart"/>
          </w:tcPr>
          <w:p>
            <w:pPr>
              <w:jc w:val="right"/>
              <w:ind w:right="163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Classified Warrants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warrants have an exercise price of $121.60 per share, became exercisable on December 3, 2016 (“Initial Exercise Date”), and will expire on December 3, 2021, five years following the Initial Exercise Date. As of July 31, 2021, none of the warrants had been exercised.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warrants were exercisable immediately at an exercise price of $187.20 per share. The warrants will expire on the fifth (5th) anniversary of the initial exercise date of January 23, 2017. As of July 31, 2021, none of the warrants had been exercised.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Classified Warrants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The pre-funded warrants have no expiration date. As of July 31, 2021, all of the pre-funded warrants had been exercised. The common stock warrants have an exercise price of $3.85 per share and expire five years from the issuance date. As of July 31, 2021, all of the common warrants had been exercised.</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warrants issued in connection with its June 2016 and July 2016 public offerings in accordance with the guidance on “</w:t>
      </w:r>
      <w:r>
        <w:rPr>
          <w:rFonts w:ascii="Arial" w:cs="Arial" w:eastAsia="Arial" w:hAnsi="Arial"/>
          <w:sz w:val="17"/>
          <w:szCs w:val="17"/>
          <w:i w:val="1"/>
          <w:iCs w:val="1"/>
          <w:color w:val="auto"/>
        </w:rPr>
        <w:t>Accounting for Certain Financial Instruments with Characteristics of Both Liabilities and Equity</w:t>
      </w:r>
      <w:r>
        <w:rPr>
          <w:rFonts w:ascii="Arial" w:cs="Arial" w:eastAsia="Arial" w:hAnsi="Arial"/>
          <w:sz w:val="17"/>
          <w:szCs w:val="17"/>
          <w:color w:val="auto"/>
        </w:rPr>
        <w:t>” in Topic 480 which provides that the Company classify the warrant instruments as a liability at its fair value. The warrant liabilities are subject to re-measurement at each balance sheet date using the Black-Scholes option pricing model. The June 2016 and July 2016 warrants contain a feature whereby they could require the transfer of assets and therefore are classified as a liability award in accordance with the guidance in Topic 480. The warrants had a value near zero at July 31, 2021 and April 30, 2021 and were reflected within “Warrant liabilities” in the Consolidated Balance Sheets. The pre-funded and common warrants issued in the Company’s April 8, 2019 public offering did not meet the criteria to be classified as a liability award and therefore were treated as an equity award and recorded as a component of stockholders’ equity in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Paycheck Protection Program Loan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the U.S. Government passed into law the Coronavirus Aid, Relief and Economic Security Act, or the (“CARES Act”). On May 3, 2020, the Company signed a Paycheck Protection Program (“PPP”) loan with Santander as the lender for approximately $891,000 in support through the Small Business Association (“SBA”) under the PPP Loan. The PPP Loan was unsecured and evidenced by a note in favor of Santander as the lender and governed by a Loan Agreement with Santander. The loan contained an interest rate of 1% and was repayable over two years. The loan contained customary events of defaults relating to, among other things, payment defaults or breaches of the terms of the loan. Upon the occurrence of an event of default, the lender could have required immediate repayment of all outstanding amounts under the loan. Interest and principal payments were deferred for the first 6 months from the date of the loan. Principal and interest were payable monthly commencing 6 months after the disbursement date and were allowed to be repaid by the Company at any time prior to maturity with no prepayment penalties. The Company received the proceeds on May 5, 2020.</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filed its loan forgiveness application at the end of February 2021 asking for 100% forgiveness of the loan. In June 2021, the Company was informed that its application was approved, and that the loan is now fully forgiven. The Company recognized a gain on extinguishment of PPP loan of approximately $891,000 in the July 31, 2021 Consolidated Statement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Preferred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authorized 5,000,000 shares of undesignated preferred stock with a par value of $0.001 per share. As of July 31, 2021, no shares of preferred stock had been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authorized 100,000,000 shares of common stock with a par value of $0.001 per share. As of July 31, 2021, 52,458,011 shares had been issued and are outstanding.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(12) Treasury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each of the three months ended July 31, 2021 and 2020, no shares of common stock were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2015, upon approval by the Company’s stockholders,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July 31, 2021, the Company has 193,928 shares available for future issuance under the 2015 Plan which reflects adjustments made for the departure of our former CEO as well as other departures.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July 31, 2021, there were 11,487 shares available for grant under the 2018 Inducement Plan.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is estimated using the “simplified” method as permitted by the SEC’s Staff Accounting Bulletin No. 110,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Expected volatility is based on the Company’s historical volatility over the expected life of the stock option granted. The Company did not grant any stock options during the three months ended July 31, 2021 and 2020. The following assumptions were used to value the awards:</w:t>
      </w:r>
    </w:p>
    <w:p>
      <w:pPr>
        <w:spacing w:after="0" w:line="1"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Three months ended July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0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68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780" w:type="dxa"/>
            <w:vAlign w:val="bottom"/>
            <w:gridSpan w:val="2"/>
          </w:tcPr>
          <w:p>
            <w:pPr>
              <w:ind w:left="1360"/>
              <w:spacing w:after="0"/>
              <w:rPr>
                <w:sz w:val="20"/>
                <w:szCs w:val="20"/>
                <w:color w:val="auto"/>
              </w:rPr>
            </w:pPr>
            <w:r>
              <w:rPr>
                <w:rFonts w:ascii="Arial" w:cs="Arial" w:eastAsia="Arial" w:hAnsi="Arial"/>
                <w:sz w:val="18"/>
                <w:szCs w:val="18"/>
                <w:color w:val="auto"/>
              </w:rPr>
              <w:t>N/A</w:t>
            </w: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17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N/A</w:t>
            </w:r>
          </w:p>
        </w:tc>
      </w:t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120.0%</w:t>
            </w:r>
          </w:p>
        </w:tc>
        <w:tc>
          <w:tcPr>
            <w:tcW w:w="1780" w:type="dxa"/>
            <w:vAlign w:val="bottom"/>
            <w:gridSpan w:val="2"/>
          </w:tcPr>
          <w:p>
            <w:pPr>
              <w:ind w:left="1360"/>
              <w:spacing w:after="0"/>
              <w:rPr>
                <w:sz w:val="20"/>
                <w:szCs w:val="20"/>
                <w:color w:val="auto"/>
              </w:rPr>
            </w:pPr>
            <w:r>
              <w:rPr>
                <w:rFonts w:ascii="Arial" w:cs="Arial" w:eastAsia="Arial" w:hAnsi="Arial"/>
                <w:sz w:val="18"/>
                <w:szCs w:val="18"/>
                <w:color w:val="auto"/>
              </w:rPr>
              <w:t>N/A</w:t>
            </w:r>
          </w:p>
        </w:tc>
      </w:tr>
      <w:tr>
        <w:trPr>
          <w:trHeight w:val="425"/>
        </w:trPr>
        <w:tc>
          <w:tcPr>
            <w:tcW w:w="740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Weighted</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tcPr>
          <w:p>
            <w:pPr>
              <w:jc w:val="center"/>
              <w:ind w:left="410"/>
              <w:spacing w:after="0"/>
              <w:rPr>
                <w:sz w:val="20"/>
                <w:szCs w:val="20"/>
                <w:color w:val="auto"/>
              </w:rPr>
            </w:pPr>
            <w:r>
              <w:rPr>
                <w:rFonts w:ascii="Arial" w:cs="Arial" w:eastAsia="Arial" w:hAnsi="Arial"/>
                <w:sz w:val="18"/>
                <w:szCs w:val="18"/>
                <w:b w:val="1"/>
                <w:bCs w:val="1"/>
                <w:color w:val="auto"/>
                <w:w w:val="87"/>
              </w:rPr>
              <w:t>Average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2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Underlying</w:t>
            </w:r>
          </w:p>
        </w:tc>
        <w:tc>
          <w:tcPr>
            <w:tcW w:w="140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Exercise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22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Options</w:t>
            </w:r>
          </w:p>
        </w:tc>
        <w:tc>
          <w:tcPr>
            <w:tcW w:w="140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Price</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2021</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516,827</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Cancelled/forfeited</w:t>
            </w:r>
          </w:p>
        </w:tc>
        <w:tc>
          <w:tcPr>
            <w:tcW w:w="2260" w:type="dxa"/>
            <w:vAlign w:val="bottom"/>
            <w:gridSpan w:val="3"/>
          </w:tcPr>
          <w:p>
            <w:pPr>
              <w:jc w:val="right"/>
              <w:ind w:right="260"/>
              <w:spacing w:after="0"/>
              <w:rPr>
                <w:sz w:val="20"/>
                <w:szCs w:val="20"/>
                <w:color w:val="auto"/>
              </w:rPr>
            </w:pPr>
            <w:r>
              <w:rPr>
                <w:rFonts w:ascii="Arial" w:cs="Arial" w:eastAsia="Arial" w:hAnsi="Arial"/>
                <w:sz w:val="18"/>
                <w:szCs w:val="18"/>
                <w:color w:val="auto"/>
              </w:rPr>
              <w:t>(3,681)</w:t>
            </w: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13.81</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July 31, 2021</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3.81</w:t>
            </w:r>
          </w:p>
        </w:tc>
        <w:tc>
          <w:tcPr>
            <w:tcW w:w="20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Exercisable as of July 31, 2021</w:t>
            </w:r>
          </w:p>
        </w:tc>
        <w:tc>
          <w:tcPr>
            <w:tcW w:w="1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vMerge w:val="restart"/>
          </w:tcPr>
          <w:p>
            <w:pPr>
              <w:jc w:val="right"/>
              <w:ind w:right="1210"/>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4.92</w:t>
            </w:r>
          </w:p>
        </w:tc>
        <w:tc>
          <w:tcPr>
            <w:tcW w:w="2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247,954</w:t>
            </w: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July 31, 2021, the total intrinsic value of outstanding and exercisable options was approximately $0.2 million. As of July 31, 2021, approximately 265,000 additional options were unvested, which had an intrinsic value of $19,000 and a weighted average remaining contractual term of 9.4 years. There was approximately $110,000 and $90,000 of total recognized compensation cost related to stock options during each of the three months ended July 31, 2021 and 2020, respectively. As of July 31, 2021, there was approximately $0.4 million of total unrecognized compensation cost related to non-vested stock options granted under the plans. This cost is expected to be recognized over a weighted-average period of 1.2 years.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acquisition of 3Dent (See Note 18) was valued at the fair value of the stock on the acquisition date of $1,451,584 (361,991 shares at $4.01). Since the shares will be restricted for one year and lack marketability, the Company applied a 20% discount to the purchase price to make the adjusted fair value $1,161,267. Additionally, as the Sellers must be employed for 12 months from the date of acquisition, the difference between the calculated fair value and the net assets acquired represents the value of the compensation expense to be recognized over the period of the agreed upon employment.</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Purchase</w:t>
            </w:r>
          </w:p>
        </w:tc>
        <w:tc>
          <w:tcPr>
            <w:tcW w:w="290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1,161,267</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 Acquired Assets</w:t>
            </w:r>
          </w:p>
        </w:tc>
        <w:tc>
          <w:tcPr>
            <w:tcW w:w="290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(593,571)</w:t>
            </w:r>
          </w:p>
        </w:tc>
      </w:tr>
      <w:tr>
        <w:trPr>
          <w:trHeight w:val="24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Acquired Liabilities</w:t>
            </w:r>
          </w:p>
        </w:tc>
        <w:tc>
          <w:tcPr>
            <w:tcW w:w="290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117,106</w:t>
            </w:r>
          </w:p>
        </w:tc>
        <w:tc>
          <w:tcPr>
            <w:tcW w:w="100" w:type="dxa"/>
            <w:vAlign w:val="bottom"/>
            <w:shd w:val="clear" w:color="auto" w:fill="CCEEFF"/>
          </w:tcPr>
          <w:p>
            <w:pPr>
              <w:spacing w:after="0"/>
              <w:rPr>
                <w:sz w:val="21"/>
                <w:szCs w:val="21"/>
                <w:color w:val="auto"/>
              </w:rPr>
            </w:pPr>
          </w:p>
        </w:tc>
      </w:tr>
      <w:tr>
        <w:trPr>
          <w:trHeight w:val="210"/>
        </w:trPr>
        <w:tc>
          <w:tcPr>
            <w:tcW w:w="4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Compensation Expense</w:t>
            </w:r>
          </w:p>
        </w:tc>
        <w:tc>
          <w:tcPr>
            <w:tcW w:w="2380" w:type="dxa"/>
            <w:vAlign w:val="bottom"/>
            <w:tcBorders>
              <w:top w:val="single" w:sz="8" w:color="CCEEFF"/>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684,802</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Quarterly Compensation Expense</w:t>
            </w:r>
          </w:p>
        </w:tc>
        <w:tc>
          <w:tcPr>
            <w:tcW w:w="23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recognize approximately $171,000 of compensation expense on a quarterly basis for the consideration paid until 12 months from the acquisition date on February 2,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of 2020, the Company issued 81,337 performance-based stock options to two of its executives. The awards vest over 2 years if there is positive total shareholder return (e.g. share price increase) as measured by the 5-day (January 11-15, 2021) and (January 10-14, 2022) share price volume weighted average price (“VWAP”). There were 40,668 shares that were unvested and outstanding for at July 31, 2021. One of the executives, the Company’s former President and CEO, left the Company as of June 18, 2021, however, he is able to exercise any vested options for a period of 180 days after his departure.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of 2021, the Company issued 344,723 performance-based stock options to employees and executives. The awards vest over 2 years provided there is positive total shareholder return (e.g. share price increase) as measured by the closing share price on January 14, 2022 and January 14, 2023. There were 343,456 shares unvested and outstanding at July 31, 2021. None of the shares granted to our former President and CEO under this issuance vested and lapsed as of June 18, 2021.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ind w:right="280"/>
        <w:spacing w:after="0" w:line="258" w:lineRule="auto"/>
        <w:rPr>
          <w:sz w:val="20"/>
          <w:szCs w:val="20"/>
          <w:color w:val="auto"/>
        </w:rPr>
      </w:pPr>
      <w:r>
        <w:rPr>
          <w:rFonts w:ascii="Arial" w:cs="Arial" w:eastAsia="Arial" w:hAnsi="Arial"/>
          <w:sz w:val="18"/>
          <w:szCs w:val="18"/>
          <w:color w:val="auto"/>
        </w:rPr>
        <w:t>The Company determined these awards contain a market- based condition and estimated the fair value using the Monte Carlo simulation model with the following assumptions:</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Three months ended January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tcBorders>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44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Expected volatility</w:t>
            </w: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120.0%</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18"/>
        </w:trPr>
        <w:tc>
          <w:tcPr>
            <w:tcW w:w="8380" w:type="dxa"/>
            <w:vAlign w:val="bottom"/>
            <w:gridSpan w:val="6"/>
          </w:tcPr>
          <w:p>
            <w:pPr>
              <w:spacing w:after="0"/>
              <w:rPr>
                <w:sz w:val="20"/>
                <w:szCs w:val="20"/>
                <w:color w:val="auto"/>
              </w:rPr>
            </w:pPr>
            <w:r>
              <w:rPr>
                <w:rFonts w:ascii="Arial" w:cs="Arial" w:eastAsia="Arial" w:hAnsi="Arial"/>
                <w:sz w:val="18"/>
                <w:szCs w:val="18"/>
                <w:color w:val="auto"/>
                <w:w w:val="99"/>
              </w:rPr>
              <w:t>A summary of performance stock options under our stock incentive plans is detailed in the following table.</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Weighted</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18"/>
                <w:szCs w:val="18"/>
                <w:color w:val="auto"/>
              </w:rPr>
            </w:pPr>
          </w:p>
        </w:tc>
        <w:tc>
          <w:tcPr>
            <w:tcW w:w="138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Average</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2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Underlying</w:t>
            </w:r>
          </w:p>
        </w:tc>
        <w:tc>
          <w:tcPr>
            <w:tcW w:w="60" w:type="dxa"/>
            <w:vAlign w:val="bottom"/>
          </w:tcPr>
          <w:p>
            <w:pPr>
              <w:spacing w:after="0"/>
              <w:rPr>
                <w:sz w:val="19"/>
                <w:szCs w:val="19"/>
                <w:color w:val="auto"/>
              </w:rPr>
            </w:pPr>
          </w:p>
        </w:tc>
        <w:tc>
          <w:tcPr>
            <w:tcW w:w="138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Exercise</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2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Options</w:t>
            </w:r>
          </w:p>
        </w:tc>
        <w:tc>
          <w:tcPr>
            <w:tcW w:w="60" w:type="dxa"/>
            <w:vAlign w:val="bottom"/>
          </w:tcPr>
          <w:p>
            <w:pPr>
              <w:spacing w:after="0"/>
              <w:rPr>
                <w:sz w:val="20"/>
                <w:szCs w:val="20"/>
                <w:color w:val="auto"/>
              </w:rPr>
            </w:pPr>
          </w:p>
        </w:tc>
        <w:tc>
          <w:tcPr>
            <w:tcW w:w="1380" w:type="dxa"/>
            <w:vAlign w:val="bottom"/>
          </w:tcPr>
          <w:p>
            <w:pPr>
              <w:jc w:val="center"/>
              <w:ind w:left="450"/>
              <w:spacing w:after="0"/>
              <w:rPr>
                <w:sz w:val="20"/>
                <w:szCs w:val="20"/>
                <w:color w:val="auto"/>
              </w:rPr>
            </w:pPr>
            <w:r>
              <w:rPr>
                <w:rFonts w:ascii="Arial" w:cs="Arial" w:eastAsia="Arial" w:hAnsi="Arial"/>
                <w:sz w:val="18"/>
                <w:szCs w:val="18"/>
                <w:b w:val="1"/>
                <w:bCs w:val="1"/>
                <w:color w:val="auto"/>
                <w:w w:val="90"/>
              </w:rPr>
              <w:t>Price</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April 30, 2021</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424,790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Cancelled/forfeited</w:t>
            </w:r>
          </w:p>
        </w:tc>
        <w:tc>
          <w:tcPr>
            <w:tcW w:w="2200" w:type="dxa"/>
            <w:vAlign w:val="bottom"/>
            <w:gridSpan w:val="3"/>
          </w:tcPr>
          <w:p>
            <w:pPr>
              <w:jc w:val="right"/>
              <w:ind w:right="200"/>
              <w:spacing w:after="0"/>
              <w:rPr>
                <w:sz w:val="20"/>
                <w:szCs w:val="20"/>
                <w:color w:val="auto"/>
              </w:rPr>
            </w:pPr>
            <w:r>
              <w:rPr>
                <w:rFonts w:ascii="Arial" w:cs="Arial" w:eastAsia="Arial" w:hAnsi="Arial"/>
                <w:sz w:val="18"/>
                <w:szCs w:val="18"/>
                <w:color w:val="auto"/>
              </w:rPr>
              <w:t>(6,767)</w:t>
            </w:r>
          </w:p>
        </w:tc>
        <w:tc>
          <w:tcPr>
            <w:tcW w:w="144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320"/>
              <w:spacing w:after="0"/>
              <w:rPr>
                <w:sz w:val="20"/>
                <w:szCs w:val="20"/>
                <w:color w:val="auto"/>
              </w:rPr>
            </w:pPr>
            <w:r>
              <w:rPr>
                <w:rFonts w:ascii="Arial" w:cs="Arial" w:eastAsia="Arial" w:hAnsi="Arial"/>
                <w:sz w:val="18"/>
                <w:szCs w:val="18"/>
                <w:color w:val="auto"/>
              </w:rPr>
              <w:t>2.93</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July 31, 2021</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418,023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CCEEFF"/>
              <w:bottom w:val="single" w:sz="8" w:color="CCEEFF"/>
            </w:tcBorders>
            <w:gridSpan w:val="2"/>
            <w:shd w:val="clear" w:color="auto" w:fill="CCEEFF"/>
          </w:tcPr>
          <w:p>
            <w:pPr>
              <w:jc w:val="right"/>
              <w:ind w:right="119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2.56</w:t>
            </w:r>
          </w:p>
        </w:tc>
        <w:tc>
          <w:tcPr>
            <w:tcW w:w="20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Exercisable as of July 31, 2021</w:t>
            </w:r>
          </w:p>
        </w:tc>
        <w:tc>
          <w:tcPr>
            <w:tcW w:w="1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gridSpan w:val="2"/>
            <w:vMerge w:val="restart"/>
          </w:tcPr>
          <w:p>
            <w:pPr>
              <w:jc w:val="right"/>
              <w:ind w:right="1190"/>
              <w:spacing w:after="0"/>
              <w:rPr>
                <w:sz w:val="20"/>
                <w:szCs w:val="20"/>
                <w:color w:val="auto"/>
              </w:rPr>
            </w:pPr>
            <w:r>
              <w:rPr>
                <w:rFonts w:ascii="Arial" w:cs="Arial" w:eastAsia="Arial" w:hAnsi="Arial"/>
                <w:sz w:val="18"/>
                <w:szCs w:val="18"/>
                <w:color w:val="auto"/>
              </w:rPr>
              <w:t>$</w:t>
            </w:r>
          </w:p>
        </w:tc>
        <w:tc>
          <w:tcPr>
            <w:tcW w:w="84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1.05</w:t>
            </w:r>
          </w:p>
        </w:tc>
        <w:tc>
          <w:tcPr>
            <w:tcW w:w="2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40,668</w:t>
            </w: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840" w:type="dxa"/>
            <w:vAlign w:val="bottom"/>
            <w:gridSpan w:val="3"/>
            <w:vMerge w:val="continue"/>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July 31, 2021, the total intrinsic value of both outstanding and exercisable options was approximately $37,000 and zero, respectively. As of July 31, 2021, approximately 377,000 additional options were unvested, which had an intrinsic value of $37,000 and a weighted average remaining contractual term of 9.4 years. There was approximately $95,000 and $8,000 of total recognized compensation cost related to stock options during each of the three months ended July 31, 2021 and 2020, respectively. As of July 31, 2021, there was approximately $0.5 million of total unrecognized compensation cost related to non-vested stock options granted under the plans. This cost is expected to be recognized over a weighted-average period of 1.4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for non-vested restricted stock is generally recorded based on its market value on the date of grant and recognized ratably over the associated service and performance period. During the three months ended July 31, 2021 and 2020, the Company granted no shares that were subject to service-based vesting requirements.</w:t>
      </w:r>
    </w:p>
    <w:p>
      <w:pPr>
        <w:sectPr>
          <w:pgSz w:w="11900" w:h="16838" w:orient="portrait"/>
          <w:cols w:equalWidth="0" w:num="1">
            <w:col w:w="11240"/>
          </w:cols>
          <w:pgMar w:left="320" w:top="692"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Cancelled/forfeited</w:t>
      </w:r>
    </w:p>
    <w:p>
      <w:pPr>
        <w:spacing w:after="0" w:line="2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Weighted</w:t>
            </w:r>
          </w:p>
        </w:tc>
      </w:tr>
      <w:tr>
        <w:trPr>
          <w:trHeight w:val="229"/>
        </w:trPr>
        <w:tc>
          <w:tcPr>
            <w:tcW w:w="1720" w:type="dxa"/>
            <w:vAlign w:val="bottom"/>
          </w:tcPr>
          <w:p>
            <w:pPr>
              <w:jc w:val="right"/>
              <w:ind w:right="45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Average Price per</w:t>
            </w:r>
          </w:p>
        </w:tc>
      </w:tr>
      <w:tr>
        <w:trPr>
          <w:trHeight w:val="241"/>
        </w:trPr>
        <w:tc>
          <w:tcPr>
            <w:tcW w:w="1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of Shares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Share</w:t>
            </w:r>
          </w:p>
        </w:tc>
      </w:tr>
      <w:tr>
        <w:trPr>
          <w:trHeight w:val="202"/>
        </w:trPr>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rPr>
              <w:t>10,000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line="201" w:lineRule="exact"/>
              <w:rPr>
                <w:sz w:val="20"/>
                <w:szCs w:val="20"/>
                <w:color w:val="auto"/>
              </w:rPr>
            </w:pPr>
            <w:r>
              <w:rPr>
                <w:rFonts w:ascii="Arial" w:cs="Arial" w:eastAsia="Arial" w:hAnsi="Arial"/>
                <w:sz w:val="18"/>
                <w:szCs w:val="18"/>
                <w:color w:val="auto"/>
              </w:rPr>
              <w:t>2.93</w:t>
            </w:r>
          </w:p>
        </w:tc>
      </w:tr>
      <w:tr>
        <w:trPr>
          <w:trHeight w:val="216"/>
        </w:trPr>
        <w:tc>
          <w:tcPr>
            <w:tcW w:w="1720" w:type="dxa"/>
            <w:vAlign w:val="bottom"/>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16"/>
        </w:trPr>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w:t>
            </w:r>
          </w:p>
        </w:tc>
        <w:tc>
          <w:tcPr>
            <w:tcW w:w="3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3" w:lineRule="exact"/>
              <w:rPr>
                <w:sz w:val="20"/>
                <w:szCs w:val="20"/>
                <w:color w:val="auto"/>
              </w:rPr>
            </w:pPr>
            <w:r>
              <w:rPr>
                <w:rFonts w:ascii="Arial" w:cs="Arial" w:eastAsia="Arial" w:hAnsi="Arial"/>
                <w:sz w:val="18"/>
                <w:szCs w:val="18"/>
                <w:color w:val="auto"/>
              </w:rPr>
              <w:t>2.42</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60"/>
            <w:col w:w="4880"/>
          </w:cols>
          <w:pgMar w:left="320" w:top="692" w:right="3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$14,000 and $5,000 of total recognized compensation cost related to restricted stock for the three months ended July 31, 2021 and 2020, respectively. As of July 31, 2021, there is approximately $202,000 of unrecognized compensation cost remaining related to unvested restricted stock granted under our plans. This cost is expected to be recognized over a weighted-average period of 0.5 years.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December 2019, the Company granted 51,547 shares to an employee, subject to service-based vesting requirements, that were outside the Company stock incentive plans. There was approximately zero and $12,000 of total recognized compensation cost related to this award for the three months ended July 31, 2021 and 2020, respectively. As of July 31, 2021, there was no unrecognized compensation cost remaining related to this award.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CEO Stock Options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18, 2021, the Company issued 100,000 restricted shares to the Company’s new President and CEO, subject to vesting. A total of 66,667 of those shares are subject to performance-based vesting and the remaining 33,333 shares are subject to time-based vesting equally at the end of each of the next two years. The vesting of the performance-based shares is contingent upon the future closing share price on June 18, 2022, and June 18, 2023.</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analysis required a Monte Carlo simulation due to the performance vesting schedule. These performance-based shares only vest in the event that the future stock price increases above the closing price of June 18, 2021 of 2.37 per share. A total of 50% of the performance-based shares will vest if the closing price of the Company’s stock on June 18, 2022, exceeds $2.37 per share, and 50% of the options will vest if the closing price of the Company’s stock on June 18, 2023, exceeds the closing price on June 18,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71"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 that the Company has the ability to access at the measurement date.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that are unobservable for the asset or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Fair Values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that are not re-measured at fair value include cash, cash equivalents, restricted cash, accounts receivable, contract assets and liabilities, deposits, accounts payable, and accrued expenses. The carrying values of these financial instruments approximate their fair values and are viewed as Level 1 items. The Company’s warrant liabilities represent the only asset or liability classified financial instrument that is measured at fair value on a recurring basis.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the Company’s warrant liabilities (refer to Note 8) is based on the Black-Scholes option pricing model which is based on Level 3 unobservable inputs for which there is little or no market data, requiring the Company to develop its own assumptions. The assumptions used by the Company are the quoted price of the Company’s common stock in an active market, risk-free interest rate, volatility and expected life, and assumes no dividends.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warrants’ expected life. The fair value on a recurring basis as of July 31, 2021 and April 30, 2021 was near zero.</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unrealized gains or losses for the three months ended July 31, 2021 and 2020. When incurred, gains and losses are included within “Gain (loss) due to change in fair value of warrant liabilities” in the Consolidated Statements of Operations. The Company determined the fair value using the Black-Scholes option pricing model with the following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040" w:type="dxa"/>
            <w:vAlign w:val="bottom"/>
            <w:gridSpan w:val="2"/>
          </w:tcPr>
          <w:p>
            <w:pPr>
              <w:ind w:left="360"/>
              <w:spacing w:after="0"/>
              <w:rPr>
                <w:sz w:val="20"/>
                <w:szCs w:val="20"/>
                <w:color w:val="auto"/>
              </w:rPr>
            </w:pPr>
            <w:r>
              <w:rPr>
                <w:rFonts w:ascii="Arial" w:cs="Arial" w:eastAsia="Arial" w:hAnsi="Arial"/>
                <w:sz w:val="18"/>
                <w:szCs w:val="18"/>
                <w:b w:val="1"/>
                <w:bCs w:val="1"/>
                <w:color w:val="auto"/>
              </w:rPr>
              <w:t>July 31, 2021</w:t>
            </w:r>
          </w:p>
        </w:tc>
        <w:tc>
          <w:tcPr>
            <w:tcW w:w="1800" w:type="dxa"/>
            <w:vAlign w:val="bottom"/>
            <w:gridSpan w:val="2"/>
          </w:tcPr>
          <w:p>
            <w:pPr>
              <w:ind w:left="340"/>
              <w:spacing w:after="0"/>
              <w:rPr>
                <w:sz w:val="20"/>
                <w:szCs w:val="20"/>
                <w:color w:val="auto"/>
              </w:rPr>
            </w:pPr>
            <w:r>
              <w:rPr>
                <w:rFonts w:ascii="Arial" w:cs="Arial" w:eastAsia="Arial" w:hAnsi="Arial"/>
                <w:sz w:val="18"/>
                <w:szCs w:val="18"/>
                <w:b w:val="1"/>
                <w:bCs w:val="1"/>
                <w:color w:val="auto"/>
              </w:rPr>
              <w:t>July 31, 2020</w:t>
            </w:r>
          </w:p>
        </w:tc>
        <w:tc>
          <w:tcPr>
            <w:tcW w:w="48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4800" w:type="dxa"/>
            <w:vAlign w:val="bottom"/>
            <w:gridSpan w:val="2"/>
            <w:shd w:val="clear" w:color="auto" w:fill="CCEEFF"/>
          </w:tcPr>
          <w:p>
            <w:pPr>
              <w:jc w:val="center"/>
              <w:ind w:left="3110"/>
              <w:spacing w:after="0"/>
              <w:rPr>
                <w:sz w:val="20"/>
                <w:szCs w:val="20"/>
                <w:color w:val="auto"/>
              </w:rPr>
            </w:pPr>
            <w:r>
              <w:rPr>
                <w:rFonts w:ascii="Arial" w:cs="Arial" w:eastAsia="Arial" w:hAnsi="Arial"/>
                <w:sz w:val="18"/>
                <w:szCs w:val="18"/>
                <w:color w:val="auto"/>
                <w:w w:val="87"/>
              </w:rPr>
              <w:t>0.0%</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Risk-free rate</w:t>
            </w:r>
          </w:p>
        </w:tc>
        <w:tc>
          <w:tcPr>
            <w:tcW w:w="4800" w:type="dxa"/>
            <w:vAlign w:val="bottom"/>
            <w:gridSpan w:val="2"/>
          </w:tcPr>
          <w:p>
            <w:pPr>
              <w:jc w:val="center"/>
              <w:ind w:left="3110"/>
              <w:spacing w:after="0"/>
              <w:rPr>
                <w:sz w:val="20"/>
                <w:szCs w:val="20"/>
                <w:color w:val="auto"/>
              </w:rPr>
            </w:pPr>
            <w:r>
              <w:rPr>
                <w:rFonts w:ascii="Arial" w:cs="Arial" w:eastAsia="Arial" w:hAnsi="Arial"/>
                <w:sz w:val="18"/>
                <w:szCs w:val="18"/>
                <w:color w:val="auto"/>
                <w:w w:val="91"/>
              </w:rPr>
              <w:t>0.05% - 0.06%</w:t>
            </w:r>
          </w:p>
        </w:tc>
        <w:tc>
          <w:tcPr>
            <w:tcW w:w="3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800" w:type="dxa"/>
            <w:vAlign w:val="bottom"/>
            <w:gridSpan w:val="2"/>
            <w:shd w:val="clear" w:color="auto" w:fill="CCEEFF"/>
          </w:tcPr>
          <w:p>
            <w:pPr>
              <w:jc w:val="center"/>
              <w:ind w:left="3110"/>
              <w:spacing w:after="0"/>
              <w:rPr>
                <w:sz w:val="20"/>
                <w:szCs w:val="20"/>
                <w:color w:val="auto"/>
              </w:rPr>
            </w:pPr>
            <w:r>
              <w:rPr>
                <w:rFonts w:ascii="Arial" w:cs="Arial" w:eastAsia="Arial" w:hAnsi="Arial"/>
                <w:sz w:val="18"/>
                <w:szCs w:val="18"/>
                <w:color w:val="auto"/>
                <w:w w:val="95"/>
              </w:rPr>
              <w:t>0.4</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1.0 - 1.4</w:t>
            </w: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Expected volatility</w:t>
            </w:r>
          </w:p>
        </w:tc>
        <w:tc>
          <w:tcPr>
            <w:tcW w:w="4800" w:type="dxa"/>
            <w:vAlign w:val="bottom"/>
            <w:gridSpan w:val="2"/>
          </w:tcPr>
          <w:p>
            <w:pPr>
              <w:jc w:val="center"/>
              <w:ind w:left="3110"/>
              <w:spacing w:after="0"/>
              <w:rPr>
                <w:sz w:val="20"/>
                <w:szCs w:val="20"/>
                <w:color w:val="auto"/>
              </w:rPr>
            </w:pPr>
            <w:r>
              <w:rPr>
                <w:rFonts w:ascii="Arial" w:cs="Arial" w:eastAsia="Arial" w:hAnsi="Arial"/>
                <w:sz w:val="18"/>
                <w:szCs w:val="18"/>
                <w:color w:val="auto"/>
                <w:w w:val="91"/>
              </w:rPr>
              <w:t>154.0%</w:t>
            </w:r>
          </w:p>
        </w:tc>
        <w:tc>
          <w:tcPr>
            <w:tcW w:w="320" w:type="dxa"/>
            <w:vAlign w:val="bottom"/>
          </w:tcPr>
          <w:p>
            <w:pPr>
              <w:spacing w:after="0"/>
              <w:rPr>
                <w:sz w:val="20"/>
                <w:szCs w:val="20"/>
                <w:color w:val="auto"/>
              </w:rPr>
            </w:pPr>
          </w:p>
        </w:tc>
        <w:tc>
          <w:tcPr>
            <w:tcW w:w="1700" w:type="dxa"/>
            <w:vAlign w:val="bottom"/>
          </w:tcPr>
          <w:p>
            <w:pPr>
              <w:jc w:val="center"/>
              <w:ind w:left="10"/>
              <w:spacing w:after="0"/>
              <w:rPr>
                <w:sz w:val="20"/>
                <w:szCs w:val="20"/>
                <w:color w:val="auto"/>
              </w:rPr>
            </w:pPr>
            <w:r>
              <w:rPr>
                <w:rFonts w:ascii="Arial" w:cs="Arial" w:eastAsia="Arial" w:hAnsi="Arial"/>
                <w:sz w:val="18"/>
                <w:szCs w:val="18"/>
                <w:color w:val="auto"/>
                <w:w w:val="91"/>
              </w:rPr>
              <w:t>101.8%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25"/>
        </w:trPr>
        <w:tc>
          <w:tcPr>
            <w:tcW w:w="6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20</w:t>
            </w:r>
          </w:p>
        </w:tc>
        <w:tc>
          <w:tcPr>
            <w:tcW w:w="1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hierarchy levels during each of the three months ended July 31, 2021 and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On August 28, 2018, counsel for Mr. Dunleavy filed a demand for arbitration, captioned Charles F. Dunleavy v. Ocean Power Technologies, Inc., Case No. 01-18-0003-2374, before the American Arbitration Association in New Jersey. The demand named Ocean Power Technologies, Inc. as the respondent and alleged various claims and sought declaratory relief and permanent injunction. The demand sought damages in the amount of $5.0 million for compensatory and punitive damages, plus interest and attorneys’ fees as well as certain equitable relief. On November 8, 2018, the Company through counsel responded to the demand for arbitration, denied all allegations, and asserted various affirmative defenses. The final day of hearing occurred in Princeton, New Jersey on July 15, 2020. Post-hearing briefs were filed on September 22, 2020. Following those filings, the panel issued two interim awards finding, among other things, that the termination for cause of Mr. Dunleavy was in breach of his employment contract and awarding him compensatory damages in the amount of $438,255. The panel denied Mr. Dunleavy’s claims for defamation and injunctive and declaratory relief. The panel also awarded Mr. Dunleavy attorneys’ fees, costs and pre-judgment interest. The Company agreed, on May 24, 2021, to pay Mr. Dunleavy $1,223,963, representing the total compensatory damages, attorneys’ fees, costs and pre-judgment interest, which was the full amount awarded by the panel and was accrued in the Company’s Consolidated Balance Sheet at April 30, 2021. This amount was paid in full on May 26, 2021, and the matter is now closed.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 Income Tax Audit</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underwent an income tax audit in Spain for the period from 2011 to 2014, when our Spanish branch was closed. In connection with the tax audit, the Spanish tax inspector challenged the Company’s recognition of grant funds received in 2011 to 2014 from the European Commission in connection with the Company’s Waveport project. On July 30, 2018, the inspector concluded that although there was no tax owed in light of losses reported, the Company’s Spanish branch owed penalties for failure to properly account for the income associated with the funding grant. On August 30, 2018, the Company filed an administrative appeal of the penalty and its underlying conclusions. During the three months ended July 31, 2020, the Company received notice from the Spanish Central Economic and Administrative Tribunal that it agreed with the inspector and ruled that the Company owes the full amount of the penalty in the amount of €279,870 or approximately $331,000. In the quarter ended October 31, 2020, the Company recorded an additional reserve of €117,146 (or approximately $154,000) to Selling, general and administrative costs in the Statement of Operations making the total reserve €279,870, which amount was paid by the Company to the Spanish Tax Administration on January 25, 2021. On April 30, 2021, the Company filed its appeal of the decision of the Central Court to the Spanish National Court. There is no schedule for a ruling from the Spanish National Court.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At July 31, 2021, the Company had no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sold New Jersey State net operating losses and research development credits (“NJ NOL”) under the NJEDA Tax Transfer program in the amount of approximately $12 million for the year ended April 30, 2021, for net proceeds of approximately $1.0 million which was received in May 2021 and recorded in the Company’s Statement of Operations in fiscal year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subsidiaries in the UK and in Australia. Revenues and expenses are generally attributed to the operating company that bills the customers. During each of the three months ended July 31, 2021 and 2020, the Company’s primary business operations were in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Acquisition of 3dent Technologies, LLC</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1, 2021, the Company acquired all of the outstanding equity interest of 3dent Technologies, LLC (“3Dent”), a Houston, Texas based company that offers offshore energy engineering and design services that are complementary to OPT’s technology and products. As consideration for the purchase, the Company issued 361,991 shares of its common stock to the seller, subject to a 12-month post acquisition employment condition. In addition, the former owners of 3Dent will be eligible for awards of performance stock with a potential value of $360,000 if certain revenue targets are achieved over the 12 month-period post acquisition. There were no changes during the three months ended July 31, 2021 that would affect this valuation.</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Company accounted for the transaction as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Accordingly, the assets and liabilities acquired were recorded at their estimated fair value on the date of acquisition. Under ASC 805, acquisition-related transaction costs (such as advisory, legal, valuation, other professional fees) were expensed in the Consolidated Statement of Operations in the period incurred.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0" w:gutter="0" w:footer="0" w:header="0"/>
        </w:sectPr>
      </w:pPr>
    </w:p>
    <w:bookmarkStart w:id="22" w:name="page23"/>
    <w:bookmarkEnd w:id="22"/>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2021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2021 refers to the year ended April 30, 2021).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 marine power equipment, data solutions and consulting services provider. We control the design, manufacture, sales, installation, operations and maintenance of our solutions and services while working closely with commercial, technical, and other development partners that provide software, controls, mechatronics, sensors, integration services, and marine installation services. We believe our renewable autonomous ocean solutions deliver power and data collection, analysis and communication in remote ocean environments, allowing users to generate actionable intelligence and control certain equipment. Our mission and purpose are to provide intelligent maritime solutions and services that enable safer and more productive ocean operations for the defense and security, offshore oil and gas, science and research, and offshore wind markets. We achieve this through our proprietary, state-of-the-art technologies that are at the core of our clean and renewable energy platforms upon which we offer our solutions and services.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continue to develop and commercialize our proprietary systems that generate electricity by harnessing the renewable energy of ocean waves for our PowerBuoy® (“PB3”), and solar power for our hybrid PowerBuoy® (the “hybrid”). The PB3 uses proprietary technologies that convert the kinetic energy created by the heaving motion of ocean waves into electricity. Our strategy includes developing complete solutions and services, including cloud-based delivery systems for ocean data and predictive analytics to provide actionable intelligence for our clients. Based on feedback from our current customers, discussions with potential customers in the defense and security, offshore oil and gas, science and research, and offshore wind markets, as well as government applications in fishery protection and marine protected areas, together with our market research and publicly available data, we believe that numerous markets have a direct need for our solutions. Our recent projects have been in the offshore oil and gas and science and research industries. We believe there is an increasing need for our products and services in areas such as fishery protection, offshore windfarm support, and maritime domain awareness applications.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and communications, either by supplying electric power to payloads that are integrated directly with our product or located in its vicinity, such as on the seabed and in the water column. We believe we are the leader in offshore autonomous ocean wave power conversion technology which provides renewable power for offshore operations that were previously logistically problematic and difficult to decarbonize.</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were incorporated under the laws of the State of New Jersey in April 1984 and began commercial operations in 1994. On April 23, 2007, we reincorporated in Delaware. We are continuing to build upon our mission of connecting the oceans with those who operate, and manage the resource, in the environment. We do this through our solutions’ offerings, that are based on our proprietary renewable power platforms and engineering skills. Our solutions focus on three major services areas, Data as a Service, supported and enabled by Power as a Service, and underpinned by our Strategic Consulting Services, which we expanded with the acquisition of 3dent Technology, LLC (“3Dent”), in February 2021. Over the course of fiscal 2022, we intend to continue to grow our service sectors and develop, evolve, and strengthen our solutions.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7"/>
          <w:szCs w:val="17"/>
          <w:color w:val="auto"/>
        </w:rPr>
        <w:t xml:space="preserve">Our Power as a Service solutions deliver value to customers by utilizing our managed power platforms, such as the PB3 PowerBuoy® or hybrid PowerBuoy®, and subsea battery for topside and subsea power applications. Our focus for this solution is on bringing autonomous clean power to our customers wherever it is required. On our project with Eni S.p.A. (“Eni”), we utilized our PB3 PowerBuoy®, which </w:t>
      </w:r>
      <w:r>
        <w:rPr>
          <w:rFonts w:ascii="Arial" w:cs="Arial" w:eastAsia="Arial" w:hAnsi="Arial"/>
          <w:sz w:val="17"/>
          <w:szCs w:val="17"/>
          <w:color w:val="333333"/>
        </w:rPr>
        <w:t>operated in the</w:t>
      </w:r>
      <w:r>
        <w:rPr>
          <w:rFonts w:ascii="Arial" w:cs="Arial" w:eastAsia="Arial" w:hAnsi="Arial"/>
          <w:sz w:val="17"/>
          <w:szCs w:val="17"/>
          <w:color w:val="auto"/>
        </w:rPr>
        <w:t xml:space="preserve"> Adriatic Sea </w:t>
      </w:r>
      <w:r>
        <w:rPr>
          <w:rFonts w:ascii="Arial" w:cs="Arial" w:eastAsia="Arial" w:hAnsi="Arial"/>
          <w:sz w:val="17"/>
          <w:szCs w:val="17"/>
          <w:color w:val="333333"/>
        </w:rPr>
        <w:t>for over</w:t>
      </w:r>
      <w:r>
        <w:rPr>
          <w:rFonts w:ascii="Arial" w:cs="Arial" w:eastAsia="Arial" w:hAnsi="Arial"/>
          <w:sz w:val="17"/>
          <w:szCs w:val="17"/>
          <w:color w:val="auto"/>
        </w:rPr>
        <w:t xml:space="preserve"> </w:t>
      </w:r>
      <w:r>
        <w:rPr>
          <w:rFonts w:ascii="Arial" w:cs="Arial" w:eastAsia="Arial" w:hAnsi="Arial"/>
          <w:sz w:val="17"/>
          <w:szCs w:val="17"/>
          <w:color w:val="333333"/>
        </w:rPr>
        <w:t xml:space="preserve">600 days of continuous operation </w:t>
      </w:r>
      <w:r>
        <w:rPr>
          <w:rFonts w:ascii="Arial" w:cs="Arial" w:eastAsia="Arial" w:hAnsi="Arial"/>
          <w:sz w:val="17"/>
          <w:szCs w:val="17"/>
          <w:color w:val="000000"/>
        </w:rPr>
        <w:t>as part of Eni’s resident autonomous underwater vehicle (“AUV”) feasibility studies. During commercial operations, an</w:t>
      </w:r>
      <w:r>
        <w:rPr>
          <w:rFonts w:ascii="Arial" w:cs="Arial" w:eastAsia="Arial" w:hAnsi="Arial"/>
          <w:sz w:val="17"/>
          <w:szCs w:val="17"/>
          <w:color w:val="333333"/>
        </w:rPr>
        <w:t xml:space="preserve"> </w:t>
      </w:r>
      <w:r>
        <w:rPr>
          <w:rFonts w:ascii="Arial" w:cs="Arial" w:eastAsia="Arial" w:hAnsi="Arial"/>
          <w:sz w:val="17"/>
          <w:szCs w:val="17"/>
          <w:color w:val="000000"/>
        </w:rPr>
        <w:t>AUV would remain on site to perform various inspection, maintenance, and repair tasks. As demonstrated during our project with Eni, our solutions generated sufficient power that could, with client assets, extend missions for longer durations.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Data as a Service solution is an evolution of the work we did for Harbour Energy (formerly known as Premier Oil) in 2019 in the North Sea. Since then, we have been developing a Maritime Domain Awareness solution (“MDA-S” or “MDA”) to introduce edge computing and artificial intelligence modules that can be delivered to customers via cyber secure cloud environments.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Strategic Consulting Services, materially strengthened by the acquired 3Dent team, focus on delivering value to our customers in the areas of ocean engineering, structural and dynamic analysis, Front End Engineering and Design (“FEED”) studies, and motion simulation. These services can be delivered as part of our broader Power and/or Data as a Service solution utilizing our solutions or on a standalone basis. In the near term, we are focusing on increasing our market share in the floating offshore wind market and the broader floating foundation design market, as well as our business with offshore oil and gas customers.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Throughout fiscal 2021 we delivered several transactions and projects laying the foundation for our growth in fiscal 2022. We have identified, and are pursuing, several new applications for our PowerBuoys® in the areas of defense, security and maritime domain awareness solutions. In February 2021, the Company acquired all the outstanding equity interest of 3Dent, a company based in Houston, Texas, that offers offshore engineering and design services that are complementary to our technology and products and strengthen our Strategic Consulting Services. During the first quarter of fiscal 2022, we commenced several research and development (“R&amp;D”) and commercial development programs, including commencing our custom software development efforts with Greensea and Fathom5 to further extend our edge computing and cloud hosting capabilities.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2020, the Company entered into an agreement with the Offshore Operators Committee (“OOC”) under which the Company provided engineering and technical services for a new project under the DeepStar Global Technology Consortium Program. This project showcased our Power as a Service offering among well-known operators in the industry.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2020, the Company entered into an agreement with Adams Communication &amp; Engineering Technology, Inc. (“ACET”) to conduct a feasibility study for the evaluation of a PB3 power and 5G communications solution in support of the U.S. Navy’s Naval Postgraduate School’s Sea, Land, Air, Military Research Initiative (“SLAMR”). This forms part of our Data as a Service division.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 Regarding COVID-19</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presented substantial health and economic risks, uncertainties and challenges to our business, the global economy and financial markets. In March 2020, one of the Company’s customers cancelled a portion of their contract due to the outbreak of COVID-19 and instead extended an existing lease. In April 2020, the Company declared force majeure on a contract with a different customer and delayed the deployment of its PB3 PowerBouy® in Chile. For additional information on various uncertainties and risks posed by the COVID-19 pandemic, see Part I, Item 1A “Risk Factors” of our Annual Report on Form 10-K for the year ended April 30, 2021.</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27, 2020, the U.S. Government passed into law the Coronavirus Aid, Relief and Economic Security Act, or the (“CARES Act”). On May 3, 2020, the Company signed a Paycheck Protection Program (“PPP”) loan with Santander as the lender for approximately $891,000 in support through the Small Business Association (“SBA”) under the PPP loan. The PPP loan is unsecured and evidenced by a note in favor of Santander as the lender and governed by a Loan Agreement with Santander. The loan contained an interest rate of 1% and was repayable over two years. The loan contained customary events of defaults relating to, among other things, payment defaults or breaches of the terms of the loan. Upon the occurrence of an event of default, the lender could have required immediate repayment of all outstanding amounts under the loan. Interest and principal payments are deferred for the first 6 months from the date of the loan. Principal and interest were payable monthly commencing 6 months after the disbursement date and were allowed to be repaid by the Company at any time prior to maturity with no prepayment penalties. The Company received the proceeds on May 5,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The Company filed its loan forgiveness application at the end of February 2021 asking for 100% forgiveness of the loan. In June 2021, the Company was informed that its application was approved, and that the loan is now fully forgiven. The Company recognized a gain on extinguishment of PPP loan of approximately $891,000 in the July 31, 2021 Consolidated Statement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 and Power Generating Platform Services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PB3 PowerBuoy</w:t>
      </w:r>
      <w:r>
        <w:rPr>
          <w:rFonts w:ascii="Arial" w:cs="Arial" w:eastAsia="Arial" w:hAnsi="Arial"/>
          <w:sz w:val="29"/>
          <w:szCs w:val="29"/>
          <w:color w:val="auto"/>
          <w:vertAlign w:val="superscript"/>
        </w:rPr>
        <w:t>®</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PB3 generates electricity by harnessing the renewable energy of ocean waves. The PB3 features a unique onboard power take-off (“PTO”) system, which incorporates both energy storage and energy management and control systems. The PB3 generates a nominal name-plated capacity rating of up to 3 kilowatts (“kW”) of peak power during recharging of the onboard batteries. Power generation is deployment-site dependent. Our standard energy storage system (“ESS”) has an energy capacity of up to a nominal 150 kW-hours to meet specific application requirements.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PB3 is designed to generate power for use independent of the power grid in remote offshore locations. The hull consists of a main spar structure loosely moored to the seabed and surrounded by a floating annular structure that can freely move up and down in response to the passage of the waves. The PTO system includes a mechanical actuating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an ESS. The operation of the PB3 is controlled by our customized, proprietary control system.</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prevent the PB3 from being damaged by storms.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PB3 can be transported over land to the deployment port using conventional transportation methods. Once at port, the PB3 can be lifted into the water or onboard a vessel using a readily available crane of appropriate capacity. The PB3 may then be towed to a site using a standard vessel (if the location is within an appropriate distance from the port), or the PB3 may be carried aboard a vessel to its offshore location and craned into the water at site. The PB3 is then attached to the mooring system, which is installed during a separate operation, after which a brief commissioning process places the PB3 into operation.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using wave energy for electricity generation has the following potential benefits, compared to existing incumbent solutions.</w:t>
      </w:r>
    </w:p>
    <w:p>
      <w:pPr>
        <w:spacing w:after="0" w:line="225" w:lineRule="exact"/>
        <w:rPr>
          <w:sz w:val="20"/>
          <w:szCs w:val="20"/>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Scalability within a small site area. </w:t>
      </w:r>
      <w:r>
        <w:rPr>
          <w:rFonts w:ascii="Arial" w:cs="Arial" w:eastAsia="Arial" w:hAnsi="Arial"/>
          <w:sz w:val="18"/>
          <w:szCs w:val="18"/>
          <w:color w:val="auto"/>
        </w:rPr>
        <w:t>Due to the dense energy in ocean waves, we believe that the electricity may be aggregated to supply larger</w:t>
      </w:r>
      <w:r>
        <w:rPr>
          <w:rFonts w:ascii="Arial" w:cs="Arial" w:eastAsia="Arial" w:hAnsi="Arial"/>
          <w:sz w:val="18"/>
          <w:szCs w:val="18"/>
          <w:i w:val="1"/>
          <w:iCs w:val="1"/>
          <w:color w:val="auto"/>
        </w:rPr>
        <w:t xml:space="preserve"> </w:t>
      </w:r>
      <w:r>
        <w:rPr>
          <w:rFonts w:ascii="Arial" w:cs="Arial" w:eastAsia="Arial" w:hAnsi="Arial"/>
          <w:sz w:val="18"/>
          <w:szCs w:val="18"/>
          <w:color w:val="auto"/>
        </w:rPr>
        <w:t>payloads, as a result, for example, of multiple PB3s which are placed in an array, occupying a relatively small area. We believe the array of a larger number of PB3s could offer end users a variety of advantages in availability, reliability and scalability.</w:t>
      </w:r>
    </w:p>
    <w:p>
      <w:pPr>
        <w:spacing w:after="0" w:line="183" w:lineRule="exact"/>
        <w:rPr>
          <w:rFonts w:ascii="Arial" w:cs="Arial" w:eastAsia="Arial" w:hAnsi="Arial"/>
          <w:sz w:val="18"/>
          <w:szCs w:val="18"/>
          <w:i w:val="1"/>
          <w:iCs w:val="1"/>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Predictability. </w:t>
      </w:r>
      <w:r>
        <w:rPr>
          <w:rFonts w:ascii="Arial" w:cs="Arial" w:eastAsia="Arial" w:hAnsi="Arial"/>
          <w:sz w:val="18"/>
          <w:szCs w:val="18"/>
          <w:color w:val="auto"/>
        </w:rPr>
        <w:t>The generation of power from wave energy can be forecasted several days in advance. Available wave energy can be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 high degree of accuracy based on satellite images and meteorological data, even when the wave field is hundreds of miles away and days from reaching a PB3. Therefore, we believe end-users relying on PB3 for power may be able to proactively plan their logistics, payload scheduling and other operational activities based on such data.</w:t>
      </w:r>
    </w:p>
    <w:p>
      <w:pPr>
        <w:spacing w:after="0" w:line="186" w:lineRule="exact"/>
        <w:rPr>
          <w:rFonts w:ascii="Arial" w:cs="Arial" w:eastAsia="Arial" w:hAnsi="Arial"/>
          <w:sz w:val="18"/>
          <w:szCs w:val="18"/>
          <w:i w:val="1"/>
          <w:iCs w:val="1"/>
          <w:color w:val="auto"/>
        </w:rPr>
      </w:pPr>
    </w:p>
    <w:p>
      <w:pPr>
        <w:jc w:val="both"/>
        <w:ind w:left="660" w:hanging="652"/>
        <w:spacing w:after="0" w:line="263"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Constant source of energy. </w:t>
      </w:r>
      <w:r>
        <w:rPr>
          <w:rFonts w:ascii="Arial" w:cs="Arial" w:eastAsia="Arial" w:hAnsi="Arial"/>
          <w:sz w:val="18"/>
          <w:szCs w:val="18"/>
          <w:color w:val="auto"/>
        </w:rPr>
        <w:t>The annual occurrence of waves at specific sites can be relatively persistent and defined with relatively high accuracy.</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our studies and analyses of various sites of interest, we believe that we will be able to deploy our PB3 in locations where the waves could produce usable electricity for most of the year.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our market research and publicly available data, including but not limited to the U.S. Department of Energy (“DOE”) 2019 Powering the Blue Economy Report, the Westwood Energy World ROV Operations Forecast 2019-2023, and the World Bank Database, we believe that numerous markets may have a direct need for our PB3 including defense and security, offshore oil and gas, science and research, and offshore wind, as well as government applications in fishery protection and marine protected areas. Depending on payload power requirements, sensor types and other considerations, we have found that our PB3 could satisfy several application requirements within these markets. We believe that the PB3 can generate sufficient power to meet the requirements of many potential customer applications within our target markets, and that the hybrid could provide ample power in geographies where wave conditions may not be sufficient to allow the PB3 to generate sufficient power.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hybrid PowerBuoy®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product launched a hybrid PowerBuoy® (“hPB”) that is a solar powered surface buoy, compared to the wave power generating PB3. The hybrid PowerBuoy® is powered primarily through solar panels with an efficient and clean burning external combustion Stirling engine to provide back-up power and is capable of providing reliable power in remote offshore locations, regardless of ocean wave conditions. We believe this product is complementary to the PB3 by providing the Company the opportunity to address a broader spectrum of customer deployment needs, including low-wave environments, with the potential for greater product integration within each customer project. It is intended for agile deployment applications, such as recharging and surface communications hub for electric remotely operated vehicles (“eROV”) and autonomous underwater vehicles (“AUV”) used for underwater inspections and short-term maintenance, subsea equipment monitoring and control, and provides a flexible platform to optimize power storage based on the environment and the application. The hybrid can be quickly deployed and offers customers a cost-effective solution. The design has a high payload capacity for communications and surveillance, with the capability of being tethered to subsea payloads such as batteries, or with a conventional anchor mooring system. The hybrid generates power from both an array of solar panels and an efficient, clean burning 1 kW Stirling engine fueled by liquid propane. This energy is stored in onboard batteries which power subsea and topside payloads. The Company has designed the hybrid with a Stirling engine backup system to outperform traditional diesel buoys, which we believe have more frequent service and refueling intervals and higher carbon intensities. We believe the hybrid will be able to operate over a broad range of temperature and ocean wave conditions.</w:t>
      </w:r>
    </w:p>
    <w:p>
      <w:pPr>
        <w:spacing w:after="0" w:line="17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towable, boat-shaped hull design of the hybrid is appropriate for deployment throughout the world. Power is generated independent of wave activity, making it a good solution for providing power in relatively calm, low wave environments with high solar intensity and is complimentary to the PB3.</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with the PB3, the control system uses sensors and an onboard computer to continuously monitor the hybrid subsystems. We believe that this ability to optimize and manage the electric power output of the hybrid is a significant advantage of our technology. In the event of extended cloudy periods, the control system automatically switches electricity generation from the solar panels to the backup engine. However, the load center, either the on-board payload or one in the vicinity of the hybrid, may continue to receive power from the on-board ESS. When more suitable solar power generation conditions return, the control system automatically stops the backup up engine and ESS replenishment recommences by way of solar electricity generation.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hybrid is designed for use with a single point umbilical and mooring but can be adapted for a 3-point mooring installation for use as a temporary replacement for PB3 installations during planned maintenance or repairs.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hybrid can be transported over land to the deployment port using conventional transportation methods. Once at port, the hybrid is fitted with additional stabilizing outriggers, and then can be lifted into the water or onboard a vessel using a readily available crane of appropriate capacity. The hybrid may then be towed to a site using a standard vessel (if the location is within an appropriate distance from the port), or the hybrid may be carried aboard a vessel to its offshore location and craned into the water at site. The hybrid is then attached to the single point mooring system, which is installed during a separate operation, after which a brief commissioning process places the hybrid into operation.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hybrid is configured with a nominal 30 kW-hours of battery energy storage and approximately 1 megawatt-hour (“MWh”) of stored energy in the propane system. While the batteries are primarily charged through solar power generation, the propane powered Stirling engine system on the hybrid can be considered reserve energy storage, with propane having a much higher energy storage density than lithium-ion batteries. It can be utilized when needed based on load demand and will provide approximately 1 MWh of stored energy capacity. We believe that this amount of stored energy offers an attractive local, autonomous energy solution for clients in a range of industries, including but not limited to offshore oil and gas and marine observation, particularly for shorter term deployments.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first quarter of fiscal 2022, we commenced efforts to upgrade the current version of the hPB to host our MDA-S (as defined below) offering by adding further stabilizing features.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Subsea Battery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product launched a subsea battery that is complementary to both the PB3 and hybrid products and can be deployed together with our PowerBuoys® or on its own. It offers customers the option of placing additional modular and expandable energy storage on the seabed near existing, or to be installed, subsea equipment. Our lithium-ion subsea batteries supply power that can enable subsea equipment, sensors, communications and AUV and eROV recharge. Our PB3 and hybrid are complimentary to the subsea batteries by providing a means for recharging during longer term deployments, or the batteries can be used independently for shorter term deployments.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jc w:val="both"/>
        <w:spacing w:after="0" w:line="291" w:lineRule="auto"/>
        <w:rPr>
          <w:sz w:val="20"/>
          <w:szCs w:val="20"/>
          <w:color w:val="auto"/>
        </w:rPr>
      </w:pPr>
      <w:r>
        <w:rPr>
          <w:rFonts w:ascii="Arial" w:cs="Arial" w:eastAsia="Arial" w:hAnsi="Arial"/>
          <w:sz w:val="16"/>
          <w:szCs w:val="16"/>
          <w:color w:val="auto"/>
        </w:rPr>
        <w:t>The subsea battery has been designed to provide continuous and/or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 kW-hours of energy storage. The subsea battery can be transported over land to the deployment port using conventional transportation methods. Once at port, the subsea battery can be lifted onboard a vessel using a readily available crane of appropriate capacity. The battery can then be carried aboard a vessel to its offshore location and craned into the water at site. It comes installed on a ready deployable subsea skid suitable for installation on the seabed. The subsea battery can be integrated into other subsea equipment on land prior to deployment. The battery is then connected to the other components on the seabed with the use of an eROV.</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Maritime Domain Awareness Solution (“MDA-S”)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International Maritime Organization defines Maritime Domain Awareness as the effective understanding of any activity that could impact upon the security, safety, economy, or environment. Since 2002 the United States of America, for example, has had an active strategy to secure the Maritime Domain. Furthermore, in 2020 the U.S. Coast Guard elevated Illegal, Unreported and Unregulated (“IUU”) fisheries, one aspect of MDA security, as the leading global maritime threat. It is estimated that tens of billions of Dollars are lost every year to IUU fishing alone.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our MDA-S payload to consist of a high-definition radar, gyro-stabilized high-definition optical and thermal imaging cameras, vessel automatic identification system (“AIS”) detection, and integrated command and control software and as customer needs dictate. Capabilities include 24/7 vessel tracking, automatic radar plotting, automated vessel warnings, and high-definition optical and thermal video surveillance capable of providing evidentiary backup of activity to aid in prosecution.</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intend data from our MDA-S will be processed onboard our buoys using edge computing, developed together with our software partners, transmitted to shore-based command stations via cyber-secure Wi-Fi, cellular, and/or satellite systems, depending upon location, and then further processed in our cloud-based analytics platform. Surveillance data can be integrated with readily available marine monitoring software or with our own MDA software solution developed together with leading partners in the technology industry to provide command and control features of a multi-buoy surveillance network. The data can also be integrated with satellite, weather, bathymetric, and other data feeds to form a detailed surface and subsea picture of a monitored area.</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single MDA-S, PB3 PowerBuoy®, can monitor vessel traffic, with or without AIS turned on, across an area approximately 1,300 square nautical miles of ocean territory on a permanent or temporary basis, with the ability to link multiple surveillance assets together over large ocean areas giving end-users visibility into potentially damaging environmental or illegal activities. Customized solutions are also available including the addition of subsea sensors to monitor for acoustic signatures, including tsunami, and water quality.</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development of our MDA-S is underway, and we intend to launch the first offshore demonstrations of the newly developed system during the second and third quarters of fiscal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Consulting Services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work being performed by OPT for the DeepStar project, through our technology subsidiary, 3Dent, we also offer a full range of high-level offshore engineering, including providing consulting engineering and design services to offshore wind developers, offshore construction companies, drilling contractors, major oil companies, service companies, shipyards, and engineering firms. 3Dent’s team of dedicated consultants/designers has expertise in structural engineering, hydrodynamics and naval architecture. Among its services is a focus on addressing the issues current or would-be owners of offshore floaters, jackups, and lift boats have with their fleet. 3Dent’s services include simulation engineering, software engineering, concept design and motion analysis.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The table below shows the percentage of the Company’s revenues derived from customers whose revenues accounted for at least 10% of the Company’s consolidated revenues for at least one of the periods indicated:</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35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 July 31,</w:t>
            </w:r>
          </w:p>
        </w:tc>
      </w:tr>
      <w:tr>
        <w:trPr>
          <w:trHeight w:val="237"/>
        </w:trPr>
        <w:tc>
          <w:tcPr>
            <w:tcW w:w="5480" w:type="dxa"/>
            <w:vAlign w:val="bottom"/>
            <w:tcBorders>
              <w:bottom w:val="single" w:sz="8" w:color="CCEEFF"/>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CCEEFF"/>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Harbour (p/k/a Premier Oil)</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Valaris</w:t>
            </w:r>
          </w:p>
        </w:tc>
        <w:tc>
          <w:tcPr>
            <w:tcW w:w="1840" w:type="dxa"/>
            <w:vAlign w:val="bottom"/>
            <w:gridSpan w:val="2"/>
          </w:tcPr>
          <w:p>
            <w:pPr>
              <w:jc w:val="right"/>
              <w:ind w:right="110"/>
              <w:spacing w:after="0"/>
              <w:rPr>
                <w:sz w:val="20"/>
                <w:szCs w:val="20"/>
                <w:color w:val="auto"/>
              </w:rPr>
            </w:pPr>
            <w:r>
              <w:rPr>
                <w:rFonts w:ascii="Arial" w:cs="Arial" w:eastAsia="Arial" w:hAnsi="Arial"/>
                <w:sz w:val="18"/>
                <w:szCs w:val="18"/>
                <w:color w:val="auto"/>
              </w:rPr>
              <w:t>33%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4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(no customer over 10%)</w:t>
            </w:r>
          </w:p>
        </w:tc>
        <w:tc>
          <w:tcPr>
            <w:tcW w:w="1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7"/>
        </w:trPr>
        <w:tc>
          <w:tcPr>
            <w:tcW w:w="548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order to achieve success in commercializing our products, we must expand our customer base and obtain commercial contracts to lease or sell our solutions and services to customers. Our potential customer base for our </w:t>
      </w:r>
      <w:r>
        <w:rPr>
          <w:rFonts w:ascii="Arial" w:cs="Arial" w:eastAsia="Arial" w:hAnsi="Arial"/>
          <w:sz w:val="17"/>
          <w:szCs w:val="17"/>
          <w:color w:val="333333"/>
        </w:rPr>
        <w:t>solutions</w:t>
      </w:r>
      <w:r>
        <w:rPr>
          <w:rFonts w:ascii="Arial" w:cs="Arial" w:eastAsia="Arial" w:hAnsi="Arial"/>
          <w:sz w:val="17"/>
          <w:szCs w:val="17"/>
          <w:color w:val="auto"/>
        </w:rPr>
        <w:t xml:space="preserve"> includes various public and private entities, and agencies that require remote offshore power. To date, substantially all of our revenue producing contracts have been with a small number of customers under contracts to fund a portion of the costs of our operational efforts to develop and improve our technology, validate our product through ocean and laboratory testing, and business development activities with potential commercial customers. Our goal in the future is that an increased portion of our revenues will be from the lease or sale of our products and related maintenance as well as consultative and other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and Recent Customers</w:t>
      </w:r>
    </w:p>
    <w:p>
      <w:pPr>
        <w:spacing w:after="0" w:line="225" w:lineRule="exact"/>
        <w:rPr>
          <w:sz w:val="20"/>
          <w:szCs w:val="20"/>
          <w:color w:val="auto"/>
        </w:rPr>
      </w:pPr>
    </w:p>
    <w:p>
      <w:pPr>
        <w:jc w:val="both"/>
        <w:ind w:left="34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June 2021, the Company was notified of a pre-award for a Department of Energy (“DOE”) Small Business Innovation Research program (“SBIR”) to support the development of the next generation of our wave energy conversion systems. In August 2021, we completed all required documentation, signed the DOE contract and initiated the 9-month project which will begin in the second quarter of fiscal 2022.</w:t>
      </w:r>
    </w:p>
    <w:p>
      <w:pPr>
        <w:spacing w:after="0" w:line="165"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Throughout the first quarter of fiscal 2022, our strategic consulting services, continued to generate revenues from prior and new customers of approximately $220,000.</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November 2020, the Company entered into an agreement with the OOC under which the Company will provide engineering and technical services for a new project under the DeepStar Global Technology Consortium Program. This project showcased our Power as a Service solution among well-known operators in the industry.</w:t>
      </w:r>
    </w:p>
    <w:p>
      <w:pPr>
        <w:spacing w:after="0" w:line="183"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October 2020, the Company entered into an agreement with ACET to conduct a feasibility study for the evaluation of a PB3 power and 5G communications solution in support of the U.S. Navy Naval Postgraduate School’s SLAMR. The study was completed and the Company is currently in active discussions with the Naval Postgraduate School on the project’s next steps on providing the data and power solution.</w:t>
      </w:r>
    </w:p>
    <w:p>
      <w:pPr>
        <w:spacing w:after="0" w:line="165"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March 2020, Eni exercised their option from the March 2018 contract to extend their lease of the PB3 for an additional 18 months. The initial provision in March 2018 agreement provided for a minimum 24-month contract that included an 18-month PB3 lease and associated project management. In November 2020, Eni retrieved the PB3 and returned it to shore due to a mooring issue. The PB3 has since been returned to our headquarters in New Jersey and is currently being refurbished to be redeployed.</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September 2019, we entered into two contracts with subsidiaries of EGP, which included the sale of a PB3 and the development and supply of a turn-key integrated Open Sea Lab (“OSL”) that was expected to be the Company’s first deployment off the coast of Chile. Due to the COVID-19 pandemic, force majeure was declared in April 2020 and delayed the deployment. In March 2021, the Company began the deployment process and placed the PB3 in the water. Final deployment installation activities are anticipated in late 2021.</w:t>
      </w:r>
    </w:p>
    <w:p>
      <w:pPr>
        <w:spacing w:after="0" w:line="186"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June 2018, we entered into a contract with Harbour Energy for the lease of a PB3 to be deployed in one of Harbour Energy’s offshore fields in the North Sea. </w:t>
      </w:r>
      <w:r>
        <w:rPr>
          <w:rFonts w:ascii="Arial" w:cs="Arial" w:eastAsia="Arial" w:hAnsi="Arial"/>
          <w:sz w:val="18"/>
          <w:szCs w:val="18"/>
          <w:color w:val="222222"/>
        </w:rPr>
        <w:t>During its deployment, the PB3 provided unmanned EZM service. In early March 2020 the Company and Harbour Energy retrieved the</w:t>
      </w:r>
      <w:r>
        <w:rPr>
          <w:rFonts w:ascii="Arial" w:cs="Arial" w:eastAsia="Arial" w:hAnsi="Arial"/>
          <w:sz w:val="18"/>
          <w:szCs w:val="18"/>
          <w:color w:val="auto"/>
        </w:rPr>
        <w:t xml:space="preserve"> </w:t>
      </w:r>
      <w:r>
        <w:rPr>
          <w:rFonts w:ascii="Arial" w:cs="Arial" w:eastAsia="Arial" w:hAnsi="Arial"/>
          <w:sz w:val="18"/>
          <w:szCs w:val="18"/>
          <w:color w:val="222222"/>
        </w:rPr>
        <w:t>PB3. This PB3 has since been returned to our headquarters in New Jersey and is currently being refurbished to be redeployed. We continue to have active discussions to engage with Harbor Energy on the next phase of this project.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Partnerships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our solutions are best developed, sold, deployed, and maintained together with subject matter experts in their respective fields. This enables OPT to protect, maintain, and evolve our power platforms and integrate them with surface and subsea payloads. OPT has previously entered into partnerships focused on including, but not limited to, deployment and installations, sourcing of surface payloads, and integration with autonomous vehicles. To further develop the MDA-S, we recently entered into strategic software and robotics partnerships with two software companies, Greensea Systems, Inc. and Fathom5. We believe, the partnerships with Greensea and Fathom5 will further the development of our next-generation MDA-S product for the maritime industrial market and governmental defense and security organizations.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Greensea Systems, Inc. will be contributing to OPT’s MDA-S by providing integration software, control software, autonomy and systems integration for the buoy sensor payload.</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Fathom5 will be designing and building a customized industrial analytics platform to support OPT’s MDA-S. The Fathom5 customized platform will integrate sensor technologies, combine data feeds, and provide a flexible plug-in analytic capability to apply artificial intelligence and machine learning to sensor feeds. Fathom5 is also building the user interface that will allow remote operators to control the MDA-S payload and view sensor data in real time.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we are in active discussions with larger systems integrators to develop partnerships focused on selling our platforms and solutions as part of larger projects.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fiscal 2021 and the first quarter of fiscal 2022, we advanced our marketing programs, products, and solutions. We have made progress in transitioning from R&amp;D to commercialization and we intend to build on these efforts by implementing processes and solutions that cover the entire life cycle, from demand generation to close of contract, and from channel strategies to customer care.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Most of the Company’s opportunities with potential customers have been for projects in Western Europe, including the North Sea, as well as North America and Asia. Nearly two-thirds of these opportunities have progressed past initial feasibility and non-disclosure agreement stages to more detailed, confidential discussions around specific customer applications.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Many proposal requests are for projects where one of our PowerBuoy® products, either the PB3, the hybrid, or our subsea battery is part of a larger solution deployment, and typically include the potential lease or sale of one or more PowerBuoys®, as well as required services and maintenance support. A majority of hybrid inquiries are for shorter term deployments in calmer waters. Historically, demonstration projects have been a necessary step toward broad solution deployment and revenues associated with specific applications. A proposal phase typically lasts from three months to more than one year. During the demonstration project specification, negotiation and evaluation period, we are often subject to the prospective customer’s vendor qualification process, which entails substantial due diligence of the Company and capabilities and may include negotiation of standard terms and conditions. Many proposals contain provisions which would mandate the sale or lease of our PowerBuoy® product upon successful conclusion of the demonstration project.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this is an accurate depiction of the overall sales cycle for new technology in each of our target markets, including our products and solutions. Cycle times for each step of the sales’ cycle will vary depending on several customer factors, including, but not limited to, technical evaluation, project priorities, project funding approval process, and alignment of new technology integration with the customer’s broader operational strategy. We believe that the resulting evidence of potential demand, vis-à-vis specific application proposal requests, is indicative of progress in our commercialization strategy. We believe that we have the potential for growth as a result of our positioning for higher volume production of our PowerBuoy® products and the initial indications of demand for our PowerBuoy® products in multiple customer applications.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pursuing a long-term growth strategy to expand its market value proposition while building the Company’s revenue base. This strategy includes partnerships with leading companies in adjacent and complementary markets. We continue to commercialize our PowerBuoy® products for use in remote offshore power and real-time data communications applications, and in order to achieve this goal, we are pursuing the following business objectives:</w:t>
      </w:r>
    </w:p>
    <w:p>
      <w:pPr>
        <w:spacing w:after="0" w:line="187" w:lineRule="exact"/>
        <w:rPr>
          <w:sz w:val="20"/>
          <w:szCs w:val="20"/>
          <w:color w:val="auto"/>
        </w:rPr>
      </w:pPr>
    </w:p>
    <w:p>
      <w:pPr>
        <w:jc w:val="both"/>
        <w:ind w:left="660" w:hanging="652"/>
        <w:spacing w:after="0" w:line="270" w:lineRule="auto"/>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Integrated turn-key solutions sales or leases incorporating our products and services. </w:t>
      </w:r>
      <w:r>
        <w:rPr>
          <w:rFonts w:ascii="Arial" w:cs="Arial" w:eastAsia="Arial" w:hAnsi="Arial"/>
          <w:sz w:val="17"/>
          <w:szCs w:val="17"/>
          <w:color w:val="auto"/>
        </w:rPr>
        <w:t>We believe our PB3 hybrid and our subsea battery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our MDA-S, are well suited to enable many uncrewed, autonomous (non-grid connected) offshore solutions, such as topside and subsea surveillance and communications, subsea equipment monitoring, early warning systems platform and subsea power and buffering, and weather and climate data collection. We have investigated and realized market demand for some of these solutions and we intend to sell and lease our products to these markets as part of these broader integrated solutions. Additionally, we intend to provide services associated with our solution offerings such as paid engineering studies, value-added engineering, maintenance, remote monitoring and diagnostic, application engineering, planning, training, project management, and marine and logistics support required for our solution life cycle. We continue to increase our commercial capabilities through new hires in sales and application support, and through engagement of expert market consultants in various geographies.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jc w:val="both"/>
        <w:ind w:left="660" w:hanging="652"/>
        <w:spacing w:after="0" w:line="289" w:lineRule="auto"/>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Expand customer system solution offerings through new complimentary products that enable shorter and more cost-efficient deployments.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hybrid is highly complementary to the PB3 by providing the Company the opportunity to address a broader spectrum of customer deployment needs, including low-wave environments, with the potential for greater system integration within each customer project. The hybrid is primarily intended for shorter term deployment applications such as eROV and AUV inspections and short-term maintenance, topside surveillance and communications, and subsea equipment and controls. The Company has developed a subsea battery system that is complimentary to the Company’s PowerBuoy® products. The subsea battery system offers the possibility of creating a sea floor energy storage solution for remote offshore operations. These subsea battery systems contain lithium-ion batteries, which provide high power density to supply power to subsea equipment, sensors, communications, and the recharging of AUVs and eROVs. Ideal for many remote offshore customer applications, these subsea battery systems are anticipated to be safe, high performance, cost-efficient, and quickly deployable.</w:t>
      </w:r>
    </w:p>
    <w:p>
      <w:pPr>
        <w:spacing w:after="0" w:line="166" w:lineRule="exact"/>
        <w:rPr>
          <w:rFonts w:ascii="Arial" w:cs="Arial" w:eastAsia="Arial" w:hAnsi="Arial"/>
          <w:sz w:val="16"/>
          <w:szCs w:val="16"/>
          <w:i w:val="1"/>
          <w:iCs w:val="1"/>
          <w:color w:val="auto"/>
        </w:rPr>
      </w:pPr>
    </w:p>
    <w:p>
      <w:pPr>
        <w:jc w:val="both"/>
        <w:ind w:left="660" w:hanging="652"/>
        <w:spacing w:after="0" w:line="259"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global markets. </w:t>
      </w:r>
      <w:r>
        <w:rPr>
          <w:rFonts w:ascii="Arial" w:cs="Arial" w:eastAsia="Arial" w:hAnsi="Arial"/>
          <w:sz w:val="18"/>
          <w:szCs w:val="18"/>
          <w:color w:val="auto"/>
        </w:rPr>
        <w:t>We are currently focusing our marketing efforts globally. We believe that each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areas has demand for our solutions, sizable end market opportunities, political and economic stability, and high levels of industrialization and economic development. In fiscal 2021, we opened an office in Houston, Texas to further support our customers and strengthen our dialogue with our solution partners.</w:t>
      </w:r>
    </w:p>
    <w:p>
      <w:pPr>
        <w:spacing w:after="0" w:line="186" w:lineRule="exact"/>
        <w:rPr>
          <w:rFonts w:ascii="Arial" w:cs="Arial" w:eastAsia="Arial" w:hAnsi="Arial"/>
          <w:sz w:val="18"/>
          <w:szCs w:val="18"/>
          <w:i w:val="1"/>
          <w:iCs w:val="1"/>
          <w:color w:val="auto"/>
        </w:rPr>
      </w:pPr>
    </w:p>
    <w:p>
      <w:pPr>
        <w:jc w:val="both"/>
        <w:ind w:left="660" w:hanging="652"/>
        <w:spacing w:after="0" w:line="254"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Expand our relationships in key market areas through strategic partnerships and collaborations. </w:t>
      </w:r>
      <w:r>
        <w:rPr>
          <w:rFonts w:ascii="Arial" w:cs="Arial" w:eastAsia="Arial" w:hAnsi="Arial"/>
          <w:sz w:val="18"/>
          <w:szCs w:val="18"/>
          <w:color w:val="auto"/>
        </w:rPr>
        <w:t>We believe that strategic partners are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commercializing new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Since our acquisition of 3Dent, we have been actively pursuing additional opportunities to bring in-house skills, capabilities, and solutions that are complementary to our strategy and enable us to scale more quickly.</w:t>
      </w:r>
    </w:p>
    <w:p>
      <w:pPr>
        <w:spacing w:after="0" w:line="191" w:lineRule="exact"/>
        <w:rPr>
          <w:rFonts w:ascii="Arial" w:cs="Arial" w:eastAsia="Arial" w:hAnsi="Arial"/>
          <w:sz w:val="18"/>
          <w:szCs w:val="18"/>
          <w:i w:val="1"/>
          <w:iCs w:val="1"/>
          <w:color w:val="auto"/>
        </w:rPr>
      </w:pPr>
    </w:p>
    <w:p>
      <w:pPr>
        <w:jc w:val="both"/>
        <w:ind w:left="660" w:hanging="652"/>
        <w:spacing w:after="0" w:line="275" w:lineRule="auto"/>
        <w:tabs>
          <w:tab w:leader="none" w:pos="66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Partnering with fabrication, deployment and service support</w:t>
      </w:r>
      <w:r>
        <w:rPr>
          <w:rFonts w:ascii="Arial" w:cs="Arial" w:eastAsia="Arial" w:hAnsi="Arial"/>
          <w:sz w:val="17"/>
          <w:szCs w:val="17"/>
          <w:color w:val="auto"/>
        </w:rPr>
        <w:t>. In order to minimize our capital requirements as we scale our business, we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optimize and utilize state of the art fabrication, anchoring, mooring, cabling supply, and in some cases, deployment of our products and solutions. Our PTO is a proprietary subsystem that is assembled and tested at our facility. We believe this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76" w:lineRule="exact"/>
        <w:rPr>
          <w:rFonts w:ascii="Arial" w:cs="Arial" w:eastAsia="Arial" w:hAnsi="Arial"/>
          <w:sz w:val="17"/>
          <w:szCs w:val="17"/>
          <w:i w:val="1"/>
          <w:iCs w:val="1"/>
          <w:color w:val="auto"/>
        </w:rPr>
      </w:pPr>
    </w:p>
    <w:p>
      <w:pPr>
        <w:jc w:val="both"/>
        <w:ind w:left="660" w:hanging="652"/>
        <w:spacing w:after="0" w:line="301" w:lineRule="auto"/>
        <w:tabs>
          <w:tab w:leader="none" w:pos="66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Cost reduction and PowerBuoy</w:t>
      </w:r>
      <w:r>
        <w:rPr>
          <w:rFonts w:ascii="Arial" w:cs="Arial" w:eastAsia="Arial" w:hAnsi="Arial"/>
          <w:sz w:val="16"/>
          <w:szCs w:val="16"/>
          <w:color w:val="auto"/>
        </w:rPr>
        <w:t>®</w:t>
      </w:r>
      <w:r>
        <w:rPr>
          <w:rFonts w:ascii="Arial" w:cs="Arial" w:eastAsia="Arial" w:hAnsi="Arial"/>
          <w:sz w:val="16"/>
          <w:szCs w:val="16"/>
          <w:i w:val="1"/>
          <w:iCs w:val="1"/>
          <w:color w:val="auto"/>
        </w:rPr>
        <w:t xml:space="preserve"> solution development. </w:t>
      </w:r>
      <w:r>
        <w:rPr>
          <w:rFonts w:ascii="Arial" w:cs="Arial" w:eastAsia="Arial" w:hAnsi="Arial"/>
          <w:sz w:val="16"/>
          <w:szCs w:val="16"/>
          <w:color w:val="auto"/>
        </w:rPr>
        <w:t>Our engineering efforts are mainly focused on addressing customer solutions; product and</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 sales; reducing production, installation, and product life-cycle costs; and improving the energy output, reliability, maintenance interval and expected operating life of our products. We continue to optimize the manufacturing of our designs with a focus on cost competitiveness, and we believe we will be able to address new applications by developing new payloads and solutions that address customer needs.</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Through our 3Dent subsidiary, we plan to expand our customer base and increase our revenue base, by providing consulting engineering and design services to offshore wind developers, offshore construction companies, drilling contractors, major oil companies, service companies, and engineering firms.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first three months ending July 31, 2021, the Company incurred a net loss of approximately $3.1 million and used cash in operations of approximately $5.3 million.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performance of its products, its ability to market and commercialize its products and new products that it may develop, technology development, scalability of technology and production, dependence on skills of key personnel, concentration of customers and suppliers, deployment risks and integration of acquisitions, pending or threatened litigation, and the continued impact of COVID-19 on its business. The Company currently has committed sources of equity financing through its At the Market Offering Agreement with A.G.P/Alliance Global Partners (“AGP”) and the Aspire Capital financing, but the Company cannot be sure that additional equity and/or debt financing will be available to the Company as needed on acceptable terms, or at all. Management believes the Company’s current cash balance of $78.1 million is sufficient to fund its planned expenditures through at least September 30, 2022. In addition to the acquisition of 3Dent in the prior year, the Company is looking at further organic and inorganic growth opportunities to advance our data and power services and solutions.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the Market Offering Agreements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7, 2019, the Company entered into an At the Market Offering Agreement (“2019 ATM Facility”) with AGP, under which the Company may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and paid AGP a sales commission of approximately $0.8 million related to those shares. The agreement was fully utilized and terminated on December 8, 2020.</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20, 2020, the Company entered into an At the Market Offering Agreement with AGP (the “2020 ATM Facility”).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April 30, 2021, the Company sold and issued an aggregate of 17,179,883 shares of its common stock with an aggregate market value of $50.0 million at an average price of $2.91 per share and paid AGP a sales commission of approximately $1.6 million related to those shares. A prospectus supplement would need to be filed for the Company to sell additional amounts under the 2020 ATM Facility.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Line Common Stock Purchase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The agreement was fully utilized and terminated on September 18, 2020.</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18, 2020, the Company entered into a new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stockholders on December 23, 2020 for the sale of 9,864,706 additional shares of common stock which exceeds the 19.99% limit of outstanding common stock on the date of the agreement. Through July 31, 2021, the Company had sold an aggregate of 3,722,251 shares of common stock with an aggregate market value of $11.8 million at an average price of $3.17 per share pursuant to this common stock purchase agreement.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The Company has obtained equity financing through its At the Market Offering Agreement with AGP and the Aspire Capital financing, but the Company cannot be sure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July 31, 2021, the Company’s backlog was $0.4 million. As of April 30, 2021, backlog was $0.2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input method used to measure completion over time of customer contracts, and changes in estimates from time to time may have a significant effect on revenue and backlog. Our backlog is also typically subject to large variations from time to time due to the timing of new awards.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2021. There were no material changes to our critical accounting estimates or accounting policies during the three months ended July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Financial Accounting Standards Board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 </w:t>
      </w:r>
      <w:r>
        <w:rPr>
          <w:rFonts w:ascii="Arial" w:cs="Arial" w:eastAsia="Arial" w:hAnsi="Arial"/>
          <w:sz w:val="17"/>
          <w:szCs w:val="17"/>
          <w:i w:val="1"/>
          <w:iCs w:val="1"/>
          <w:color w:val="auto"/>
        </w:rPr>
        <w:t>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This amendment replaces the incurred loss impairment methodology in current GAAP with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Instruments—Credit Losses (Topic 326), Derivatives and Hedging (Topic 815), and Leases (Topic 842)</w:t>
      </w:r>
      <w:r>
        <w:rPr>
          <w:rFonts w:ascii="Arial" w:cs="Arial" w:eastAsia="Arial" w:hAnsi="Arial"/>
          <w:sz w:val="17"/>
          <w:szCs w:val="17"/>
          <w:color w:val="auto"/>
        </w:rPr>
        <w:t>, which deferred the effective date of 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nature of the Company’s contracts may give rise to several types of variable considerations,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July 31, 2021 and 2020.</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time elapsed best represents the measure of progress against the performance obligations incorporated within the contractual agreements. When the Company’s estimate of total costs to be incurred to satisfy the performance obligations exceed revenue, the Company recognizes the loss immediately.</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spacing w:after="0" w:line="272"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three-month periods ended July 31, 2021 and 2020, all of the Company’s contracts were classified as firm fixed price.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31, 2021, the Company’s total remaining performance obligations, also referred to as backlog, totaled $0.4 million. The Company expects to recognize approximately 100%, or $0.4 million, of the remaining performance obligations as revenue over the next twelve months.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enters into lease arrangements for its PB3 with certain customers.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The Company classifies leases as either operating or financing in accordance with the authoritative accounting guidance contained within ASC Topic 842, </w:t>
      </w:r>
      <w:r>
        <w:rPr>
          <w:rFonts w:ascii="Arial" w:cs="Arial" w:eastAsia="Arial" w:hAnsi="Arial"/>
          <w:sz w:val="16"/>
          <w:szCs w:val="16"/>
          <w:i w:val="1"/>
          <w:iCs w:val="1"/>
          <w:color w:val="auto"/>
        </w:rPr>
        <w:t xml:space="preserve">“Leases”. </w:t>
      </w:r>
      <w:r>
        <w:rPr>
          <w:rFonts w:ascii="Arial" w:cs="Arial" w:eastAsia="Arial" w:hAnsi="Arial"/>
          <w:sz w:val="16"/>
          <w:szCs w:val="16"/>
          <w:color w:val="auto"/>
        </w:rPr>
        <w:t>At inception of the contract, the Company evaluates the lease against the lease classification criteria within ASC Topic 842. If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or sales-type classification criteria are met, then the lease is accounted for as a finance lease. All others are treated as an operating lease.</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recognizes revenue from operating lease arrangements generally on a straight-line basis over the lease term and is presented in Revenues in the Consolidated Statement of Operations. The lease income for the three months ended July 31, 2021 and 2020 was immaterial.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breakdown of our revenues by customer for the three months ended July 31, 2021 and 2020.</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80" w:type="dxa"/>
            <w:vAlign w:val="bottom"/>
            <w:tcBorders>
              <w:bottom w:val="single" w:sz="8" w:color="auto"/>
            </w:tcBorders>
            <w:gridSpan w:val="5"/>
          </w:tcPr>
          <w:p>
            <w:pPr>
              <w:jc w:val="right"/>
              <w:ind w:right="67"/>
              <w:spacing w:after="0"/>
              <w:rPr>
                <w:sz w:val="20"/>
                <w:szCs w:val="20"/>
                <w:color w:val="auto"/>
              </w:rPr>
            </w:pPr>
            <w:r>
              <w:rPr>
                <w:rFonts w:ascii="Arial" w:cs="Arial" w:eastAsia="Arial" w:hAnsi="Arial"/>
                <w:sz w:val="18"/>
                <w:szCs w:val="18"/>
                <w:b w:val="1"/>
                <w:bCs w:val="1"/>
                <w:color w:val="auto"/>
              </w:rPr>
              <w:t>Three months ended July 31,</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3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60" w:type="dxa"/>
            <w:vAlign w:val="bottom"/>
            <w:gridSpan w:val="4"/>
          </w:tcPr>
          <w:p>
            <w:pPr>
              <w:jc w:val="right"/>
              <w:ind w:right="647"/>
              <w:spacing w:after="0"/>
              <w:rPr>
                <w:sz w:val="20"/>
                <w:szCs w:val="20"/>
                <w:color w:val="auto"/>
              </w:rPr>
            </w:pPr>
            <w:r>
              <w:rPr>
                <w:rFonts w:ascii="Arial" w:cs="Arial" w:eastAsia="Arial" w:hAnsi="Arial"/>
                <w:sz w:val="18"/>
                <w:szCs w:val="18"/>
                <w:color w:val="auto"/>
                <w:w w:val="98"/>
              </w:rPr>
              <w:t>(in thousands)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Eni S.p.A.</w:t>
            </w:r>
          </w:p>
        </w:tc>
        <w:tc>
          <w:tcPr>
            <w:tcW w:w="2740" w:type="dxa"/>
            <w:vAlign w:val="bottom"/>
            <w:gridSpan w:val="2"/>
            <w:shd w:val="clear" w:color="auto" w:fill="CCEEFF"/>
          </w:tcPr>
          <w:p>
            <w:pPr>
              <w:jc w:val="right"/>
              <w:ind w:right="856"/>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94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Harbour (p/k/a Premier Oil)</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EGP</w:t>
            </w:r>
          </w:p>
        </w:tc>
        <w:tc>
          <w:tcPr>
            <w:tcW w:w="17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Valaris</w:t>
            </w: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 customer over 10%)</w:t>
            </w:r>
          </w:p>
        </w:tc>
        <w:tc>
          <w:tcPr>
            <w:tcW w:w="17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6"/>
        </w:trPr>
        <w:tc>
          <w:tcPr>
            <w:tcW w:w="3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tcBorders>
              <w:bottom w:val="single" w:sz="8" w:color="auto"/>
            </w:tcBorders>
          </w:tcPr>
          <w:p>
            <w:pPr>
              <w:jc w:val="right"/>
              <w:ind w:right="85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focus our sales and marketing efforts globally. The following table shows the percentage of our revenues by geographical location of our customers for the three months ended July 31, 2021 and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months ended July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80" w:type="dxa"/>
            <w:vAlign w:val="bottom"/>
            <w:gridSpan w:val="2"/>
          </w:tcPr>
          <w:p>
            <w:pPr>
              <w:ind w:left="1140"/>
              <w:spacing w:after="0"/>
              <w:rPr>
                <w:sz w:val="20"/>
                <w:szCs w:val="20"/>
                <w:color w:val="auto"/>
              </w:rPr>
            </w:pPr>
            <w:r>
              <w:rPr>
                <w:rFonts w:ascii="Arial" w:cs="Arial" w:eastAsia="Arial" w:hAnsi="Arial"/>
                <w:sz w:val="18"/>
                <w:szCs w:val="18"/>
                <w:b w:val="1"/>
                <w:bCs w:val="1"/>
                <w:color w:val="auto"/>
              </w:rPr>
              <w:t>Customer Location</w:t>
            </w:r>
          </w:p>
        </w:tc>
        <w:tc>
          <w:tcPr>
            <w:tcW w:w="2540" w:type="dxa"/>
            <w:vAlign w:val="bottom"/>
            <w:gridSpan w:val="2"/>
          </w:tcPr>
          <w:p>
            <w:pPr>
              <w:spacing w:after="0"/>
              <w:rPr>
                <w:sz w:val="20"/>
                <w:szCs w:val="20"/>
                <w:color w:val="auto"/>
              </w:rPr>
            </w:pPr>
          </w:p>
        </w:tc>
        <w:tc>
          <w:tcPr>
            <w:tcW w:w="15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438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South America</w:t>
            </w:r>
          </w:p>
        </w:tc>
        <w:tc>
          <w:tcPr>
            <w:tcW w:w="4380" w:type="dxa"/>
            <w:vAlign w:val="bottom"/>
            <w:gridSpan w:val="4"/>
          </w:tcPr>
          <w:p>
            <w:pPr>
              <w:jc w:val="right"/>
              <w:ind w:right="110"/>
              <w:spacing w:after="0"/>
              <w:rPr>
                <w:sz w:val="20"/>
                <w:szCs w:val="20"/>
                <w:color w:val="auto"/>
              </w:rPr>
            </w:pPr>
            <w:r>
              <w:rPr>
                <w:rFonts w:ascii="Arial" w:cs="Arial" w:eastAsia="Arial" w:hAnsi="Arial"/>
                <w:sz w:val="18"/>
                <w:szCs w:val="18"/>
                <w:color w:val="auto"/>
              </w:rPr>
              <w:t>55%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38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45%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360" w:type="dxa"/>
            <w:vAlign w:val="bottom"/>
            <w:vMerge w:val="restart"/>
          </w:tcPr>
          <w:p>
            <w:pPr>
              <w:jc w:val="right"/>
              <w:ind w:right="63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cost of revenues consists primarily of subcontracts, incurred material, labor and manufacturing overhead expenses, such as engineering expense, equipment depreciation and maintenance and facility related expenses, and includes the cost of equipment to customize the PowerBuoy® supplied by third-party suppliers. Cost of revenues also includes PowerBuoy® system delivery and deployment expenses and may include anticipated losses at completion on certain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to enhance and optimize data monitoring and controls systems, and to the development of new products, product applications and complementary technologies. We expense all of our engineering and product development costs as incurred.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products and costs for executive, accounting and administrative personnel, professional fees and other general corporate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consists of interest received on cash, cash equivalents and money market fund and interest paid on certain obligations to third parties.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cash accounts that are denominated in British pounds sterling, Euros and Australian dollars. These foreign-denominated accounts had a balance of $0.3 million as of July 31, 2021 and July 31, 2020, compared to our total cash, cash equivalents and restricted cash balances of $78.3 million as of July 31, 2021 and $12.0 million as of July 31, 2020. These foreign currency balances are translated each month into our functional currency, and any resulting gain or loss is recognized in our results of operations.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2021 compared to the three months ended July 31, 2020</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July 31, 2021 and 2020.</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5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6"/>
        </w:trPr>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0" w:type="dxa"/>
            <w:vAlign w:val="bottom"/>
            <w:gridSpan w:val="4"/>
          </w:tcPr>
          <w:p>
            <w:pPr>
              <w:jc w:val="right"/>
              <w:ind w:right="507"/>
              <w:spacing w:after="0"/>
              <w:rPr>
                <w:sz w:val="20"/>
                <w:szCs w:val="20"/>
                <w:color w:val="auto"/>
              </w:rPr>
            </w:pPr>
            <w:r>
              <w:rPr>
                <w:rFonts w:ascii="Arial" w:cs="Arial" w:eastAsia="Arial" w:hAnsi="Arial"/>
                <w:sz w:val="18"/>
                <w:szCs w:val="18"/>
                <w:color w:val="auto"/>
              </w:rPr>
              <w:t>(in thousands)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120" w:type="dxa"/>
            <w:vAlign w:val="bottom"/>
            <w:gridSpan w:val="2"/>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4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r>
      <w:tr>
        <w:trPr>
          <w:trHeight w:val="237"/>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11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80" w:type="dxa"/>
            <w:vAlign w:val="bottom"/>
            <w:tcBorders>
              <w:bottom w:val="single" w:sz="8" w:color="CCEEFF"/>
            </w:tcBorders>
          </w:tcPr>
          <w:p>
            <w:pPr>
              <w:spacing w:after="0"/>
              <w:rPr>
                <w:sz w:val="20"/>
                <w:szCs w:val="20"/>
                <w:color w:val="auto"/>
              </w:rPr>
            </w:pPr>
          </w:p>
        </w:tc>
      </w:tr>
      <w:tr>
        <w:trPr>
          <w:trHeight w:val="236"/>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profit/(loss)</w:t>
            </w:r>
          </w:p>
        </w:tc>
        <w:tc>
          <w:tcPr>
            <w:tcW w:w="1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4460" w:type="dxa"/>
            <w:vAlign w:val="bottom"/>
          </w:tcPr>
          <w:p>
            <w:pPr>
              <w:spacing w:after="0" w:line="203" w:lineRule="exact"/>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Engineering and product development costs</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80" w:type="dxa"/>
            <w:vAlign w:val="bottom"/>
            <w:shd w:val="clear" w:color="auto" w:fill="CCEEFF"/>
          </w:tcPr>
          <w:p>
            <w:pPr>
              <w:spacing w:after="0"/>
              <w:rPr>
                <w:sz w:val="18"/>
                <w:szCs w:val="18"/>
                <w:color w:val="auto"/>
              </w:rPr>
            </w:pPr>
          </w:p>
        </w:tc>
      </w:tr>
      <w:tr>
        <w:trPr>
          <w:trHeight w:val="237"/>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 costs</w:t>
            </w:r>
          </w:p>
        </w:tc>
        <w:tc>
          <w:tcPr>
            <w:tcW w:w="114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80" w:type="dxa"/>
            <w:vAlign w:val="bottom"/>
            <w:tcBorders>
              <w:bottom w:val="single" w:sz="8" w:color="CCEEFF"/>
            </w:tcBorders>
          </w:tcPr>
          <w:p>
            <w:pPr>
              <w:spacing w:after="0"/>
              <w:rPr>
                <w:sz w:val="20"/>
                <w:szCs w:val="20"/>
                <w:color w:val="auto"/>
              </w:rPr>
            </w:pPr>
          </w:p>
        </w:tc>
      </w:tr>
      <w:tr>
        <w:trPr>
          <w:trHeight w:val="236"/>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2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446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1"/>
              </w:rPr>
              <w:t>(5,031)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87"/>
              </w:rPr>
              <w:t>(3,404)</w:t>
            </w:r>
          </w:p>
        </w:tc>
        <w:tc>
          <w:tcPr>
            <w:tcW w:w="80" w:type="dxa"/>
            <w:vAlign w:val="bottom"/>
          </w:tcPr>
          <w:p>
            <w:pPr>
              <w:spacing w:after="0"/>
              <w:rPr>
                <w:sz w:val="17"/>
                <w:szCs w:val="17"/>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Gain on extiguishment of PPP loan</w:t>
            </w: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gain/(loss)</w:t>
            </w:r>
          </w:p>
        </w:tc>
        <w:tc>
          <w:tcPr>
            <w:tcW w:w="1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4460" w:type="dxa"/>
            <w:vAlign w:val="bottom"/>
          </w:tcPr>
          <w:p>
            <w:pPr>
              <w:spacing w:after="0" w:line="203" w:lineRule="exact"/>
              <w:rPr>
                <w:sz w:val="20"/>
                <w:szCs w:val="20"/>
                <w:color w:val="auto"/>
              </w:rPr>
            </w:pPr>
            <w:r>
              <w:rPr>
                <w:rFonts w:ascii="Arial" w:cs="Arial" w:eastAsia="Arial" w:hAnsi="Arial"/>
                <w:sz w:val="18"/>
                <w:szCs w:val="18"/>
                <w:color w:val="auto"/>
              </w:rPr>
              <w:t>Loss before income taxes</w:t>
            </w: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1"/>
              </w:rPr>
              <w:t>(4,120)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87"/>
              </w:rPr>
              <w:t>(3,385)</w:t>
            </w:r>
          </w:p>
        </w:tc>
        <w:tc>
          <w:tcPr>
            <w:tcW w:w="80" w:type="dxa"/>
            <w:vAlign w:val="bottom"/>
          </w:tcPr>
          <w:p>
            <w:pPr>
              <w:spacing w:after="0"/>
              <w:rPr>
                <w:sz w:val="17"/>
                <w:szCs w:val="17"/>
                <w:color w:val="auto"/>
              </w:rPr>
            </w:pPr>
          </w:p>
        </w:tc>
      </w:tr>
      <w:tr>
        <w:trPr>
          <w:trHeight w:val="249"/>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tax benefit</w:t>
            </w:r>
          </w:p>
        </w:tc>
        <w:tc>
          <w:tcPr>
            <w:tcW w:w="1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446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8"/>
                <w:szCs w:val="18"/>
                <w:color w:val="auto"/>
              </w:rPr>
            </w:pPr>
          </w:p>
        </w:tc>
        <w:tc>
          <w:tcPr>
            <w:tcW w:w="980" w:type="dxa"/>
            <w:vAlign w:val="bottom"/>
            <w:tcBorders>
              <w:bottom w:val="single" w:sz="8" w:color="auto"/>
            </w:tcBorders>
          </w:tcPr>
          <w:p>
            <w:pPr>
              <w:jc w:val="right"/>
              <w:ind w:right="81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(3,079</w:t>
            </w:r>
          </w:p>
        </w:tc>
        <w:tc>
          <w:tcPr>
            <w:tcW w:w="240" w:type="dxa"/>
            <w:vAlign w:val="bottom"/>
          </w:tcPr>
          <w:p>
            <w:pPr>
              <w:jc w:val="right"/>
              <w:ind w:right="161"/>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(3,385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Revenues for the three months ended July 31, 2021 and 2020 were $0.3 million and $0.2 million, respectively. The year-over-year increase was primarily due to higher levels of revenue derived from our EGP contract and new work with 3Dent projects as compared to the same period in the prior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revenues for the three months ended July 31, 2021 and 2020 were $0.4 million and $0.3 million, respectively. The increase of approximately $0.1 million over 2020 was mostly due to higher deployment and material costs incurred on the EGP contract for the three months ended July 31, 2021 as compared to the three months ended July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Engineering and product development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Engineering and product development costs for the three months ended July 31, 2021 and 2020 were $2.0 million and $1.3 million, respectively. The increase of approximately $0.7 million is the result of higher spending on new product development projects of $0.5 million as compared to the same period in the prior year and increases in employee payroll of $0.6 million driven by higher headcount in the current year with the addition of 3Dent. These increases were partially offset by a decrease in overhead and penalties incurred during the first quarter of fiscal 2021, of $0.4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costs for the three months ended July 31, 2021 and 2020 were $2.9 million and $2.0 million, respectively. The increase of $0.9 million for the three months ended July 31, 2021 was primarily due to higher consulting costs of $0.3 million, increases in equity compensation of $0.2 million, professional fees of $0.2 million, and risk management insurance cost increases of $0.2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Extinguishment of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filed its loan forgiveness application at the end of February 2021 asking for 100% forgiveness of the loan. In June 2021, the Company was informed that its application was approved, the loan is now fully forgiven and the Company recognized a gain on extinguishment of PPP loan of $0.9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$3.1 million and $3.4 million for the three months ended July 31, 2021 and 2020, respectively. Refer to “Liquidity Outlook” below for additional information.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July 31, 2021, net cash flows used in operating activities was $5.3 million, an increase of $2.6 million compared to net cash used in operating activities during the three months ended July 31, 2020. This increase is primarily due to higher project and employee related costs and the settlement of litigation of approximately $1.2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during the three months ended July 31, 2021 was $7,325, compared to no cash used for investing activities during the three months ended July 31, 2020. The increase in net cash used in investing activities was due to higher spending on the purchase of property, plant and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during the three months ended July 31, 2021 was zero compared to net cash provided by financing activities during the three months ended July 31, 2020 of $3.8 million. The decrease in net cash provided by financing activities during the three months ended July 31, 2021 reflects the combination of no capital raises during the first quarter of fiscal 2022 in addition to proceeds related to the PPP loan and capital raises related to Aspire and AGP in the prior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exchange rates on cash and cash equivalents was an increase of approximately $14,000 during the three months ended July 31, 2021. The effect of exchange rates on cash and cash equivalents results primarily from gains or losses on consolidation of foreign subsidiaries and foreign denominated cash and cash equivalents.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our business. For the two years ended April 30, 2021 and 2020, our aggregate revenues were $2.9 million, our aggregate net losses were $25.1 million and our aggregate net cash used in operating activities was $22.3 million.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 is capital intensive, and up through July 31, 2021, we have been funding our business principally through sales of our securities. As of July 31, 2021, cash and cash equivalents was $78.1 million and we expect to fund our business with this amount and, to a limited extent, with our revenues until, we generate sufficient cash flow to internally fund our business. Management believes the Company’s current cash and cash equivalent is sufficient to fund its planned expenditures through at least September, 2022. In addition to the acquisition of 3Dent in the prior year, the Company is looking at further organic and inorganic growth opportunities to advance our data and power services and solutions.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a number of factors, including but not limited to:</w:t>
      </w:r>
    </w:p>
    <w:p>
      <w:pPr>
        <w:spacing w:after="0" w:line="1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commercialize our products, and achieve and sustain profitability;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COVID-19 pandemic on our business, operations, customers, suppliers and manufacturers, and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acquisitions, which may use significant resources, may be unsuccessful or may expose us to unforeseen liabilities;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develop and manufacture commercially viable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that we will be successful in our efforts to commercialize our products or the timetable upon which commercialization can be achieved, if at all;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products and our wave energy technology;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relationships with our strategic partners may not be successful and we may not be successful in establishing additional relationships;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NYSE American;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reliability of our technology and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ability to protect our intellectual property portfolio.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July 31, 2021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July 31, 2021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July 31, 2021 that has materially affected, or is reasonably likely to materially affect, our internal control over financial reporting.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jc w:val="both"/>
        <w:ind w:left="40"/>
        <w:spacing w:after="0" w:line="286" w:lineRule="auto"/>
        <w:rPr>
          <w:sz w:val="20"/>
          <w:szCs w:val="20"/>
          <w:color w:val="auto"/>
        </w:rPr>
      </w:pPr>
      <w:r>
        <w:rPr>
          <w:rFonts w:ascii="Arial" w:cs="Arial" w:eastAsia="Arial" w:hAnsi="Arial"/>
          <w:sz w:val="17"/>
          <w:szCs w:val="17"/>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65" w:lineRule="exact"/>
        <w:rPr>
          <w:sz w:val="20"/>
          <w:szCs w:val="20"/>
          <w:color w:val="auto"/>
        </w:rPr>
      </w:pPr>
    </w:p>
    <w:p>
      <w:pPr>
        <w:jc w:val="both"/>
        <w:ind w:left="40" w:right="20"/>
        <w:spacing w:after="0" w:line="277" w:lineRule="auto"/>
        <w:rPr>
          <w:sz w:val="20"/>
          <w:szCs w:val="20"/>
          <w:color w:val="auto"/>
        </w:rPr>
      </w:pPr>
      <w:r>
        <w:rPr>
          <w:rFonts w:ascii="Arial" w:cs="Arial" w:eastAsia="Arial" w:hAnsi="Arial"/>
          <w:sz w:val="18"/>
          <w:szCs w:val="18"/>
          <w:color w:val="auto"/>
        </w:rPr>
        <w:t>For information on matters in dispute, see Note 16 to the Consolidated Financial Statements in our Annual Report on Form10-K for the year ended April 30, 2021, and Note 15 to the Consolidated Financial Statements under Part I, Item 1 of this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2021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19,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of $3.1 million during the first three months of fiscal year 2022 and $14.8 million in fiscal year 2021. As of July 31, 2021, we had an accumulated deficit of $238.0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1"/>
              </w:rPr>
              <w:t>Total Number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95"/>
              </w:rPr>
              <w:t>Approximate Dollar</w:t>
            </w:r>
          </w:p>
        </w:tc>
      </w:tr>
      <w:tr>
        <w:trPr>
          <w:trHeight w:val="216"/>
        </w:trPr>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4"/>
              </w:rPr>
              <w:t>Shares Purchased as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8"/>
              </w:rPr>
              <w:t>Value of Shares that</w:t>
            </w:r>
          </w:p>
        </w:tc>
      </w:tr>
      <w:tr>
        <w:trPr>
          <w:trHeight w:val="216"/>
        </w:trPr>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 Number of Shares</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Average Price Paid per</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94"/>
              </w:rPr>
              <w:t>Part of Publicly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9"/>
              </w:rPr>
              <w:t>May Yet Be Purchased</w:t>
            </w:r>
          </w:p>
        </w:tc>
      </w:tr>
      <w:tr>
        <w:trPr>
          <w:trHeight w:val="237"/>
        </w:trPr>
        <w:tc>
          <w:tcPr>
            <w:tcW w:w="2720" w:type="dxa"/>
            <w:vAlign w:val="bottom"/>
            <w:gridSpan w:val="2"/>
          </w:tcPr>
          <w:p>
            <w:pPr>
              <w:ind w:left="960"/>
              <w:spacing w:after="0"/>
              <w:rPr>
                <w:sz w:val="20"/>
                <w:szCs w:val="20"/>
                <w:color w:val="auto"/>
              </w:rPr>
            </w:pPr>
            <w:r>
              <w:rPr>
                <w:rFonts w:ascii="Arial" w:cs="Arial" w:eastAsia="Arial" w:hAnsi="Arial"/>
                <w:sz w:val="18"/>
                <w:szCs w:val="18"/>
                <w:color w:val="auto"/>
              </w:rPr>
              <w:t>Period</w:t>
            </w: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1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3"/>
              </w:rPr>
              <w:t>Share</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center"/>
              <w:ind w:left="110"/>
              <w:spacing w:after="0"/>
              <w:rPr>
                <w:sz w:val="20"/>
                <w:szCs w:val="20"/>
                <w:color w:val="auto"/>
              </w:rPr>
            </w:pPr>
            <w:r>
              <w:rPr>
                <w:rFonts w:ascii="Arial" w:cs="Arial" w:eastAsia="Arial" w:hAnsi="Arial"/>
                <w:sz w:val="18"/>
                <w:szCs w:val="18"/>
                <w:color w:val="auto"/>
                <w:w w:val="89"/>
              </w:rPr>
              <w:t>Announced Plans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9"/>
              </w:rPr>
              <w:t>Under the Plan</w:t>
            </w:r>
          </w:p>
        </w:tc>
      </w:tr>
      <w:tr>
        <w:trPr>
          <w:trHeight w:val="216"/>
        </w:trPr>
        <w:tc>
          <w:tcPr>
            <w:tcW w:w="2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 May 31</w:t>
            </w: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1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June 1 - June 30</w:t>
            </w:r>
          </w:p>
        </w:tc>
        <w:tc>
          <w:tcPr>
            <w:tcW w:w="2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spacing w:after="0"/>
              <w:rPr>
                <w:sz w:val="18"/>
                <w:szCs w:val="18"/>
                <w:color w:val="auto"/>
              </w:rPr>
            </w:pP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1700" w:type="dxa"/>
            <w:vAlign w:val="bottom"/>
          </w:tcPr>
          <w:p>
            <w:pPr>
              <w:spacing w:after="0"/>
              <w:rPr>
                <w:sz w:val="18"/>
                <w:szCs w:val="18"/>
                <w:color w:val="auto"/>
              </w:rPr>
            </w:pPr>
          </w:p>
        </w:tc>
        <w:tc>
          <w:tcPr>
            <w:tcW w:w="4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 July 31</w:t>
            </w: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1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7"/>
          </w:tcPr>
          <w:p>
            <w:pPr>
              <w:ind w:left="140"/>
              <w:spacing w:after="0"/>
              <w:rPr>
                <w:sz w:val="20"/>
                <w:szCs w:val="20"/>
                <w:color w:val="auto"/>
              </w:rPr>
            </w:pPr>
            <w:r>
              <w:rPr>
                <w:rFonts w:ascii="Arial" w:cs="Arial" w:eastAsia="Arial" w:hAnsi="Arial"/>
                <w:sz w:val="18"/>
                <w:szCs w:val="18"/>
                <w:b w:val="1"/>
                <w:bCs w:val="1"/>
                <w:i w:val="1"/>
                <w:iCs w:val="1"/>
                <w:color w:val="auto"/>
              </w:rPr>
              <w:t>EXHIBIT INDEX</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200" w:type="dxa"/>
            <w:vAlign w:val="bottom"/>
            <w:gridSpan w:val="6"/>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Employment Agreement between the Company and Philipp Stratmann dated effective June 18, 2021 (incorporated by reference to Exhibit</w:t>
              </w:r>
            </w:hyperlink>
          </w:p>
        </w:tc>
      </w:tr>
      <w:tr>
        <w:trPr>
          <w:trHeight w:val="196"/>
        </w:trPr>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w:t>
              </w:r>
              <w:r>
                <w:rPr>
                  <w:rFonts w:ascii="Arial" w:cs="Arial" w:eastAsia="Arial" w:hAnsi="Arial"/>
                  <w:sz w:val="18"/>
                  <w:szCs w:val="18"/>
                  <w:color w:val="0000EE"/>
                  <w:w w:val="90"/>
                </w:rPr>
                <w:t xml:space="preserve"> to the Company’s Current Report on Form 8-K filed on June 21, 2021).</w:t>
              </w:r>
            </w:hyperlink>
          </w:p>
        </w:tc>
        <w:tc>
          <w:tcPr>
            <w:tcW w:w="46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200" w:type="dxa"/>
            <w:vAlign w:val="bottom"/>
            <w:tcBorders>
              <w:bottom w:val="single" w:sz="8" w:color="0000EE"/>
            </w:tcBorders>
            <w:gridSpan w:val="6"/>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Letter Agreement between the Company and George H. Kirby III dated effective July 16, 2021(incorporated by reference to Exhibit 10.1 to</w:t>
              </w:r>
            </w:hyperlink>
          </w:p>
        </w:tc>
      </w:tr>
      <w:tr>
        <w:trPr>
          <w:trHeight w:val="196"/>
        </w:trPr>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92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the Company’s Current Report on Form 8-K filed on July 16, 2021).</w:t>
              </w:r>
            </w:hyperlink>
          </w:p>
        </w:tc>
        <w:tc>
          <w:tcPr>
            <w:tcW w:w="5280" w:type="dxa"/>
            <w:vAlign w:val="bottom"/>
            <w:gridSpan w:val="5"/>
          </w:tcPr>
          <w:p>
            <w:pPr>
              <w:spacing w:after="0"/>
              <w:rPr>
                <w:sz w:val="17"/>
                <w:szCs w:val="17"/>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718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Chief Executive Officer pursuant to Section 302 of the Sarbanes-Oxley Act of 2002</w:t>
              </w:r>
            </w:hyperlink>
          </w:p>
        </w:tc>
        <w:tc>
          <w:tcPr>
            <w:tcW w:w="3020" w:type="dxa"/>
            <w:vAlign w:val="bottom"/>
            <w:gridSpan w:val="2"/>
          </w:tcPr>
          <w:p>
            <w:pPr>
              <w:spacing w:after="0"/>
              <w:rPr>
                <w:sz w:val="24"/>
                <w:szCs w:val="24"/>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200" w:type="dxa"/>
            <w:vAlign w:val="bottom"/>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20" w:type="dxa"/>
            <w:vAlign w:val="bottom"/>
            <w:gridSpan w:val="3"/>
            <w:shd w:val="clear" w:color="auto" w:fill="0000EE"/>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gridSpan w:val="7"/>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3">
              <w:r>
                <w:rPr>
                  <w:rFonts w:ascii="Arial" w:cs="Arial" w:eastAsia="Arial" w:hAnsi="Arial"/>
                  <w:sz w:val="18"/>
                  <w:szCs w:val="18"/>
                  <w:color w:val="0000EE"/>
                </w:rPr>
                <w:t>Certification of Chief Executive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180" w:type="dxa"/>
            <w:vAlign w:val="bottom"/>
            <w:gridSpan w:val="4"/>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gridSpan w:val="7"/>
          </w:tcPr>
          <w:p>
            <w:pPr>
              <w:ind w:left="1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4">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040" w:hanging="1032"/>
        <w:spacing w:after="0" w:line="273"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following financial information from Ocean Power Technologies, Inc.’s Quarterly Report on Form 10-Q for the quarter ended July 31, 2021, formatted in eXtensible Business Reporting Language (XBRL): (i) Consolidated Balance Sheets – July 31, 2021 (unaudited) and April 30, 2021, (ii) Consolidated Statements of Operations (unaudited) – three months ended July 31, 2021 and 2020, (iii) Consolidated Statements of Comprehensive Loss (unaudited) – three months ended July 31, 2021 and 2020, (iv) Consolidated Statement of Stockholders’ Equity (unaudited) – three months ended July 31, 2021 and 2020 (v) Consolidated Statements of Cash Flows (unaudited) –nine months ended July 31, 2021 and 2020, (vi) Notes to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5120" w:type="dxa"/>
            <w:vAlign w:val="bottom"/>
          </w:tcPr>
          <w:p>
            <w:pPr>
              <w:ind w:left="180"/>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512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5120" w:type="dxa"/>
            <w:vAlign w:val="bottom"/>
          </w:tcPr>
          <w:p>
            <w:pPr>
              <w:ind w:left="18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5120" w:type="dxa"/>
            <w:vAlign w:val="bottom"/>
          </w:tcPr>
          <w:p>
            <w:pPr>
              <w:ind w:left="18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512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5120" w:type="dxa"/>
            <w:vAlign w:val="bottom"/>
          </w:tcPr>
          <w:p>
            <w:pPr>
              <w:ind w:left="18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202" w:lineRule="exact"/>
        <w:rPr>
          <w:sz w:val="20"/>
          <w:szCs w:val="20"/>
          <w:color w:val="auto"/>
        </w:rPr>
      </w:pPr>
    </w:p>
    <w:p>
      <w:pPr>
        <w:ind w:left="1040" w:hanging="1032"/>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25" w:lineRule="exact"/>
        <w:rPr>
          <w:rFonts w:ascii="Arial" w:cs="Arial" w:eastAsia="Arial" w:hAnsi="Arial"/>
          <w:sz w:val="18"/>
          <w:szCs w:val="18"/>
          <w:color w:val="auto"/>
        </w:rPr>
      </w:pPr>
    </w:p>
    <w:p>
      <w:pPr>
        <w:ind w:left="1040" w:hanging="189"/>
        <w:spacing w:after="0" w:line="286" w:lineRule="auto"/>
        <w:rPr>
          <w:rFonts w:ascii="Arial" w:cs="Arial" w:eastAsia="Arial" w:hAnsi="Arial"/>
          <w:sz w:val="18"/>
          <w:szCs w:val="18"/>
          <w:color w:val="auto"/>
        </w:rPr>
      </w:pPr>
      <w:r>
        <w:rPr>
          <w:rFonts w:ascii="Arial" w:cs="Arial" w:eastAsia="Arial" w:hAnsi="Arial"/>
          <w:sz w:val="17"/>
          <w:szCs w:val="17"/>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65" w:lineRule="exact"/>
        <w:rPr>
          <w:sz w:val="20"/>
          <w:szCs w:val="20"/>
          <w:color w:val="auto"/>
        </w:rPr>
      </w:pPr>
    </w:p>
    <w:p>
      <w:pPr>
        <w:jc w:val="both"/>
        <w:ind w:left="1040" w:hanging="188"/>
        <w:spacing w:after="0" w:line="263" w:lineRule="auto"/>
        <w:rPr>
          <w:sz w:val="20"/>
          <w:szCs w:val="20"/>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u w:val="single" w:color="auto"/>
          <w:color w:val="auto"/>
        </w:rPr>
        <w:t>Ocean Power Technologies, Inc.</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September 13, 2021</w:t>
      </w:r>
      <w:r>
        <w:rPr>
          <w:sz w:val="20"/>
          <w:szCs w:val="20"/>
          <w:color w:val="auto"/>
        </w:rPr>
        <w:tab/>
      </w:r>
      <w:r>
        <w:rPr>
          <w:rFonts w:ascii="Arial" w:cs="Arial" w:eastAsia="Arial" w:hAnsi="Arial"/>
          <w:sz w:val="16"/>
          <w:szCs w:val="16"/>
          <w:i w:val="1"/>
          <w:iCs w:val="1"/>
          <w:color w:val="auto"/>
        </w:rPr>
        <w:t>/s/ Philipp Stratmann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September 13, 2021</w:t>
      </w:r>
      <w:r>
        <w:rPr>
          <w:sz w:val="20"/>
          <w:szCs w:val="20"/>
          <w:color w:val="auto"/>
        </w:rPr>
        <w:tab/>
      </w:r>
      <w:r>
        <w:rPr>
          <w:rFonts w:ascii="Arial" w:cs="Arial" w:eastAsia="Arial" w:hAnsi="Arial"/>
          <w:sz w:val="16"/>
          <w:szCs w:val="16"/>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Matthew T. Shafer</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6" w:lineRule="exact"/>
        <w:rPr>
          <w:sz w:val="20"/>
          <w:szCs w:val="20"/>
          <w:color w:val="auto"/>
        </w:rPr>
      </w:pPr>
    </w:p>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2021, as filed with the Securities and Exchange Commission on the date hereof (the “Report”), the undersigned, Philipp Stratmann III, President and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460" w:firstLine="8"/>
        <w:spacing w:after="0" w:line="500" w:lineRule="auto"/>
        <w:tabs>
          <w:tab w:leader="none" w:pos="3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13,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2021, as filed with the Securities and Exchange Commission on the date hereof (the “Report”), the undersigned, Matthew T. Shafer, Senior Vice President and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460" w:firstLine="8"/>
        <w:spacing w:after="0" w:line="500"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13,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Matthew T. Shafer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2"/>
    </w:lvl>
  </w:abstractNum>
  <w:abstractNum w:abstractNumId="5">
    <w:nsid w:val="41A7C4C9"/>
    <w:multiLevelType w:val="hybridMultilevel"/>
    <w:lvl w:ilvl="0">
      <w:lvlJc w:val="left"/>
      <w:lvlText w:val="%1)"/>
      <w:numFmt w:val="lowerLetter"/>
      <w:start w:val="3"/>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1"/>
      <w:numFmt w:val="decimal"/>
      <w:start w:val="101"/>
    </w:lvl>
  </w:abstractNum>
  <w:abstractNum w:abstractNumId="14">
    <w:nsid w:val="62BBD95A"/>
    <w:multiLevelType w:val="hybridMultilevel"/>
    <w:lvl w:ilvl="0">
      <w:lvlJc w:val="left"/>
      <w:lvlText w:val="%1"/>
      <w:numFmt w:val="decimal"/>
      <w:start w:val="104"/>
    </w:lvl>
    <w:lvl w:ilvl="1">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54" Type="http://schemas.openxmlformats.org/officeDocument/2006/relationships/hyperlink" Target="https://www.sec.gov/Archives/edgar/data/1378140/000149315221014799/ex10-1.htm" TargetMode="External"/><Relationship Id="rId55" Type="http://schemas.openxmlformats.org/officeDocument/2006/relationships/hyperlink" Target="https://www.sec.gov/Archives/edgar/data/1378140/000149315221017088/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2021-09-13T15:09:11Z</dcterms:created>
  <dcterms:modified xsi:type="dcterms:W3CDTF">2021-09-13T15:09:11Z</dcterms:modified>
</cp:coreProperties>
</file>