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1100" w:hanging="896"/>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October 31,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0" w:hanging="156"/>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3180"/>
        <w:spacing w:after="0"/>
        <w:rPr>
          <w:rFonts w:ascii="Arial" w:cs="Arial" w:eastAsia="Arial" w:hAnsi="Arial"/>
          <w:sz w:val="18"/>
          <w:szCs w:val="18"/>
          <w:color w:val="auto"/>
        </w:rPr>
      </w:pPr>
      <w:r>
        <w:rPr>
          <w:rFonts w:ascii="Arial" w:cs="Arial" w:eastAsia="Arial" w:hAnsi="Arial"/>
          <w:sz w:val="18"/>
          <w:szCs w:val="18"/>
          <w:b w:val="1"/>
          <w:bCs w:val="1"/>
          <w:color w:val="auto"/>
        </w:rPr>
        <w:t>For the Transition Period From _____________ to _____________</w:t>
      </w:r>
    </w:p>
    <w:p>
      <w:pPr>
        <w:spacing w:after="0" w:line="225" w:lineRule="exact"/>
        <w:rPr>
          <w:rFonts w:ascii="Arial" w:cs="Arial" w:eastAsia="Arial" w:hAnsi="Arial"/>
          <w:sz w:val="18"/>
          <w:szCs w:val="18"/>
          <w:color w:val="auto"/>
        </w:rPr>
      </w:pPr>
    </w:p>
    <w:p>
      <w:pPr>
        <w:ind w:left="432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OCEAN POWER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28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20" w:type="dxa"/>
            <w:vAlign w:val="bottom"/>
          </w:tcPr>
          <w:p>
            <w:pPr>
              <w:jc w:val="center"/>
              <w:ind w:left="1910"/>
              <w:spacing w:after="0"/>
              <w:rPr>
                <w:sz w:val="20"/>
                <w:szCs w:val="20"/>
                <w:color w:val="auto"/>
              </w:rPr>
            </w:pPr>
            <w:r>
              <w:rPr>
                <w:rFonts w:ascii="Arial" w:cs="Arial" w:eastAsia="Arial" w:hAnsi="Arial"/>
                <w:sz w:val="18"/>
                <w:szCs w:val="18"/>
                <w:b w:val="1"/>
                <w:bCs w:val="1"/>
                <w:color w:val="auto"/>
                <w:w w:val="91"/>
              </w:rPr>
              <w:t>22-2535818</w:t>
            </w:r>
          </w:p>
        </w:tc>
      </w:tr>
      <w:tr>
        <w:trPr>
          <w:trHeight w:val="216"/>
        </w:trPr>
        <w:tc>
          <w:tcPr>
            <w:tcW w:w="4280" w:type="dxa"/>
            <w:vAlign w:val="bottom"/>
          </w:tcPr>
          <w:p>
            <w:pPr>
              <w:jc w:val="center"/>
              <w:ind w:right="1930"/>
              <w:spacing w:after="0"/>
              <w:rPr>
                <w:sz w:val="20"/>
                <w:szCs w:val="20"/>
                <w:color w:val="auto"/>
              </w:rPr>
            </w:pPr>
            <w:r>
              <w:rPr>
                <w:rFonts w:ascii="Arial" w:cs="Arial" w:eastAsia="Arial" w:hAnsi="Arial"/>
                <w:sz w:val="18"/>
                <w:szCs w:val="18"/>
                <w:i w:val="1"/>
                <w:iCs w:val="1"/>
                <w:color w:val="auto"/>
                <w:w w:val="93"/>
              </w:rPr>
              <w:t>(State or Other Jurisdiction of</w:t>
            </w:r>
          </w:p>
        </w:tc>
        <w:tc>
          <w:tcPr>
            <w:tcW w:w="3320" w:type="dxa"/>
            <w:vAlign w:val="bottom"/>
          </w:tcPr>
          <w:p>
            <w:pPr>
              <w:jc w:val="center"/>
              <w:ind w:left="191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280" w:type="dxa"/>
            <w:vAlign w:val="bottom"/>
          </w:tcPr>
          <w:p>
            <w:pPr>
              <w:jc w:val="center"/>
              <w:ind w:right="1930"/>
              <w:spacing w:after="0"/>
              <w:rPr>
                <w:sz w:val="20"/>
                <w:szCs w:val="20"/>
                <w:color w:val="auto"/>
              </w:rPr>
            </w:pPr>
            <w:r>
              <w:rPr>
                <w:rFonts w:ascii="Arial" w:cs="Arial" w:eastAsia="Arial" w:hAnsi="Arial"/>
                <w:sz w:val="18"/>
                <w:szCs w:val="18"/>
                <w:i w:val="1"/>
                <w:iCs w:val="1"/>
                <w:color w:val="auto"/>
                <w:w w:val="94"/>
              </w:rPr>
              <w:t>Incorporation or Organization)</w:t>
            </w:r>
          </w:p>
        </w:tc>
        <w:tc>
          <w:tcPr>
            <w:tcW w:w="3320" w:type="dxa"/>
            <w:vAlign w:val="bottom"/>
          </w:tcPr>
          <w:p>
            <w:pPr>
              <w:jc w:val="center"/>
              <w:ind w:left="1910"/>
              <w:spacing w:after="0"/>
              <w:rPr>
                <w:sz w:val="20"/>
                <w:szCs w:val="20"/>
                <w:color w:val="auto"/>
              </w:rPr>
            </w:pPr>
            <w:r>
              <w:rPr>
                <w:rFonts w:ascii="Arial" w:cs="Arial" w:eastAsia="Arial" w:hAnsi="Arial"/>
                <w:sz w:val="18"/>
                <w:szCs w:val="18"/>
                <w:i w:val="1"/>
                <w:iCs w:val="1"/>
                <w:color w:val="auto"/>
                <w:w w:val="94"/>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7" w:lineRule="exact"/>
        <w:rPr>
          <w:sz w:val="24"/>
          <w:szCs w:val="24"/>
          <w:color w:val="auto"/>
        </w:rPr>
      </w:pPr>
    </w:p>
    <w:p>
      <w:pPr>
        <w:ind w:left="380"/>
        <w:spacing w:after="0"/>
        <w:tabs>
          <w:tab w:leader="none" w:pos="3040" w:val="left"/>
          <w:tab w:leader="none" w:pos="5800" w:val="left"/>
          <w:tab w:leader="none" w:pos="878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8"/>
          <w:szCs w:val="18"/>
          <w:color w:val="auto"/>
        </w:rPr>
        <w:t>Accelerated filer [ ]</w:t>
      </w:r>
      <w:r>
        <w:rPr>
          <w:sz w:val="20"/>
          <w:szCs w:val="20"/>
          <w:color w:val="auto"/>
        </w:rPr>
        <w:tab/>
      </w:r>
      <w:r>
        <w:rPr>
          <w:rFonts w:ascii="Arial" w:cs="Arial" w:eastAsia="Arial" w:hAnsi="Arial"/>
          <w:sz w:val="18"/>
          <w:szCs w:val="18"/>
          <w:color w:val="auto"/>
        </w:rPr>
        <w:t>Non-accelerated filer [ ]</w:t>
      </w:r>
      <w:r>
        <w:rPr>
          <w:sz w:val="20"/>
          <w:szCs w:val="20"/>
          <w:color w:val="auto"/>
        </w:rPr>
        <w:tab/>
      </w:r>
      <w:r>
        <w:rPr>
          <w:rFonts w:ascii="Arial" w:cs="Arial" w:eastAsia="Arial" w:hAnsi="Arial"/>
          <w:sz w:val="16"/>
          <w:szCs w:val="16"/>
          <w:color w:val="auto"/>
        </w:rPr>
        <w:t>Smaller reporting company [X]</w:t>
      </w:r>
    </w:p>
    <w:p>
      <w:pPr>
        <w:spacing w:after="0" w:line="225" w:lineRule="exact"/>
        <w:rPr>
          <w:sz w:val="24"/>
          <w:szCs w:val="24"/>
          <w:color w:val="auto"/>
        </w:rPr>
      </w:pPr>
    </w:p>
    <w:p>
      <w:pPr>
        <w:jc w:val="center"/>
        <w:ind w:left="198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1980"/>
        <w:spacing w:after="0"/>
        <w:rPr>
          <w:sz w:val="20"/>
          <w:szCs w:val="20"/>
          <w:color w:val="auto"/>
        </w:rPr>
      </w:pPr>
      <w:r>
        <w:rPr>
          <w:rFonts w:ascii="Arial" w:cs="Arial" w:eastAsia="Arial" w:hAnsi="Arial"/>
          <w:sz w:val="18"/>
          <w:szCs w:val="18"/>
          <w:color w:val="auto"/>
        </w:rPr>
        <w:t>reporting company)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8, 2017 the number of outstanding shares of common stock of the registrant was 18,263,878.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61"/>
        </w:trPr>
        <w:tc>
          <w:tcPr>
            <w:tcW w:w="20" w:type="dxa"/>
            <w:vAlign w:val="bottom"/>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90"/>
        </w:trPr>
        <w:tc>
          <w:tcPr>
            <w:tcW w:w="20" w:type="dxa"/>
            <w:vAlign w:val="bottom"/>
          </w:tcPr>
          <w:p>
            <w:pPr>
              <w:spacing w:after="0"/>
              <w:rPr>
                <w:sz w:val="16"/>
                <w:szCs w:val="16"/>
                <w:color w:val="auto"/>
              </w:rPr>
            </w:pPr>
          </w:p>
        </w:tc>
        <w:tc>
          <w:tcPr>
            <w:tcW w:w="3240" w:type="dxa"/>
            <w:vAlign w:val="bottom"/>
            <w:tcBorders>
              <w:bottom w:val="single" w:sz="8" w:color="0000EE"/>
            </w:tcBorders>
            <w:gridSpan w:val="11"/>
            <w:shd w:val="clear" w:color="auto" w:fill="CCEEFF"/>
          </w:tcPr>
          <w:p>
            <w:pPr>
              <w:spacing w:after="0" w:line="15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7320" w:type="dxa"/>
            <w:vAlign w:val="bottom"/>
            <w:tcBorders>
              <w:bottom w:val="single" w:sz="8" w:color="CCEEFF"/>
            </w:tcBorders>
            <w:gridSpan w:val="9"/>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10560" w:type="dxa"/>
            <w:vAlign w:val="bottom"/>
            <w:gridSpan w:val="20"/>
          </w:tcPr>
          <w:p>
            <w:pPr>
              <w:ind w:left="1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 Financial Statements:</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20" w:type="dxa"/>
            <w:vAlign w:val="bottom"/>
            <w:gridSpan w:val="1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October 31, 2017 (unaudited) and April 30, 2017</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20" w:type="dxa"/>
            <w:vAlign w:val="bottom"/>
            <w:gridSpan w:val="1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Operations for the three and six months ended October 31, 2017 and 2016</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Comprehensive Loss for the three and six months ended October 31, 2017 and 2016</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88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Consolidated Statement of Stockholders’ Equity for the six months ended October 31, 2017</w:t>
              </w:r>
            </w:hyperlink>
          </w:p>
        </w:tc>
        <w:tc>
          <w:tcPr>
            <w:tcW w:w="13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20" w:type="dxa"/>
            <w:vAlign w:val="bottom"/>
            <w:gridSpan w:val="18"/>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Unaudited Consolidated Statements of Cash Flows for the six months ended October 31, 2017 and 2016</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5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Unaudited Consolidated Financial Statements</w:t>
              </w:r>
            </w:hyperlink>
          </w:p>
        </w:tc>
        <w:tc>
          <w:tcPr>
            <w:tcW w:w="2720" w:type="dxa"/>
            <w:vAlign w:val="bottom"/>
            <w:tcBorders>
              <w:top w:val="single" w:sz="8" w:color="CCEEFF"/>
            </w:tcBorders>
            <w:gridSpan w:val="3"/>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3. Quantitative and Qualitative Disclosures About Market Risk</w:t>
              </w:r>
            </w:hyperlink>
          </w:p>
        </w:tc>
        <w:tc>
          <w:tcPr>
            <w:tcW w:w="3380" w:type="dxa"/>
            <w:vAlign w:val="bottom"/>
            <w:tcBorders>
              <w:top w:val="single" w:sz="8" w:color="CCEEFF"/>
            </w:tcBorders>
            <w:gridSpan w:val="5"/>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Item 4. Controls and Procedures</w:t>
              </w:r>
            </w:hyperlink>
          </w:p>
        </w:tc>
        <w:tc>
          <w:tcPr>
            <w:tcW w:w="8060" w:type="dxa"/>
            <w:vAlign w:val="bottom"/>
            <w:tcBorders>
              <w:bottom w:val="single" w:sz="8" w:color="CCEEFF"/>
            </w:tcBorders>
            <w:gridSpan w:val="1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176"/>
        </w:trPr>
        <w:tc>
          <w:tcPr>
            <w:tcW w:w="20" w:type="dxa"/>
            <w:vAlign w:val="bottom"/>
          </w:tcPr>
          <w:p>
            <w:pPr>
              <w:spacing w:after="0"/>
              <w:rPr>
                <w:sz w:val="15"/>
                <w:szCs w:val="15"/>
                <w:color w:val="auto"/>
              </w:rPr>
            </w:pPr>
          </w:p>
        </w:tc>
        <w:tc>
          <w:tcPr>
            <w:tcW w:w="10560" w:type="dxa"/>
            <w:vAlign w:val="bottom"/>
            <w:gridSpan w:val="20"/>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 OTHER INFORMATION</w:t>
              </w:r>
            </w:hyperlink>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1. Legal Proceedings</w:t>
              </w:r>
            </w:hyperlink>
          </w:p>
        </w:tc>
        <w:tc>
          <w:tcPr>
            <w:tcW w:w="8500" w:type="dxa"/>
            <w:vAlign w:val="bottom"/>
            <w:tcBorders>
              <w:bottom w:val="single" w:sz="8" w:color="CCEEFF"/>
            </w:tcBorders>
            <w:gridSpan w:val="14"/>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176"/>
        </w:trPr>
        <w:tc>
          <w:tcPr>
            <w:tcW w:w="20" w:type="dxa"/>
            <w:vAlign w:val="bottom"/>
          </w:tcPr>
          <w:p>
            <w:pPr>
              <w:spacing w:after="0"/>
              <w:rPr>
                <w:sz w:val="15"/>
                <w:szCs w:val="15"/>
                <w:color w:val="auto"/>
              </w:rPr>
            </w:pPr>
          </w:p>
        </w:tc>
        <w:tc>
          <w:tcPr>
            <w:tcW w:w="10560" w:type="dxa"/>
            <w:vAlign w:val="bottom"/>
            <w:gridSpan w:val="20"/>
          </w:tcPr>
          <w:p>
            <w:pPr>
              <w:ind w:left="16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1A. Risk Factors</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2. Unregistered Sales of Equity Securities and Use of Proceeds</w:t>
              </w:r>
            </w:hyperlink>
          </w:p>
        </w:tc>
        <w:tc>
          <w:tcPr>
            <w:tcW w:w="5480" w:type="dxa"/>
            <w:vAlign w:val="bottom"/>
            <w:tcBorders>
              <w:bottom w:val="single" w:sz="8" w:color="CCEEFF"/>
            </w:tcBorders>
            <w:gridSpan w:val="7"/>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176"/>
        </w:trPr>
        <w:tc>
          <w:tcPr>
            <w:tcW w:w="20" w:type="dxa"/>
            <w:vAlign w:val="bottom"/>
          </w:tcPr>
          <w:p>
            <w:pPr>
              <w:spacing w:after="0"/>
              <w:rPr>
                <w:sz w:val="15"/>
                <w:szCs w:val="15"/>
                <w:color w:val="auto"/>
              </w:rPr>
            </w:pPr>
          </w:p>
        </w:tc>
        <w:tc>
          <w:tcPr>
            <w:tcW w:w="10560" w:type="dxa"/>
            <w:vAlign w:val="bottom"/>
            <w:gridSpan w:val="20"/>
          </w:tcPr>
          <w:p>
            <w:pPr>
              <w:ind w:left="1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3. Defaults Upon Senior Securities</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Item 4. Mine Safety Disclosures</w:t>
              </w:r>
            </w:hyperlink>
          </w:p>
        </w:tc>
        <w:tc>
          <w:tcPr>
            <w:tcW w:w="8060" w:type="dxa"/>
            <w:vAlign w:val="bottom"/>
            <w:tcBorders>
              <w:bottom w:val="single" w:sz="8" w:color="CCEEFF"/>
            </w:tcBorders>
            <w:gridSpan w:val="1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176"/>
        </w:trPr>
        <w:tc>
          <w:tcPr>
            <w:tcW w:w="20" w:type="dxa"/>
            <w:vAlign w:val="bottom"/>
          </w:tcPr>
          <w:p>
            <w:pPr>
              <w:spacing w:after="0"/>
              <w:rPr>
                <w:sz w:val="15"/>
                <w:szCs w:val="15"/>
                <w:color w:val="auto"/>
              </w:rPr>
            </w:pPr>
          </w:p>
        </w:tc>
        <w:tc>
          <w:tcPr>
            <w:tcW w:w="10560" w:type="dxa"/>
            <w:vAlign w:val="bottom"/>
            <w:gridSpan w:val="20"/>
          </w:tcPr>
          <w:p>
            <w:pPr>
              <w:ind w:left="1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5. Other Information</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6. Exhibits</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PowerBuoy and the Ocean Power Technologies logo are trademarks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2017,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400" w:type="dxa"/>
            <w:vAlign w:val="bottom"/>
            <w:gridSpan w:val="3"/>
          </w:tcPr>
          <w:p>
            <w:pPr>
              <w:jc w:val="center"/>
              <w:ind w:left="3950"/>
              <w:spacing w:after="0"/>
              <w:rPr>
                <w:sz w:val="20"/>
                <w:szCs w:val="20"/>
                <w:color w:val="auto"/>
              </w:rPr>
            </w:pPr>
            <w:r>
              <w:rPr>
                <w:rFonts w:ascii="Arial" w:cs="Arial" w:eastAsia="Arial" w:hAnsi="Arial"/>
                <w:sz w:val="18"/>
                <w:szCs w:val="18"/>
                <w:b w:val="1"/>
                <w:bCs w:val="1"/>
                <w:color w:val="auto"/>
              </w:rPr>
              <w:t>PART I — FINANCIAL INFORMATION</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240" w:type="dxa"/>
            <w:vAlign w:val="bottom"/>
            <w:gridSpan w:val="5"/>
          </w:tcPr>
          <w:p>
            <w:pPr>
              <w:jc w:val="center"/>
              <w:ind w:left="211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390"/>
              <w:spacing w:after="0"/>
              <w:rPr>
                <w:sz w:val="20"/>
                <w:szCs w:val="20"/>
                <w:color w:val="auto"/>
              </w:rPr>
            </w:pPr>
            <w:r>
              <w:rPr>
                <w:rFonts w:ascii="Arial" w:cs="Arial" w:eastAsia="Arial" w:hAnsi="Arial"/>
                <w:sz w:val="18"/>
                <w:szCs w:val="18"/>
                <w:b w:val="1"/>
                <w:bCs w:val="1"/>
                <w:color w:val="auto"/>
                <w:w w:val="87"/>
              </w:rPr>
              <w:t>Consolidated Balance Sheets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370"/>
              <w:spacing w:after="0"/>
              <w:rPr>
                <w:sz w:val="20"/>
                <w:szCs w:val="20"/>
                <w:color w:val="auto"/>
              </w:rPr>
            </w:pPr>
            <w:r>
              <w:rPr>
                <w:rFonts w:ascii="Arial" w:cs="Arial" w:eastAsia="Arial" w:hAnsi="Arial"/>
                <w:sz w:val="18"/>
                <w:szCs w:val="18"/>
                <w:b w:val="1"/>
                <w:bCs w:val="1"/>
                <w:color w:val="auto"/>
                <w:w w:val="88"/>
              </w:rPr>
              <w:t>(in $000’s, except share data)</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October 31, 2017</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April 30, 2017</w:t>
            </w:r>
          </w:p>
        </w:tc>
      </w:tr>
      <w:tr>
        <w:trPr>
          <w:trHeight w:val="216"/>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16,318</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short-term</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Litigation receivable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723</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r>
      <w:tr>
        <w:trPr>
          <w:trHeight w:val="203"/>
        </w:trPr>
        <w:tc>
          <w:tcPr>
            <w:tcW w:w="69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17,776</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9,746</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Restricted cash- long-term</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5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57"/>
        </w:trPr>
        <w:tc>
          <w:tcPr>
            <w:tcW w:w="696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18,110</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960" w:type="dxa"/>
            <w:vAlign w:val="bottom"/>
            <w:shd w:val="clear" w:color="auto" w:fill="CCEEFF"/>
          </w:tcPr>
          <w:p>
            <w:pPr>
              <w:ind w:left="1600"/>
              <w:spacing w:after="0" w:line="19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1,540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3,059</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payable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Deferred credits payable current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6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Long-term portion of capital lease obligations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36"/>
        </w:trPr>
        <w:tc>
          <w:tcPr>
            <w:tcW w:w="6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96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w w:val="92"/>
              </w:rPr>
              <w:t>Preferred stock, $0.001 par value; authorized 5,000,000 shares, none issued or outstanding</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$0.001 par value; authorized 50,000,000 shares, issued 18,335,642 and</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6,313,996 shares, respectively</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Treasury stock, at cost; 71,764 and 48,065 shares, respectively</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208,053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193,234</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(192,621)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(187,370)</w:t>
            </w: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r>
        <w:trPr>
          <w:trHeight w:val="210"/>
        </w:trPr>
        <w:tc>
          <w:tcPr>
            <w:tcW w:w="69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15,000</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5,447</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3"/>
              </w:rPr>
              <w:t>Three months ended October 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w w:val="94"/>
              </w:rPr>
              <w:t>Six months ended 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Product development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2,725</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3,031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5,468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6,186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income taxes</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(2,577)</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(966)</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(5,240)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(4,793)</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160" w:type="dxa"/>
            <w:vAlign w:val="bottom"/>
            <w:tcBorders>
              <w:top w:val="single" w:sz="8" w:color="CCEEFF"/>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160"/>
              <w:spacing w:after="0" w:line="195" w:lineRule="exact"/>
              <w:rPr>
                <w:sz w:val="20"/>
                <w:szCs w:val="20"/>
                <w:color w:val="auto"/>
              </w:rPr>
            </w:pPr>
            <w:r>
              <w:rPr>
                <w:rFonts w:ascii="Arial" w:cs="Arial" w:eastAsia="Arial" w:hAnsi="Arial"/>
                <w:sz w:val="18"/>
                <w:szCs w:val="18"/>
                <w:color w:val="auto"/>
                <w:w w:val="90"/>
              </w:rPr>
              <w:t>Weighted average shares used to compute basic and diluted</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net loss per share</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12,904,973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3,891,512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12,586,828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3,180,501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9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October 31,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rPr>
              <w:t>Six months ended 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145"/>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(2,577)</w:t>
            </w:r>
          </w:p>
        </w:tc>
        <w:tc>
          <w:tcPr>
            <w:tcW w:w="1240" w:type="dxa"/>
            <w:vAlign w:val="bottom"/>
            <w:gridSpan w:val="2"/>
            <w:shd w:val="clear" w:color="auto" w:fill="CCEEFF"/>
          </w:tcPr>
          <w:p>
            <w:pPr>
              <w:jc w:val="right"/>
              <w:ind w:right="985"/>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(966)</w:t>
            </w:r>
          </w:p>
        </w:tc>
        <w:tc>
          <w:tcPr>
            <w:tcW w:w="1040" w:type="dxa"/>
            <w:vAlign w:val="bottom"/>
            <w:gridSpan w:val="2"/>
            <w:shd w:val="clear" w:color="auto" w:fill="CCEEFF"/>
          </w:tcPr>
          <w:p>
            <w:pPr>
              <w:jc w:val="right"/>
              <w:ind w:right="79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(5,240)</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(2,592</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(976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(5,233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40" w:type="dxa"/>
            <w:vAlign w:val="bottom"/>
            <w:gridSpan w:val="5"/>
          </w:tcPr>
          <w:p>
            <w:pPr>
              <w:ind w:left="340"/>
              <w:spacing w:after="0"/>
              <w:rPr>
                <w:sz w:val="20"/>
                <w:szCs w:val="20"/>
                <w:color w:val="auto"/>
              </w:rPr>
            </w:pPr>
            <w:r>
              <w:rPr>
                <w:rFonts w:ascii="Arial" w:cs="Arial" w:eastAsia="Arial" w:hAnsi="Arial"/>
                <w:sz w:val="16"/>
                <w:szCs w:val="16"/>
                <w:b w:val="1"/>
                <w:bCs w:val="1"/>
                <w:color w:val="auto"/>
              </w:rPr>
              <w:t>Common Shares</w:t>
            </w:r>
          </w:p>
        </w:tc>
        <w:tc>
          <w:tcPr>
            <w:tcW w:w="1880" w:type="dxa"/>
            <w:vAlign w:val="bottom"/>
            <w:gridSpan w:val="5"/>
          </w:tcPr>
          <w:p>
            <w:pPr>
              <w:jc w:val="right"/>
              <w:ind w:right="359"/>
              <w:spacing w:after="0"/>
              <w:rPr>
                <w:sz w:val="20"/>
                <w:szCs w:val="20"/>
                <w:color w:val="auto"/>
              </w:rPr>
            </w:pPr>
            <w:r>
              <w:rPr>
                <w:rFonts w:ascii="Arial" w:cs="Arial" w:eastAsia="Arial" w:hAnsi="Arial"/>
                <w:sz w:val="16"/>
                <w:szCs w:val="16"/>
                <w:b w:val="1"/>
                <w:bCs w:val="1"/>
                <w:color w:val="auto"/>
              </w:rPr>
              <w:t>Treasury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Paid-In</w:t>
            </w:r>
          </w:p>
        </w:tc>
        <w:tc>
          <w:tcPr>
            <w:tcW w:w="1220" w:type="dxa"/>
            <w:vAlign w:val="bottom"/>
            <w:gridSpan w:val="4"/>
          </w:tcPr>
          <w:p>
            <w:pPr>
              <w:ind w:left="100"/>
              <w:spacing w:after="0"/>
              <w:rPr>
                <w:sz w:val="20"/>
                <w:szCs w:val="20"/>
                <w:color w:val="auto"/>
              </w:rPr>
            </w:pPr>
            <w:r>
              <w:rPr>
                <w:rFonts w:ascii="Arial" w:cs="Arial" w:eastAsia="Arial" w:hAnsi="Arial"/>
                <w:sz w:val="16"/>
                <w:szCs w:val="16"/>
                <w:b w:val="1"/>
                <w:bCs w:val="1"/>
                <w:color w:val="auto"/>
              </w:rPr>
              <w:t>Accumulated</w:t>
            </w:r>
          </w:p>
        </w:tc>
        <w:tc>
          <w:tcPr>
            <w:tcW w:w="128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9"/>
              </w:rPr>
              <w:t>Comprehensive</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9"/>
                <w:szCs w:val="19"/>
                <w:color w:val="auto"/>
              </w:rPr>
            </w:pPr>
          </w:p>
        </w:tc>
        <w:tc>
          <w:tcPr>
            <w:tcW w:w="980" w:type="dxa"/>
            <w:vAlign w:val="bottom"/>
            <w:tcBorders>
              <w:top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9"/>
                <w:szCs w:val="19"/>
                <w:color w:val="auto"/>
              </w:rPr>
            </w:pPr>
          </w:p>
        </w:tc>
        <w:tc>
          <w:tcPr>
            <w:tcW w:w="108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Balances, April 30, 2017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6,313,996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w:t>
            </w:r>
          </w:p>
        </w:tc>
        <w:tc>
          <w:tcPr>
            <w:tcW w:w="9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(48,065)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193,234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(187,370)</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(160)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79"/>
              <w:spacing w:after="0"/>
              <w:rPr>
                <w:sz w:val="20"/>
                <w:szCs w:val="20"/>
                <w:color w:val="auto"/>
              </w:rPr>
            </w:pPr>
            <w:r>
              <w:rPr>
                <w:rFonts w:ascii="Arial" w:cs="Arial" w:eastAsia="Arial" w:hAnsi="Arial"/>
                <w:sz w:val="16"/>
                <w:szCs w:val="16"/>
                <w:color w:val="auto"/>
              </w:rPr>
              <w:t>(5,240)</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Stock based compensation</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6"/>
                <w:szCs w:val="16"/>
                <w:color w:val="auto"/>
              </w:rPr>
              <w:t>Issuance of restricted stock, net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89,459</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Sale of stock, net of financing costs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11,932,187</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14,635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Arial" w:cs="Arial" w:eastAsia="Arial" w:hAnsi="Arial"/>
                <w:sz w:val="16"/>
                <w:szCs w:val="16"/>
                <w:color w:val="auto"/>
              </w:rPr>
              <w:t>Acquisition of treasury stock</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(23,699)</w:t>
            </w: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Adoption of accounting standard update</w:t>
            </w: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w w:val="99"/>
              </w:rPr>
              <w:t>related to stock compensation accounting</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(ASU 2016-09)</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loss</w:t>
            </w: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Balances, October 31, 2017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18,335,642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(71,764</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208,053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(192,621</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0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October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(5,240)</w:t>
            </w:r>
          </w:p>
        </w:tc>
        <w:tc>
          <w:tcPr>
            <w:tcW w:w="112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Foreign exchange gain</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Unbilled receivable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(1,523)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Unearned revenues</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ind w:left="700"/>
              <w:spacing w:after="0" w:line="203" w:lineRule="exact"/>
              <w:rPr>
                <w:sz w:val="20"/>
                <w:szCs w:val="20"/>
                <w:color w:val="auto"/>
              </w:rPr>
            </w:pPr>
            <w:r>
              <w:rPr>
                <w:rFonts w:ascii="Arial" w:cs="Arial" w:eastAsia="Arial" w:hAnsi="Arial"/>
                <w:sz w:val="18"/>
                <w:szCs w:val="18"/>
                <w:color w:val="auto"/>
              </w:rPr>
              <w:t>Net cash used in operating activities</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(6,680</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(6,284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marketable securities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Purchases of equipment</w:t>
            </w:r>
          </w:p>
        </w:tc>
        <w:tc>
          <w:tcPr>
            <w:tcW w:w="9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provided by investing activities</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and related warrants, net of costs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14,647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Payment of capital lease obligations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treasury stock</w:t>
            </w:r>
          </w:p>
        </w:tc>
        <w:tc>
          <w:tcPr>
            <w:tcW w:w="9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ind w:left="70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14,596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12,052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700"/>
              <w:spacing w:after="0" w:line="203" w:lineRule="exact"/>
              <w:rPr>
                <w:sz w:val="20"/>
                <w:szCs w:val="20"/>
                <w:color w:val="auto"/>
              </w:rPr>
            </w:pPr>
            <w:r>
              <w:rPr>
                <w:rFonts w:ascii="Arial" w:cs="Arial" w:eastAsia="Arial" w:hAnsi="Arial"/>
                <w:sz w:val="18"/>
                <w:szCs w:val="18"/>
                <w:color w:val="auto"/>
              </w:rPr>
              <w:t>Net increase in cash, cash equivalents and restricted cash</w:t>
            </w:r>
          </w:p>
        </w:tc>
        <w:tc>
          <w:tcPr>
            <w:tcW w:w="9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7,921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5,788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16,830</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12,818</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Supplemental schedule of cash flows information:</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Ocean Power Technologies, Inc. (the “Company”) was founded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or lease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products and services.</w:t>
      </w:r>
    </w:p>
    <w:p>
      <w:pPr>
        <w:spacing w:after="0" w:line="16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2017 filed with the Securities and Exchange Commission (“SEC”) and elsewhere in this Form 10-Q.</w:t>
      </w:r>
    </w:p>
    <w:p>
      <w:pPr>
        <w:spacing w:after="0" w:line="18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Liquidity/Going Concern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financial statements have been prepared assuming the Company will continue as a going concern. The Company has experienced substantial and recurring losses from operations, which have contributed to an accumulated deficit of $192.6 million as of October 31, 2017. As of October 31, 2017, the Company had approximately $16.3 million in cash and cash equivalents on hand. The Company generated revenues of $0.3 million and $0.4 million during each of the six months ended October 31, 2017 and 2016. Based on the Company’s cash, cash equivalents and marketable securities as of October 31, 2017, the Company believes that it will be able to finance its capital requirements and operations into at least the quarter ending April 30, 2019. The Company will require additional equity and/or debt financing to continue its operations.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evaluating different strategies to obtain the required additional funding for future operations. These strategies may include, but are not limited to, additional funding from current or new investors, officers and directors; borrowings of debt; a public offering of the Company’s equity or debt securities; partnerships and/or collaborations. There can be no assurance that any of these future-funding efforts will be successful.</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fiscal 2017 and the six months ended October 31, 2017,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closed five equity financing arrangements during the 18-month period ended October 31, 2017. The Company does not currently have any committed sources of debt or equity financing, and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were approximately $1.7 million, after deducting placement agent fees and estimated offering expenses payable by the Company, but excluding the proceeds, if any, from the exercise of the warrants issued in the offering. The warrants have an exercise price of $6.08 per share, became exercisable on December 3, 2016 (“Initial Exercise Date”), and will expire five years following the Initial Exercise Date. The Company paid the placement agents approximately $0.1 million as placement agent fees in connection with the sale of securities in the offering. The Company also reimbursed the placement agents $35,000 for their out of pocket and legal expenses in connection with the offering.</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underwriter fees and offering expenses payable by the Company.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fair value of warrant liabilities, valuation allowances for receivables and deferred income tax assets; estimated costs to complete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revenue under fixed price or cost plus contracts is recognized using the cost to cost percentage-of-completion method, measured by the ratio of costs incurred to total estimated costs at completion. In certain circumstances, revenue under contracts that have specified milestones or other performance criteria may be recognized only when the customer acknowledges that such criteria have been satisfied. If an arrangement involves multiple deliverables, the delivered items are considered separate units of accounting if the items have value on a stand-alone basis. Amounts allocated to each element are based on its objectively determined fair value, such as the sales price for the product or service when it is sold separately or competitor prices for similar products or services.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The Company invests excess cash in an overnight U.S. government securities repurchase bank account and a money market account. In accordance with the terms of the repurchase agreement, the Company does not take possession of the related securities. The agreement contains provisions to ensure that the market value of the underlying assets remain sufficient to protect the Company in the event of default by the bank by requiring that the underlying securities have a total market value of at least 100% of the bank’s total obligations under the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31, 2017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5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5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Overnight repurchase account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is approximately €0.3 million ($0.4 million) and carries a fee of 1% per annum of the amount of any such obligations issued by Barclays Bank. The credit facility does not have an expiration date, but is cancelable at the discretion of the bank. As of October 31, 2017, there was €0.3 million ($0.4 million) in letters of credit outstanding under this agreement.</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agreement is between the Company and Santander Bank. Under this agreement, the cash is on deposit at Santander Bank and serves as security for letter of credit issued by Santander Bank for the lease of new warehouse/office space in Monroe Township, New Jersey. The agreement cannot be extended beyond January 31, 2025, and is cancelable at the discretion of the bank. Restricted cash includes the following:</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October 31, 2017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5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17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Santander Bank</w:t>
            </w:r>
          </w:p>
        </w:tc>
        <w:tc>
          <w:tcPr>
            <w:tcW w:w="1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31, 2017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5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1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October 31, 2017 and April 30, 2017, all of the Company’s investments were classified as held-to-maturity.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(f) Foreign Exchange Gains and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are included in “Foreign exchange gain/(loss)” in the accompanying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Property and Equipment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Concentration of Credit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180" w:type="dxa"/>
            <w:vAlign w:val="bottom"/>
            <w:gridSpan w:val="4"/>
          </w:tcPr>
          <w:p>
            <w:pPr>
              <w:ind w:left="700"/>
              <w:spacing w:after="0"/>
              <w:rPr>
                <w:sz w:val="20"/>
                <w:szCs w:val="20"/>
                <w:color w:val="auto"/>
              </w:rPr>
            </w:pPr>
            <w:r>
              <w:rPr>
                <w:rFonts w:ascii="Arial" w:cs="Arial" w:eastAsia="Arial" w:hAnsi="Arial"/>
                <w:sz w:val="16"/>
                <w:szCs w:val="16"/>
                <w:b w:val="1"/>
                <w:bCs w:val="1"/>
                <w:color w:val="auto"/>
                <w:w w:val="98"/>
              </w:rPr>
              <w:t>Three months ended October 31,</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0" w:type="dxa"/>
            <w:vAlign w:val="bottom"/>
            <w:gridSpan w:val="5"/>
          </w:tcPr>
          <w:p>
            <w:pPr>
              <w:ind w:left="780"/>
              <w:spacing w:after="0"/>
              <w:rPr>
                <w:sz w:val="20"/>
                <w:szCs w:val="20"/>
                <w:color w:val="auto"/>
              </w:rPr>
            </w:pPr>
            <w:r>
              <w:rPr>
                <w:rFonts w:ascii="Arial" w:cs="Arial" w:eastAsia="Arial" w:hAnsi="Arial"/>
                <w:sz w:val="16"/>
                <w:szCs w:val="16"/>
                <w:b w:val="1"/>
                <w:bCs w:val="1"/>
                <w:color w:val="auto"/>
              </w:rPr>
              <w:t>Six months ended October 31,</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19"/>
                <w:szCs w:val="19"/>
                <w:color w:val="auto"/>
              </w:rPr>
            </w:pPr>
          </w:p>
        </w:tc>
        <w:tc>
          <w:tcPr>
            <w:tcW w:w="1240" w:type="dxa"/>
            <w:vAlign w:val="bottom"/>
            <w:tcBorders>
              <w:top w:val="single" w:sz="8" w:color="auto"/>
            </w:tcBorders>
          </w:tcPr>
          <w:p>
            <w:pPr>
              <w:ind w:left="700"/>
              <w:spacing w:after="0"/>
              <w:rPr>
                <w:sz w:val="20"/>
                <w:szCs w:val="20"/>
                <w:color w:val="auto"/>
              </w:rPr>
            </w:pPr>
            <w:r>
              <w:rPr>
                <w:rFonts w:ascii="Arial" w:cs="Arial" w:eastAsia="Arial" w:hAnsi="Arial"/>
                <w:sz w:val="16"/>
                <w:szCs w:val="16"/>
                <w:b w:val="1"/>
                <w:bCs w:val="1"/>
                <w:color w:val="auto"/>
              </w:rPr>
              <w:t>2017</w:t>
            </w:r>
          </w:p>
        </w:tc>
        <w:tc>
          <w:tcPr>
            <w:tcW w:w="194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597"/>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Mitsui Engineering &amp; Shipbuilding</w:t>
            </w:r>
          </w:p>
        </w:tc>
        <w:tc>
          <w:tcPr>
            <w:tcW w:w="7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93%</w:t>
            </w:r>
          </w:p>
        </w:tc>
        <w:tc>
          <w:tcPr>
            <w:tcW w:w="1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U.S. Department of Defense Office of Naval Research</w:t>
            </w:r>
          </w:p>
        </w:tc>
        <w:tc>
          <w:tcPr>
            <w:tcW w:w="720" w:type="dxa"/>
            <w:vAlign w:val="bottom"/>
            <w:gridSpan w:val="2"/>
          </w:tcPr>
          <w:p>
            <w:pPr>
              <w:jc w:val="right"/>
              <w:ind w:right="44"/>
              <w:spacing w:after="0"/>
              <w:rPr>
                <w:sz w:val="20"/>
                <w:szCs w:val="20"/>
                <w:color w:val="auto"/>
              </w:rPr>
            </w:pPr>
            <w:r>
              <w:rPr>
                <w:rFonts w:ascii="Arial" w:cs="Arial" w:eastAsia="Arial" w:hAnsi="Arial"/>
                <w:sz w:val="16"/>
                <w:szCs w:val="16"/>
                <w:color w:val="auto"/>
              </w:rPr>
              <w:t>7%</w:t>
            </w:r>
          </w:p>
        </w:tc>
        <w:tc>
          <w:tcPr>
            <w:tcW w:w="1220" w:type="dxa"/>
            <w:vAlign w:val="bottom"/>
          </w:tcPr>
          <w:p>
            <w:pPr>
              <w:spacing w:after="0"/>
              <w:rPr>
                <w:sz w:val="19"/>
                <w:szCs w:val="19"/>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5%</w:t>
            </w:r>
          </w:p>
        </w:tc>
        <w:tc>
          <w:tcPr>
            <w:tcW w:w="1940" w:type="dxa"/>
            <w:vAlign w:val="bottom"/>
            <w:gridSpan w:val="2"/>
          </w:tcPr>
          <w:p>
            <w:pPr>
              <w:jc w:val="right"/>
              <w:ind w:right="19"/>
              <w:spacing w:after="0"/>
              <w:rPr>
                <w:sz w:val="20"/>
                <w:szCs w:val="20"/>
                <w:color w:val="auto"/>
              </w:rPr>
            </w:pPr>
            <w:r>
              <w:rPr>
                <w:rFonts w:ascii="Arial" w:cs="Arial" w:eastAsia="Arial" w:hAnsi="Arial"/>
                <w:sz w:val="16"/>
                <w:szCs w:val="16"/>
                <w:color w:val="auto"/>
              </w:rPr>
              <w:t>25%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CCEEFF"/>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4"/>
              </w:rPr>
              <w:t>%</w:t>
            </w: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Warrant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warrants to purchase shares of its common stock are classified as warrant liabilities and are recorded at fair value. The warrant liabilities are subject to re-measurement at each balance sheet date and the Company recognizes any change in fair value in its consolidated statements of operations within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computing diluted net loss per share, options to purchase shares of common stock, warrants on common stock and non-vested restricted stock issued to employees and non-employee directors, totaling 835,886 for the three and six months ended October 31, 2017 and 687,825 for the three and six months ended October 31, 2016, were excluded from each of the computations as the effect would be anti-dilutive due to the Company’s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Share-Based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and six months ended October 31, 2017 and 2016:</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8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Three months ended October 31,</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80" w:type="dxa"/>
            <w:vAlign w:val="bottom"/>
            <w:gridSpan w:val="5"/>
          </w:tcPr>
          <w:p>
            <w:pPr>
              <w:ind w:left="200"/>
              <w:spacing w:after="0"/>
              <w:rPr>
                <w:sz w:val="20"/>
                <w:szCs w:val="20"/>
                <w:color w:val="auto"/>
              </w:rPr>
            </w:pPr>
            <w:r>
              <w:rPr>
                <w:rFonts w:ascii="Arial" w:cs="Arial" w:eastAsia="Arial" w:hAnsi="Arial"/>
                <w:sz w:val="16"/>
                <w:szCs w:val="16"/>
                <w:b w:val="1"/>
                <w:bCs w:val="1"/>
                <w:color w:val="auto"/>
              </w:rPr>
              <w:t>Six months ended October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(in thousands)</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Product development</w:t>
            </w:r>
          </w:p>
        </w:tc>
        <w:tc>
          <w:tcPr>
            <w:tcW w:w="1680" w:type="dxa"/>
            <w:vAlign w:val="bottom"/>
            <w:gridSpan w:val="2"/>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1240" w:type="dxa"/>
            <w:vAlign w:val="bottom"/>
            <w:gridSpan w:val="2"/>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Selling, general and administratvie</w:t>
            </w:r>
          </w:p>
        </w:tc>
        <w:tc>
          <w:tcPr>
            <w:tcW w:w="4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Total share-based compensation expense</w:t>
            </w:r>
          </w:p>
        </w:tc>
        <w:tc>
          <w:tcPr>
            <w:tcW w:w="1680" w:type="dxa"/>
            <w:vAlign w:val="bottom"/>
            <w:gridSpan w:val="2"/>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Recently Issued Accounting Standards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2014-09 outlines a new, single comprehensive model for entities to use in accounting for revenue arising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Companies may use either a full retrospective or a modified retrospective approach to adopt ASU 2014-09. The Company has not yet completed its final review of the impact of this guidance; however, the Company anticipates applying the modified retrospective method upon adoption of ASU 2014-09 on May 1, 2018. The impact to the Company could be affected by the nature and terms of potential future contracts with customers, as those contracts may have terms that differ from the Company’s current contracts.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adopted ASU 2014-15 for the fiscal year 2017. The Company’s addition of the standard did not have a material impact on its disclosures. See section (c) “Liquidity/Going Concern” within Note (1) “Background and Liquidity” of the consolidated financial statements included in this Quarterly Report on Form 10-Q for further discussion on the Company’s ability to continue as a going concern.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jc w:val="both"/>
        <w:spacing w:after="0" w:line="273"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The Company will evaluate the effect of ASU 2016-01 for future periods as applicable.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has not yet determined the effect of the standard on its ongoing financial reporting at this time.</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The amendments of ASU No. 2016-09 were issued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accounting for forfeitures, income tax consequences, classification of awards as equity or liabilities and classification on the statement of cash flows. The guidance in ASU No. 2016-09 is effective for fiscal years beginning after December 15, 2016, and interim periods within those annual periods. The Company adopted ASU 2016-09 on May 1, 2017. Certain of the amendments are applied using a modified retrospective transition method by means of a cumulative-effect adjustment to equity as of May 1, 2017, while other amendments are applied retrospectively, prospectively or using either a prospective or a retrospective transition method. Upon adoption, the Company is beginning to account for forfeitures as they occur rather than estimate a forfeiture rate and has recorded a cumulative-effect adjustment in equity of approximately $11,000 on the date of initial adoption. In periods subsequent to adoption, a higher expense will be recognized earlier during the respective vesting periods of stock-based awards that are not forfeited. The Company expects that the income tax amendments within ASU 2016-09 will have no impact on its results of operations or cash flows because it is in a net operating loss position with a full valuation allowance.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has evaluated the effect ASU 2016-13 will have on its consolidated financial statements and disclosures and has determined the standard will have no impact on its ongoing financial reporting at this time.</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which amends guidance and presentation related to restricted cash in the statement of cash flows, including stating that amounts generally described as restricted cash and restricted cash equivalents should be included within cash and cash equivalents when reconciling the beginning-of-period and end-of-period total amounts shown in the statement of cash flows. An entity is required to provide a disclosure indicating the reconciliation of all cash accounts. The amendments in the ASU are effective for fiscal years beginning after December 15, 2017, and interim periods within those fiscal years and early adoption is permitted. The Company has early adopted ASU 2016-18 effective May 1, 2017. In connection with the adoption of the standard the Company has used a retrospective transition method for each period presented in the statement of cash flows. The Company reclassified $488,000 and $300,000 of restricted cash to cash, cash equivalents and restricted cash, beginning of period for the period April 30, 2017 and April 30, 2016 in the statement of cash flows. The Company reclassified $306,000 of restricted cash to cash, cash equivalents and restricted cash, end of period for the period ended October 31, 2016 in the statement of cash flows.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Marketable securities with initial maturities greater than three months but that mature within one year from the balance sheet date are classified as current assets and are summarized as follows: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31, 2017</w:t>
            </w:r>
          </w:p>
        </w:tc>
        <w:tc>
          <w:tcPr>
            <w:tcW w:w="220" w:type="dxa"/>
            <w:vAlign w:val="bottom"/>
          </w:tcPr>
          <w:p>
            <w:pPr>
              <w:spacing w:after="0"/>
              <w:rPr>
                <w:sz w:val="20"/>
                <w:szCs w:val="20"/>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April 30, 2017</w:t>
            </w:r>
          </w:p>
        </w:tc>
      </w:tr>
      <w:tr>
        <w:trPr>
          <w:trHeight w:val="230"/>
        </w:trPr>
        <w:tc>
          <w:tcPr>
            <w:tcW w:w="3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60" w:type="dxa"/>
            <w:vAlign w:val="bottom"/>
            <w:tcBorders>
              <w:top w:val="single" w:sz="8" w:color="auto"/>
            </w:tcBorders>
            <w:gridSpan w:val="4"/>
          </w:tcPr>
          <w:p>
            <w:pPr>
              <w:jc w:val="right"/>
              <w:ind w:right="131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r>
      <w:tr>
        <w:trPr>
          <w:trHeight w:val="202"/>
        </w:trPr>
        <w:tc>
          <w:tcPr>
            <w:tcW w:w="3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at October 31, 2017 and April 30, 2017.</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October 31, 2017</w:t>
            </w:r>
          </w:p>
        </w:tc>
        <w:tc>
          <w:tcPr>
            <w:tcW w:w="220" w:type="dxa"/>
            <w:vAlign w:val="bottom"/>
          </w:tcPr>
          <w:p>
            <w:pPr>
              <w:spacing w:after="0"/>
              <w:rPr>
                <w:sz w:val="20"/>
                <w:szCs w:val="20"/>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b w:val="1"/>
                <w:bCs w:val="1"/>
                <w:color w:val="auto"/>
              </w:rPr>
              <w:t>April 30, 2017</w:t>
            </w:r>
          </w:p>
        </w:tc>
      </w:tr>
      <w:tr>
        <w:trPr>
          <w:trHeight w:val="230"/>
        </w:trPr>
        <w:tc>
          <w:tcPr>
            <w:tcW w:w="3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60" w:type="dxa"/>
            <w:vAlign w:val="bottom"/>
            <w:tcBorders>
              <w:top w:val="single" w:sz="8" w:color="auto"/>
            </w:tcBorders>
            <w:gridSpan w:val="4"/>
          </w:tcPr>
          <w:p>
            <w:pPr>
              <w:jc w:val="right"/>
              <w:ind w:right="1270"/>
              <w:spacing w:after="0"/>
              <w:rPr>
                <w:sz w:val="20"/>
                <w:szCs w:val="20"/>
                <w:color w:val="auto"/>
              </w:rPr>
            </w:pPr>
            <w:r>
              <w:rPr>
                <w:rFonts w:ascii="Arial" w:cs="Arial" w:eastAsia="Arial" w:hAnsi="Arial"/>
                <w:sz w:val="18"/>
                <w:szCs w:val="18"/>
                <w:color w:val="auto"/>
              </w:rPr>
              <w:t>(in thousands)</w:t>
            </w:r>
          </w:p>
        </w:tc>
        <w:tc>
          <w:tcPr>
            <w:tcW w:w="80" w:type="dxa"/>
            <w:vAlign w:val="bottom"/>
            <w:gridSpan w:val="2"/>
          </w:tcPr>
          <w:p>
            <w:pPr>
              <w:spacing w:after="0"/>
              <w:rPr>
                <w:sz w:val="20"/>
                <w:szCs w:val="20"/>
                <w:color w:val="auto"/>
              </w:rPr>
            </w:pPr>
          </w:p>
        </w:tc>
      </w:tr>
      <w:tr>
        <w:trPr>
          <w:trHeight w:val="202"/>
        </w:trPr>
        <w:tc>
          <w:tcPr>
            <w:tcW w:w="3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1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Contract loss reserve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Accrued taxes payable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8"/>
                <w:szCs w:val="18"/>
                <w:color w:val="auto"/>
              </w:rPr>
            </w:pPr>
          </w:p>
        </w:tc>
      </w:tr>
      <w:tr>
        <w:trPr>
          <w:trHeight w:val="25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21"/>
                <w:szCs w:val="21"/>
                <w:color w:val="auto"/>
              </w:rPr>
            </w:pPr>
          </w:p>
        </w:tc>
      </w:tr>
      <w:tr>
        <w:trPr>
          <w:trHeight w:val="217"/>
        </w:trPr>
        <w:tc>
          <w:tcPr>
            <w:tcW w:w="34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Credits Payable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 $0.6 million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$0.6 million, less the aggregate discount on any emission credits sold to the investor prior to such date. In December 2012, the Company and the investor agreed to extend the period for the sale of emission credits until December 31, 2017. As of October 31, 2017, the Company has not generated any emissions credits eligible for purchase under the agreement. As a result, the Company anticipates returning the option fee of $0.6 million. Therefore, the $0.6 million is reflected in the consolidated balance sheets within “Deferred credits payable current” as of October 31, 2017 and April 30, 2017,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Warrants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warrants have an exercise price of $6.08 per share, became exercisable on December 3, 2016 (“Initial Exercise Date”), and will expire five years following the Initial Exercise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both"/>
        <w:spacing w:after="0" w:line="297" w:lineRule="auto"/>
        <w:rPr>
          <w:sz w:val="20"/>
          <w:szCs w:val="20"/>
          <w:color w:val="auto"/>
        </w:rPr>
      </w:pPr>
      <w:r>
        <w:rPr>
          <w:rFonts w:ascii="Arial" w:cs="Arial" w:eastAsia="Arial" w:hAnsi="Arial"/>
          <w:sz w:val="16"/>
          <w:szCs w:val="16"/>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Warrants were exercisable immediately at an exercise price of $9.36 per share. The Warrants will expire on the fifth (5th) anniversary of the initial date of issuance.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sets of warrants contain a feature whereby they could require the transfer of assets and therefore are classified as a liability in accordance with ASC 480. As such, the warrants had a value of $0.3 million and $0.3 million at October 31, 2017 and April 30, 2017, respectively, as reflected within “Warrant liabilities” in the unaudited consolidated balance sheets.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unrealized gain of approximately $31,000 and $2,017,000 for the three months ended October 31, 2017 and 2016, and $68,000 and $1,265,000 for the six months ended October 31, 2017 and 2016, respectively, were included within “Change in fair value of warrant liability” in the consolidated statements of operations. The Company determined the fair value using the Black-Scholes option pricing model with the following assumptions:</w:t>
      </w:r>
    </w:p>
    <w:p>
      <w:pPr>
        <w:spacing w:after="0" w:line="17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October 31, 2016</w:t>
            </w:r>
          </w:p>
        </w:tc>
      </w:tr>
      <w:tr>
        <w:trPr>
          <w:trHeight w:val="216"/>
        </w:trPr>
        <w:tc>
          <w:tcPr>
            <w:tcW w:w="45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Risk-free rate</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4.1</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4.7 - 5.1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Expected volatility</w:t>
            </w:r>
          </w:p>
        </w:tc>
        <w:tc>
          <w:tcPr>
            <w:tcW w:w="2100" w:type="dxa"/>
            <w:vAlign w:val="bottom"/>
            <w:gridSpan w:val="4"/>
          </w:tcPr>
          <w:p>
            <w:pPr>
              <w:jc w:val="right"/>
              <w:ind w:right="180"/>
              <w:spacing w:after="0"/>
              <w:rPr>
                <w:sz w:val="20"/>
                <w:szCs w:val="20"/>
                <w:color w:val="auto"/>
              </w:rPr>
            </w:pPr>
            <w:r>
              <w:rPr>
                <w:rFonts w:ascii="Arial" w:cs="Arial" w:eastAsia="Arial" w:hAnsi="Arial"/>
                <w:sz w:val="18"/>
                <w:szCs w:val="18"/>
                <w:color w:val="auto"/>
              </w:rPr>
              <w:t>138.1%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126.7%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estimates the fair value of each stock option granted, for both service-based and performance-based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over the expected life of the stock option granted. The following assumptions were used for three and six months ended October 31, 2017 and 2016.</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6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 October 31,</w:t>
            </w:r>
          </w:p>
        </w:tc>
        <w:tc>
          <w:tcPr>
            <w:tcW w:w="35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Six months ended October 31,</w:t>
            </w:r>
          </w:p>
        </w:tc>
        <w:tc>
          <w:tcPr>
            <w:tcW w:w="0" w:type="dxa"/>
            <w:vAlign w:val="bottom"/>
          </w:tcPr>
          <w:p>
            <w:pPr>
              <w:spacing w:after="0"/>
              <w:rPr>
                <w:sz w:val="1"/>
                <w:szCs w:val="1"/>
                <w:color w:val="auto"/>
              </w:rPr>
            </w:pPr>
          </w:p>
        </w:tc>
      </w:tr>
      <w:tr>
        <w:trPr>
          <w:trHeight w:val="237"/>
        </w:trPr>
        <w:tc>
          <w:tcPr>
            <w:tcW w:w="3880" w:type="dxa"/>
            <w:vAlign w:val="bottom"/>
            <w:gridSpan w:val="2"/>
          </w:tcPr>
          <w:p>
            <w:pPr>
              <w:spacing w:after="0"/>
              <w:rPr>
                <w:sz w:val="20"/>
                <w:szCs w:val="20"/>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128.2%</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104.0%</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128.2%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Exercise</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2017</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170,664</w:t>
            </w:r>
          </w:p>
        </w:tc>
        <w:tc>
          <w:tcPr>
            <w:tcW w:w="16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Cancelled/forfeited</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(10,211)</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117.12</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31, 2017</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397,667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spacing w:after="0"/>
              <w:rPr>
                <w:sz w:val="20"/>
                <w:szCs w:val="20"/>
                <w:color w:val="auto"/>
              </w:rPr>
            </w:pPr>
            <w:r>
              <w:rPr>
                <w:rFonts w:ascii="Arial" w:cs="Arial" w:eastAsia="Arial" w:hAnsi="Arial"/>
                <w:sz w:val="18"/>
                <w:szCs w:val="18"/>
                <w:color w:val="auto"/>
              </w:rPr>
              <w:t>Exercisable as of October 31, 2017</w:t>
            </w: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restart"/>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226,293</w:t>
            </w:r>
          </w:p>
        </w:tc>
        <w:tc>
          <w:tcPr>
            <w:tcW w:w="16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October 31, 2017, the total intrinsic value of outstanding and exercisable options was approximately $2,000 and $2,000, respectively. As of October 31, 2017, approximately 171,232 additional options were unvested, which had no intrinsic value and a weighted average remaining contractual term of 10 years. There was approximately $125,000 and $142,000 of total recognized compensation cost related to stock options during each of the six months ended October 31, 2017 and 2016, respectively. As of October 31, 2017, there was approximately $0.2 million of total unrecognized compensation cost related to non-vested stock options granted under the plans. This cost is expected to be recognized over a weighted-average period of 1.0 years. The Company typically issues newly authorized but unissued shares to satisfy option exercises under these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Compensation expense for non-vested restricted stock is generally recorded based on its market value on the date of grant and recognized ratably over the associated service and performance period. During the six months ended October 31, 2017, the Company granted 114,584 shares subject to service-based vesting requirements and no shares subject to performance-based vesting requirements. The achievement or vesting requirement of the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peer group. However, additional opportunities to vest some or all of a portion of the shares in a subsequent period may occur. Compensation expense for these awards with market-based vesting is calculated based on the estimated fair value as of the grant date utilizing a Monte Carlo simulation model and is recognized over the service period on a straight-line basis.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stock issued and unvested as of October 31, 2017 included 12,000 shares of unvested restricted stock subjected to performance-based vesting requirements.</w:t>
      </w:r>
    </w:p>
    <w:p>
      <w:pPr>
        <w:sectPr>
          <w:pgSz w:w="11900" w:h="16838" w:orient="portrait"/>
          <w:cols w:equalWidth="0" w:num="1">
            <w:col w:w="11420"/>
          </w:cols>
          <w:pgMar w:left="240" w:top="661"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April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r>
      <w:tr>
        <w:trPr>
          <w:trHeight w:val="230"/>
        </w:trPr>
        <w:tc>
          <w:tcPr>
            <w:tcW w:w="16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Average Price per</w:t>
            </w:r>
          </w:p>
        </w:tc>
      </w:tr>
      <w:tr>
        <w:trPr>
          <w:trHeight w:val="241"/>
        </w:trPr>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of 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Share</w:t>
            </w:r>
          </w:p>
        </w:tc>
      </w:tr>
      <w:tr>
        <w:trPr>
          <w:trHeight w:val="418"/>
        </w:trPr>
        <w:tc>
          <w:tcPr>
            <w:tcW w:w="1480" w:type="dxa"/>
            <w:vAlign w:val="bottom"/>
          </w:tcPr>
          <w:p>
            <w:pPr>
              <w:jc w:val="right"/>
              <w:spacing w:after="0"/>
              <w:rPr>
                <w:sz w:val="20"/>
                <w:szCs w:val="20"/>
                <w:color w:val="auto"/>
              </w:rPr>
            </w:pPr>
            <w:r>
              <w:rPr>
                <w:rFonts w:ascii="Arial" w:cs="Arial" w:eastAsia="Arial" w:hAnsi="Arial"/>
                <w:sz w:val="18"/>
                <w:szCs w:val="18"/>
                <w:color w:val="auto"/>
              </w:rPr>
              <w:t>103,412</w:t>
            </w:r>
          </w:p>
        </w:tc>
        <w:tc>
          <w:tcPr>
            <w:tcW w:w="14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1480" w:type="dxa"/>
            <w:vAlign w:val="bottom"/>
          </w:tcPr>
          <w:p>
            <w:pPr>
              <w:jc w:val="right"/>
              <w:spacing w:after="0"/>
              <w:rPr>
                <w:sz w:val="20"/>
                <w:szCs w:val="20"/>
                <w:color w:val="auto"/>
              </w:rPr>
            </w:pPr>
            <w:r>
              <w:rPr>
                <w:rFonts w:ascii="Arial" w:cs="Arial" w:eastAsia="Arial" w:hAnsi="Arial"/>
                <w:sz w:val="18"/>
                <w:szCs w:val="18"/>
                <w:color w:val="auto"/>
              </w:rPr>
              <w:t>114,584</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(79,104)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51"/>
        </w:trPr>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(25,125)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113,767</w:t>
            </w:r>
          </w:p>
        </w:tc>
        <w:tc>
          <w:tcPr>
            <w:tcW w:w="140" w:type="dxa"/>
            <w:vAlign w:val="bottom"/>
          </w:tcPr>
          <w:p>
            <w:pPr>
              <w:spacing w:after="0"/>
              <w:rPr>
                <w:sz w:val="19"/>
                <w:szCs w:val="19"/>
                <w:color w:val="auto"/>
              </w:rPr>
            </w:pPr>
          </w:p>
        </w:tc>
        <w:tc>
          <w:tcPr>
            <w:tcW w:w="2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203" w:lineRule="exact"/>
              <w:rPr>
                <w:sz w:val="20"/>
                <w:szCs w:val="20"/>
                <w:color w:val="auto"/>
              </w:rPr>
            </w:pPr>
            <w:r>
              <w:rPr>
                <w:rFonts w:ascii="Arial" w:cs="Arial" w:eastAsia="Arial" w:hAnsi="Arial"/>
                <w:sz w:val="18"/>
                <w:szCs w:val="18"/>
                <w:color w:val="auto"/>
              </w:rPr>
              <w:t>1.90</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260"/>
            <w:col w:w="4860"/>
          </w:cols>
          <w:pgMar w:left="240" w:top="661" w:right="2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$48,000 and $486,000 of total recognized compensation cost related to restricted stock for the six months ended October 31, 2017 and 2016, respectively. As of October 31, 2017, there was approximately $0.2 million of total unrecognized compensation cost related to unvested restricted stock granted under our plans. This cost is expected to be recognized over a weighted average period of 1.3 years.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(c)Treasury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October 31, 2017 and 2016, 23,699 and 6,360 shares, respectively, of common stock were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58" w:lineRule="exact"/>
        <w:rPr>
          <w:sz w:val="20"/>
          <w:szCs w:val="20"/>
          <w:color w:val="auto"/>
        </w:rPr>
      </w:pPr>
    </w:p>
    <w:p>
      <w:pPr>
        <w:jc w:val="both"/>
        <w:ind w:left="840" w:right="20" w:hanging="836"/>
        <w:spacing w:after="0" w:line="264" w:lineRule="auto"/>
        <w:tabs>
          <w:tab w:leader="none" w:pos="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81" w:lineRule="exact"/>
        <w:rPr>
          <w:sz w:val="20"/>
          <w:szCs w:val="20"/>
          <w:color w:val="auto"/>
        </w:rPr>
      </w:pPr>
    </w:p>
    <w:p>
      <w:pPr>
        <w:jc w:val="both"/>
        <w:ind w:left="840" w:hanging="836"/>
        <w:spacing w:after="0" w:line="264" w:lineRule="auto"/>
        <w:tabs>
          <w:tab w:leader="none" w:pos="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81" w:lineRule="exact"/>
        <w:rPr>
          <w:sz w:val="20"/>
          <w:szCs w:val="20"/>
          <w:color w:val="auto"/>
        </w:rPr>
      </w:pPr>
    </w:p>
    <w:p>
      <w:pPr>
        <w:jc w:val="both"/>
        <w:ind w:left="840" w:hanging="836"/>
        <w:spacing w:after="0" w:line="264" w:lineRule="auto"/>
        <w:tabs>
          <w:tab w:leader="none" w:pos="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levels during the three and six months ended October 31, 2017 and 2016.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 Liabilities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the Company’s warrant liabilities (refer to Note 6)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 free interest rate is based on the implied yield available on U.S. Treasury Securities with a maturity equivalent to the warrants’ expected life.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October 31,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tbl>
      <w:tblPr>
        <w:tblLayout w:type="fixed"/>
        <w:tblInd w:w="394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Quoted prices in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w:t>
            </w:r>
          </w:p>
        </w:tc>
        <w:tc>
          <w:tcPr>
            <w:tcW w:w="1460" w:type="dxa"/>
            <w:vAlign w:val="bottom"/>
          </w:tcPr>
          <w:p>
            <w:pPr>
              <w:spacing w:after="0"/>
              <w:rPr>
                <w:sz w:val="18"/>
                <w:szCs w:val="18"/>
                <w:color w:val="auto"/>
              </w:rPr>
            </w:pPr>
          </w:p>
        </w:tc>
      </w:tr>
      <w:tr>
        <w:trPr>
          <w:trHeight w:val="216"/>
        </w:trPr>
        <w:tc>
          <w:tcPr>
            <w:tcW w:w="1520" w:type="dxa"/>
            <w:vAlign w:val="bottom"/>
          </w:tcPr>
          <w:p>
            <w:pPr>
              <w:jc w:val="center"/>
              <w:ind w:right="270"/>
              <w:spacing w:after="0"/>
              <w:rPr>
                <w:sz w:val="20"/>
                <w:szCs w:val="20"/>
                <w:color w:val="auto"/>
              </w:rPr>
            </w:pPr>
            <w:r>
              <w:rPr>
                <w:rFonts w:ascii="Arial" w:cs="Arial" w:eastAsia="Arial" w:hAnsi="Arial"/>
                <w:sz w:val="18"/>
                <w:szCs w:val="18"/>
                <w:b w:val="1"/>
                <w:bCs w:val="1"/>
                <w:color w:val="auto"/>
                <w:w w:val="95"/>
              </w:rPr>
              <w:t>Total Carrying</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active markets for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other</w:t>
            </w:r>
          </w:p>
        </w:tc>
        <w:tc>
          <w:tcPr>
            <w:tcW w:w="146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152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Value in</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6"/>
              </w:rPr>
              <w:t>identical assets or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observable</w:t>
            </w:r>
          </w:p>
        </w:tc>
        <w:tc>
          <w:tcPr>
            <w:tcW w:w="146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unobservable</w:t>
            </w:r>
          </w:p>
        </w:tc>
      </w:tr>
      <w:tr>
        <w:trPr>
          <w:trHeight w:val="216"/>
        </w:trPr>
        <w:tc>
          <w:tcPr>
            <w:tcW w:w="152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Consolidated</w:t>
            </w:r>
          </w:p>
        </w:tc>
        <w:tc>
          <w:tcPr>
            <w:tcW w:w="2160" w:type="dxa"/>
            <w:vAlign w:val="bottom"/>
          </w:tcPr>
          <w:p>
            <w:pPr>
              <w:ind w:left="680"/>
              <w:spacing w:after="0"/>
              <w:rPr>
                <w:sz w:val="20"/>
                <w:szCs w:val="20"/>
                <w:color w:val="auto"/>
              </w:rPr>
            </w:pPr>
            <w:r>
              <w:rPr>
                <w:rFonts w:ascii="Arial" w:cs="Arial" w:eastAsia="Arial" w:hAnsi="Arial"/>
                <w:sz w:val="18"/>
                <w:szCs w:val="18"/>
                <w:b w:val="1"/>
                <w:bCs w:val="1"/>
                <w:color w:val="auto"/>
              </w:rPr>
              <w:t>liabilities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inputs</w:t>
            </w:r>
          </w:p>
        </w:tc>
        <w:tc>
          <w:tcPr>
            <w:tcW w:w="1460" w:type="dxa"/>
            <w:vAlign w:val="bottom"/>
          </w:tcPr>
          <w:p>
            <w:pPr>
              <w:ind w:left="680"/>
              <w:spacing w:after="0"/>
              <w:rPr>
                <w:sz w:val="20"/>
                <w:szCs w:val="20"/>
                <w:color w:val="auto"/>
              </w:rPr>
            </w:pPr>
            <w:r>
              <w:rPr>
                <w:rFonts w:ascii="Arial" w:cs="Arial" w:eastAsia="Arial" w:hAnsi="Arial"/>
                <w:sz w:val="18"/>
                <w:szCs w:val="18"/>
                <w:b w:val="1"/>
                <w:bCs w:val="1"/>
                <w:color w:val="auto"/>
              </w:rPr>
              <w:t>inputs</w:t>
            </w:r>
          </w:p>
        </w:tc>
      </w:tr>
      <w:tr>
        <w:trPr>
          <w:trHeight w:val="234"/>
        </w:trPr>
        <w:tc>
          <w:tcPr>
            <w:tcW w:w="152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Balance Sheet</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680" w:type="dxa"/>
            <w:vAlign w:val="bottom"/>
          </w:tcPr>
          <w:p>
            <w:pPr>
              <w:ind w:left="500"/>
              <w:spacing w:after="0"/>
              <w:rPr>
                <w:sz w:val="20"/>
                <w:szCs w:val="20"/>
                <w:color w:val="auto"/>
              </w:rPr>
            </w:pPr>
            <w:r>
              <w:rPr>
                <w:rFonts w:ascii="Arial" w:cs="Arial" w:eastAsia="Arial" w:hAnsi="Arial"/>
                <w:sz w:val="18"/>
                <w:szCs w:val="18"/>
                <w:b w:val="1"/>
                <w:bCs w:val="1"/>
                <w:color w:val="auto"/>
              </w:rPr>
              <w:t>(Level 2)</w:t>
            </w:r>
          </w:p>
        </w:tc>
        <w:tc>
          <w:tcPr>
            <w:tcW w:w="1460" w:type="dxa"/>
            <w:vAlign w:val="bottom"/>
          </w:tcPr>
          <w:p>
            <w:pPr>
              <w:jc w:val="center"/>
              <w:ind w:left="330"/>
              <w:spacing w:after="0"/>
              <w:rPr>
                <w:sz w:val="20"/>
                <w:szCs w:val="20"/>
                <w:color w:val="auto"/>
              </w:rPr>
            </w:pPr>
            <w:r>
              <w:rPr>
                <w:rFonts w:ascii="Arial" w:cs="Arial" w:eastAsia="Arial" w:hAnsi="Arial"/>
                <w:sz w:val="18"/>
                <w:szCs w:val="18"/>
                <w:b w:val="1"/>
                <w:bCs w:val="1"/>
                <w:color w:val="auto"/>
                <w:w w:val="93"/>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0</wp:posOffset>
            </wp:positionV>
            <wp:extent cx="46653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65345" cy="1714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(in thousands)</w:t>
      </w:r>
    </w:p>
    <w:p>
      <w:pPr>
        <w:spacing w:after="0" w:line="225" w:lineRule="exact"/>
        <w:rPr>
          <w:sz w:val="20"/>
          <w:szCs w:val="20"/>
          <w:color w:val="auto"/>
        </w:rPr>
      </w:pPr>
    </w:p>
    <w:p>
      <w:pPr>
        <w:ind w:right="100" w:firstLine="324"/>
        <w:spacing w:after="0" w:line="498" w:lineRule="auto"/>
        <w:rPr>
          <w:sz w:val="20"/>
          <w:szCs w:val="20"/>
          <w:color w:val="auto"/>
        </w:rPr>
      </w:pPr>
      <w:r>
        <w:rPr>
          <w:rFonts w:ascii="Arial" w:cs="Arial" w:eastAsia="Arial" w:hAnsi="Arial"/>
          <w:sz w:val="18"/>
          <w:szCs w:val="18"/>
          <w:color w:val="auto"/>
        </w:rPr>
        <w:t>Warrant liabilities $ 255 $ - $ - $ 255 The following table presents financial assets and liabilities measured at fair value on a recurring basis as of April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-535940</wp:posOffset>
            </wp:positionV>
            <wp:extent cx="68776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jc w:val="right"/>
              <w:ind w:right="750"/>
              <w:spacing w:after="0"/>
              <w:rPr>
                <w:sz w:val="20"/>
                <w:szCs w:val="20"/>
                <w:color w:val="auto"/>
              </w:rPr>
            </w:pPr>
            <w:r>
              <w:rPr>
                <w:rFonts w:ascii="Arial" w:cs="Arial" w:eastAsia="Arial" w:hAnsi="Arial"/>
                <w:sz w:val="18"/>
                <w:szCs w:val="18"/>
                <w:b w:val="1"/>
                <w:bCs w:val="1"/>
                <w:color w:val="auto"/>
                <w:w w:val="97"/>
              </w:rPr>
              <w:t>Quoted prices in</w:t>
            </w:r>
          </w:p>
        </w:tc>
        <w:tc>
          <w:tcPr>
            <w:tcW w:w="166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Significant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Total Carrying</w:t>
            </w:r>
          </w:p>
        </w:tc>
        <w:tc>
          <w:tcPr>
            <w:tcW w:w="280" w:type="dxa"/>
            <w:vAlign w:val="bottom"/>
          </w:tcPr>
          <w:p>
            <w:pPr>
              <w:spacing w:after="0"/>
              <w:rPr>
                <w:sz w:val="18"/>
                <w:szCs w:val="18"/>
                <w:color w:val="auto"/>
              </w:rPr>
            </w:pPr>
          </w:p>
        </w:tc>
        <w:tc>
          <w:tcPr>
            <w:tcW w:w="2240" w:type="dxa"/>
            <w:vAlign w:val="bottom"/>
          </w:tcPr>
          <w:p>
            <w:pPr>
              <w:jc w:val="center"/>
              <w:ind w:right="550"/>
              <w:spacing w:after="0"/>
              <w:rPr>
                <w:sz w:val="20"/>
                <w:szCs w:val="20"/>
                <w:color w:val="auto"/>
              </w:rPr>
            </w:pPr>
            <w:r>
              <w:rPr>
                <w:rFonts w:ascii="Arial" w:cs="Arial" w:eastAsia="Arial" w:hAnsi="Arial"/>
                <w:sz w:val="18"/>
                <w:szCs w:val="18"/>
                <w:b w:val="1"/>
                <w:bCs w:val="1"/>
                <w:color w:val="auto"/>
                <w:w w:val="90"/>
              </w:rPr>
              <w:t>active markets for</w:t>
            </w:r>
          </w:p>
        </w:tc>
        <w:tc>
          <w:tcPr>
            <w:tcW w:w="1660" w:type="dxa"/>
            <w:vAlign w:val="bottom"/>
          </w:tcPr>
          <w:p>
            <w:pPr>
              <w:jc w:val="center"/>
              <w:ind w:right="610"/>
              <w:spacing w:after="0"/>
              <w:rPr>
                <w:sz w:val="20"/>
                <w:szCs w:val="20"/>
                <w:color w:val="auto"/>
              </w:rPr>
            </w:pPr>
            <w:r>
              <w:rPr>
                <w:rFonts w:ascii="Arial" w:cs="Arial" w:eastAsia="Arial" w:hAnsi="Arial"/>
                <w:sz w:val="18"/>
                <w:szCs w:val="18"/>
                <w:b w:val="1"/>
                <w:bCs w:val="1"/>
                <w:color w:val="auto"/>
                <w:w w:val="88"/>
              </w:rPr>
              <w:t>other</w:t>
            </w: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2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Value in</w:t>
            </w:r>
          </w:p>
        </w:tc>
        <w:tc>
          <w:tcPr>
            <w:tcW w:w="280" w:type="dxa"/>
            <w:vAlign w:val="bottom"/>
          </w:tcPr>
          <w:p>
            <w:pPr>
              <w:spacing w:after="0"/>
              <w:rPr>
                <w:sz w:val="18"/>
                <w:szCs w:val="18"/>
                <w:color w:val="auto"/>
              </w:rPr>
            </w:pPr>
          </w:p>
        </w:tc>
        <w:tc>
          <w:tcPr>
            <w:tcW w:w="2240" w:type="dxa"/>
            <w:vAlign w:val="bottom"/>
          </w:tcPr>
          <w:p>
            <w:pPr>
              <w:jc w:val="center"/>
              <w:ind w:right="550"/>
              <w:spacing w:after="0"/>
              <w:rPr>
                <w:sz w:val="20"/>
                <w:szCs w:val="20"/>
                <w:color w:val="auto"/>
              </w:rPr>
            </w:pPr>
            <w:r>
              <w:rPr>
                <w:rFonts w:ascii="Arial" w:cs="Arial" w:eastAsia="Arial" w:hAnsi="Arial"/>
                <w:sz w:val="18"/>
                <w:szCs w:val="18"/>
                <w:b w:val="1"/>
                <w:bCs w:val="1"/>
                <w:color w:val="auto"/>
                <w:w w:val="86"/>
              </w:rPr>
              <w:t>identical assets or</w:t>
            </w:r>
          </w:p>
        </w:tc>
        <w:tc>
          <w:tcPr>
            <w:tcW w:w="1660" w:type="dxa"/>
            <w:vAlign w:val="bottom"/>
          </w:tcPr>
          <w:p>
            <w:pPr>
              <w:jc w:val="center"/>
              <w:ind w:right="610"/>
              <w:spacing w:after="0"/>
              <w:rPr>
                <w:sz w:val="20"/>
                <w:szCs w:val="20"/>
                <w:color w:val="auto"/>
              </w:rPr>
            </w:pPr>
            <w:r>
              <w:rPr>
                <w:rFonts w:ascii="Arial" w:cs="Arial" w:eastAsia="Arial" w:hAnsi="Arial"/>
                <w:sz w:val="18"/>
                <w:szCs w:val="18"/>
                <w:b w:val="1"/>
                <w:bCs w:val="1"/>
                <w:color w:val="auto"/>
                <w:w w:val="88"/>
              </w:rPr>
              <w:t>observable</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unobservable</w:t>
            </w:r>
          </w:p>
        </w:tc>
      </w:tr>
      <w:tr>
        <w:trPr>
          <w:trHeight w:val="216"/>
        </w:trPr>
        <w:tc>
          <w:tcPr>
            <w:tcW w:w="2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Consolidated</w:t>
            </w:r>
          </w:p>
        </w:tc>
        <w:tc>
          <w:tcPr>
            <w:tcW w:w="280" w:type="dxa"/>
            <w:vAlign w:val="bottom"/>
          </w:tcPr>
          <w:p>
            <w:pPr>
              <w:spacing w:after="0"/>
              <w:rPr>
                <w:sz w:val="18"/>
                <w:szCs w:val="18"/>
                <w:color w:val="auto"/>
              </w:rPr>
            </w:pPr>
          </w:p>
        </w:tc>
        <w:tc>
          <w:tcPr>
            <w:tcW w:w="224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liabilities</w:t>
            </w:r>
          </w:p>
        </w:tc>
        <w:tc>
          <w:tcPr>
            <w:tcW w:w="1660" w:type="dxa"/>
            <w:vAlign w:val="bottom"/>
          </w:tcPr>
          <w:p>
            <w:pPr>
              <w:jc w:val="center"/>
              <w:ind w:right="610"/>
              <w:spacing w:after="0"/>
              <w:rPr>
                <w:sz w:val="20"/>
                <w:szCs w:val="20"/>
                <w:color w:val="auto"/>
              </w:rPr>
            </w:pPr>
            <w:r>
              <w:rPr>
                <w:rFonts w:ascii="Arial" w:cs="Arial" w:eastAsia="Arial" w:hAnsi="Arial"/>
                <w:sz w:val="18"/>
                <w:szCs w:val="18"/>
                <w:b w:val="1"/>
                <w:bCs w:val="1"/>
                <w:color w:val="auto"/>
                <w:w w:val="88"/>
              </w:rPr>
              <w:t>inputs</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inputs</w:t>
            </w:r>
          </w:p>
        </w:tc>
      </w:tr>
      <w:tr>
        <w:trPr>
          <w:trHeight w:val="241"/>
        </w:trPr>
        <w:tc>
          <w:tcPr>
            <w:tcW w:w="2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Balance Sheet</w:t>
            </w:r>
          </w:p>
        </w:tc>
        <w:tc>
          <w:tcPr>
            <w:tcW w:w="280" w:type="dxa"/>
            <w:vAlign w:val="bottom"/>
          </w:tcPr>
          <w:p>
            <w:pPr>
              <w:spacing w:after="0"/>
              <w:rPr>
                <w:sz w:val="20"/>
                <w:szCs w:val="20"/>
                <w:color w:val="auto"/>
              </w:rPr>
            </w:pPr>
          </w:p>
        </w:tc>
        <w:tc>
          <w:tcPr>
            <w:tcW w:w="2240" w:type="dxa"/>
            <w:vAlign w:val="bottom"/>
          </w:tcPr>
          <w:p>
            <w:pPr>
              <w:jc w:val="center"/>
              <w:ind w:right="550"/>
              <w:spacing w:after="0"/>
              <w:rPr>
                <w:sz w:val="20"/>
                <w:szCs w:val="20"/>
                <w:color w:val="auto"/>
              </w:rPr>
            </w:pPr>
            <w:r>
              <w:rPr>
                <w:rFonts w:ascii="Arial" w:cs="Arial" w:eastAsia="Arial" w:hAnsi="Arial"/>
                <w:sz w:val="18"/>
                <w:szCs w:val="18"/>
                <w:b w:val="1"/>
                <w:bCs w:val="1"/>
                <w:color w:val="auto"/>
                <w:w w:val="93"/>
              </w:rPr>
              <w:t>(Level 1)</w:t>
            </w:r>
          </w:p>
        </w:tc>
        <w:tc>
          <w:tcPr>
            <w:tcW w:w="1660" w:type="dxa"/>
            <w:vAlign w:val="bottom"/>
          </w:tcPr>
          <w:p>
            <w:pPr>
              <w:jc w:val="right"/>
              <w:ind w:right="730"/>
              <w:spacing w:after="0"/>
              <w:rPr>
                <w:sz w:val="20"/>
                <w:szCs w:val="20"/>
                <w:color w:val="auto"/>
              </w:rPr>
            </w:pPr>
            <w:r>
              <w:rPr>
                <w:rFonts w:ascii="Arial" w:cs="Arial" w:eastAsia="Arial" w:hAnsi="Arial"/>
                <w:sz w:val="18"/>
                <w:szCs w:val="18"/>
                <w:b w:val="1"/>
                <w:bCs w:val="1"/>
                <w:color w:val="auto"/>
              </w:rPr>
              <w:t>(Level 2)</w:t>
            </w: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3)</w:t>
            </w:r>
          </w:p>
        </w:tc>
      </w:tr>
      <w:tr>
        <w:trPr>
          <w:trHeight w:val="230"/>
        </w:trPr>
        <w:tc>
          <w:tcPr>
            <w:tcW w:w="2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(in thousands)</w:t>
            </w:r>
          </w:p>
        </w:tc>
        <w:tc>
          <w:tcPr>
            <w:tcW w:w="16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r>
    </w:tbl>
    <w:p>
      <w:pPr>
        <w:spacing w:after="0" w:line="200" w:lineRule="exact"/>
        <w:rPr>
          <w:sz w:val="20"/>
          <w:szCs w:val="20"/>
          <w:color w:val="auto"/>
        </w:rPr>
      </w:pPr>
    </w:p>
    <w:p>
      <w:pPr>
        <w:spacing w:after="0" w:line="245" w:lineRule="exact"/>
        <w:rPr>
          <w:sz w:val="20"/>
          <w:szCs w:val="20"/>
          <w:color w:val="auto"/>
        </w:rPr>
      </w:pPr>
    </w:p>
    <w:p>
      <w:pPr>
        <w:ind w:left="3020" w:right="1980" w:hanging="3018"/>
        <w:spacing w:after="0" w:line="547" w:lineRule="auto"/>
        <w:rPr>
          <w:sz w:val="20"/>
          <w:szCs w:val="20"/>
          <w:color w:val="auto"/>
        </w:rPr>
      </w:pPr>
      <w:r>
        <w:rPr>
          <w:rFonts w:ascii="Arial" w:cs="Arial" w:eastAsia="Arial" w:hAnsi="Arial"/>
          <w:sz w:val="17"/>
          <w:szCs w:val="17"/>
          <w:color w:val="auto"/>
        </w:rPr>
        <w:t>The following table provides a summary of changes in fair value of the Company’s warrant liabilities held at October 31, 2017. Fair Value Measurement Using Significant Unobservable Inputs (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-144145</wp:posOffset>
            </wp:positionV>
            <wp:extent cx="54286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28615" cy="17145"/>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Total</w:t>
            </w:r>
          </w:p>
        </w:tc>
      </w:tr>
      <w:tr>
        <w:trPr>
          <w:trHeight w:val="230"/>
        </w:trPr>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Warrant</w:t>
            </w:r>
          </w:p>
        </w:tc>
      </w:tr>
      <w:tr>
        <w:trPr>
          <w:trHeight w:val="237"/>
        </w:trPr>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8"/>
                <w:szCs w:val="18"/>
                <w:color w:val="auto"/>
              </w:rPr>
              <w:t>Liability</w:t>
            </w:r>
          </w:p>
        </w:tc>
      </w:tr>
      <w:tr>
        <w:trPr>
          <w:trHeight w:val="230"/>
        </w:trPr>
        <w:tc>
          <w:tcPr>
            <w:tcW w:w="6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89"/>
              </w:rPr>
              <w:t>(in thousands)</w:t>
            </w:r>
          </w:p>
        </w:tc>
        <w:tc>
          <w:tcPr>
            <w:tcW w:w="80" w:type="dxa"/>
            <w:vAlign w:val="bottom"/>
            <w:gridSpan w:val="2"/>
          </w:tcPr>
          <w:p>
            <w:pPr>
              <w:spacing w:after="0"/>
              <w:rPr>
                <w:sz w:val="20"/>
                <w:szCs w:val="20"/>
                <w:color w:val="auto"/>
              </w:rPr>
            </w:pPr>
          </w:p>
        </w:tc>
      </w:tr>
      <w:tr>
        <w:trPr>
          <w:trHeight w:val="229"/>
        </w:trPr>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Fair value – April 30, 2016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Issuance</w:t>
            </w:r>
          </w:p>
        </w:tc>
        <w:tc>
          <w:tcPr>
            <w:tcW w:w="2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1,814</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20"/>
                <w:szCs w:val="20"/>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(1,491)</w:t>
            </w:r>
          </w:p>
        </w:tc>
      </w:tr>
      <w:tr>
        <w:trPr>
          <w:trHeight w:val="230"/>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 April 30, 2017</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2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7"/>
        </w:trPr>
        <w:tc>
          <w:tcPr>
            <w:tcW w:w="6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Fair value – October 31, 2017</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There were no re-measured assets or liabilities at fair value on a non-recurring basis during the six months ended October 31, 2017 and 2016, respectively.</w:t>
      </w:r>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661"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February 8, 2016, the Court issued an order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7"/>
          <w:szCs w:val="17"/>
          <w:i w:val="1"/>
          <w:iCs w:val="1"/>
          <w:color w:val="auto"/>
        </w:rPr>
        <w:t>LaCalamito</w:t>
      </w:r>
      <w:r>
        <w:rPr>
          <w:rFonts w:ascii="Arial" w:cs="Arial" w:eastAsia="Arial" w:hAnsi="Arial"/>
          <w:sz w:val="17"/>
          <w:szCs w:val="17"/>
          <w:color w:val="auto"/>
        </w:rPr>
        <w:t xml:space="preserve">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October 25, 2016, the Court approved and entered a Stipulation and Order that, among other things, (i) consolidated the four derivative actions; (ii) identified plaintiff </w:t>
      </w:r>
      <w:r>
        <w:rPr>
          <w:rFonts w:ascii="Arial" w:cs="Arial" w:eastAsia="Arial" w:hAnsi="Arial"/>
          <w:sz w:val="16"/>
          <w:szCs w:val="16"/>
          <w:i w:val="1"/>
          <w:iCs w:val="1"/>
          <w:color w:val="auto"/>
        </w:rPr>
        <w:t>Pucillo</w:t>
      </w:r>
      <w:r>
        <w:rPr>
          <w:rFonts w:ascii="Arial" w:cs="Arial" w:eastAsia="Arial" w:hAnsi="Arial"/>
          <w:sz w:val="16"/>
          <w:szCs w:val="16"/>
          <w:color w:val="auto"/>
        </w:rPr>
        <w:t xml:space="preserve"> as the lead plaintiff in the consolidated actions; and (iii) stayed the consolidated actions pending the settlement hearing scheduled for November 14, 2016 in the securities class action and further order of the Court. During the month of August 2017, the Company tentatively reached a settlement with the plaintiff subject to final documentation. The settlement, once finalized and if approved by the court, provides, among other things, for a settlement payment by or on behalf of the Company of $350,000, of which the Company’s insurer would pay the complete amount of $350,000. As a result, the Company has accrued $350,000 related to this matter as a probable and reasonably estimable loss contingency during the six months ended October 31, 2017. The Company also recorded a receivable of $350,000 from its insurance carrier with the offset to the statement of operations.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On June 23, 2017, the Company responded to the Stockholder Demand, explained the procedures that were followed for the 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misled the stockholders regarding whether their brokers could vote on the reverse stock split proposal, and renewed their requests of the Board. On July 24, 2017, the Company provided an additional response to the Stockholders Demand, denied the allegations, and declined to take any of the actions requested.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 and have since agreed to continue to the suspension pending resolution of the derivatives litigation.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pending settlement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Investigation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4, 2015, the Company received a subpoena from the SEC requesting information related to the VWP Project. The Company has provided information to the SEC in response to that subpoena. As part of the same investigation, on July 12, 2016, the SEC issued second subpoena requesting information related to the Company’s April 4, 2014 public offering.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2012, the Company received notice that the Spanish tax authorities are inquiring into its 2010 IVA (value-added tax) filing for which the Company benefitted from the offset of approximately $0.3 million of input tax. The Company believes that the inquiry will find that the tax credit was properly claimed and, therefore, no liability has been recorded. The Company issued two letters of credit totaling €0.3 million ($0.3 million) at the request of the Spanish tax authorities. On January 31, 2017 the Company has received $0.2 million from the Spanish tax authorities as a result of the conclusion of the inquiry. In addition, during February 2017, the Spanish tax authorities approved of the release of the two outstanding letters of credit.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currently undergoing an income tax audit in Spain for the period from 2008 to 2014, when its Spanish branch was closed. The branch reported net operating losses for each of the years reported. It is anticipated that the Company will be assessed a penalty relating to these tax years for these losses. The Company has estimated this penalty to be $132,000, and as such, for the period ended April 30, 2017 and October 31, 2017, the Company has recorded $132,000 for this penalty to Accrued expenses in its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did not recognize any consolidated income tax benefit (expense) during the six month periods ended October 31, 2017 and 2016.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We are currently undergoing an income tax audit in Spain for the period from 2008 to 2014, when our Spanish branch was closed. The branch reported net operating losses for each of the years reported. It is anticipated that we will be assessed a penalty relating to these tax years for these losses. We have estimated this penalty to be $132,000, and as such, for the period ended April 30, 2017 and October 31, 2017, we have recorded $132,000 for this penalty to Accrued expenses in the Balance Sheet. At October 31, 2017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 During the six months ended October 31, 2017 and 2016, the Company’s primary business operations were in North America.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2017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2017 refers to the year ended April 30,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Nearly 70% of the earth’s surface is covered by water, with over 40% of the world’s population living within approximately 150 miles of a coast. Thousands of information gathering and/or power systems are deployed in the oceans today to increase our understanding of weather, climate change, biological processes, and marine mammal patterns and to support exploration and operations for industries such as oil and gas. Most of these systems are powered by battery, solar, wind, fuel cell, or fossil fuel generators that may be unreliable and expensive to operate while they also may be limited in their ability to deliver ample electric power. These current systems often necessitate significant tradeoffs in sensor accuracy, data processing and communications bandwidth and frequency in order to operate given limited available power. More persistent power systems requiring less maintenance, such as our systems, may have the ability to save costs over these current systems. Just as importantly, increases in available power may allow for better sensors, faster data sampling and higher frequency communication intervals up to real-time which could as a result improve scientific and economic returns.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Founded in 1984 and headquartered in Pennington, New Jersey, we believe we are the leader in ocean wave power conversion technology. Our PB3 PowerBuoy is our first fully commercial product which generates electricity by harnessing the renewable energy of ocean waves. In addition to our PB3 PowerBuoy, we continue to develop our PowerBuoy product line based on modular, ocean-going buoys, which we have been periodically ocean testing since 1997.</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PB3 PowerBuoy generates power for use in remote offshore locations, independent of a conventional power grid, and it incorporates a unique onboard power take-off (“PTO”) system, which incorporates both energy storage and energy management and control systems. The PB3 generates up to 3 kilowatts (“kW”)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(“kWh”) to meet specific application requirements. We continue to develop and test our new PowerBuoys, with the objective to incrementally scale up power production. We believe there is a substantial addressable market for the current capabilities of our PB3, which we believe could be utilized in a variety of applications.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leveraging earlier design aspects of our autonomous PowerBuoy, the PB3 has undergone extensive factory and in-ocean design validation testing. Currently, our engineering efforts are focused primarily on cost reductions and life extensions of the PB3, while also scaling our technologies to increase the energy output. Our marketing efforts are focused on applications in remote offshore locations that require reliable and persistent power and communications, either by supplying electric power to payloads that are integrated directly in or on our PowerBuoy or located in its vicinity, such as on the seabed and in the water column.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market research and publicly available data, we believe that multiple markets have a direct need for our PowerBuoys including oil and gas, ocean observing, defense and security, and communications. Depending on payload power requirements, sensor types and other considerations, we have found that our PowerBuoy could satisfy several application requirements within these markets. We believe that the PB3 persistently generates sufficient power to meet the requirements of many potential customer applications within our target markets.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fiscal 2002, government agencies have accounted for a significant portion of our revenues. These revenues were largely for the support of our development efforts relating to our technology. Today our goal is to generate the majority of our revenue from the sale or lease of our products, and sales of services to support our business operations. As we continue to develop and commercialize our products, we expect to have a net loss of cash from operating activities unless and until we achieve positive cash flow from the commercialization of our products and services. During fiscal 2017 and the first half of fiscal year 2018, we continued work on projects with the U.S. Department of Defense (“DOD”) and Mitsui Engineering and Shipbuilding Co., Ltd. (“MES”), while we continued to validate the reliability and power output of our PB3 PowerBuoy.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Product Development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development of our technology has been funded by revenue generating projects, capital we raised, and by development engineering contracts we received starting in fiscal 1995, including projects with the DOE, the U.S. Navy, the Department of Homeland Security and MES.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Through these historic projects, we also continued development of our PowerBuoy technologies. We are continuing to focus on marketing and developing our PowerBuoy products and services for use in autonomous power applications.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fiscal 2017, we continued to focus on the commercialization of our PowerBuoy technology and our PB3 product in autonomous application markets. We completed our work under our DOE contract that focused on further optimization of our modular PTO technology and delivered the project final report to the DOE in the prior year. In the prior year, we successfully completed the final stage and associated review with the DOE of the contract deliverables during which the DOE reviewed advancements related to PTO design aspects such as reliability, cost take out, manufacturability and scalability. As we continued to focus on the development and validation of our PB3 PowerBuoy commercial product, our activities concentrated mainly on implementing all of our lessons learned during our efforts in the prior fiscal year from our ocean deployments and accelerated life testing (“ALT”). The resulting improved PB3 PowerBuoy was deployed off the coast of New Jersey in July of 2016 and was retrieved early December 2016 upon completing all intended testing and validation. Inspection and refurbishment of the PB3 PowerBuoy were completed and this PB3 was shipped for delivery to MES in Japan to fulfill the requirements of our lease with MES, including a deployment off of Kozushima Island in the Pacific Ocean. ALT of the PB3 commercial PTO is ongoing with no failures to date. In addition to the deployment of the PB3 PowerBuoy, the prior generation pre-commercial PB3 (“PB3-A1”), was fitted with a sensor that collects tagged marine mammal migration information as well as with a Self-Contained Ocean Observing Payload (“SCOOP”). The marine mammal migration detection sensor was attached to the PB3-A1 PowerBuoy as part of an agreed scope of work with the Wildlife Conservation Society (“WCS”) through a memorandum of agreement between WCS and OPT. The SCOOP payload was integrated into PB3-A1 to complete the Phase 1 work scope of a Cooperative Research and Development Agreement (“CRADA”) between the National Data Buoy Center (“NDBC”) and OPT. The PB3-A1, deployed off the coast of New Jersey in May 2016, was retrieved in October 2016</w:t>
      </w:r>
      <w:r>
        <w:rPr>
          <w:rFonts w:ascii="Arial" w:cs="Arial" w:eastAsia="Arial" w:hAnsi="Arial"/>
          <w:sz w:val="16"/>
          <w:szCs w:val="16"/>
          <w:b w:val="1"/>
          <w:bCs w:val="1"/>
          <w:color w:val="auto"/>
        </w:rPr>
        <w:t>.</w:t>
      </w:r>
      <w:r>
        <w:rPr>
          <w:rFonts w:ascii="Arial" w:cs="Arial" w:eastAsia="Arial" w:hAnsi="Arial"/>
          <w:sz w:val="16"/>
          <w:szCs w:val="16"/>
          <w:color w:val="auto"/>
        </w:rPr>
        <w:t xml:space="preserve"> From July 2016 through October 2016, both PB3-A1 and PB3 were concurrently deployed generating valuable performance validation data. Both the NDBC SCOOP as well as the WCS tagged mammal migration detection sensor met all of their performance requirements. This pre-commercial PowerBuoy, referred to as “PB3-A1” has now undergone a full upgrade and has achieved full commercial status by retrofitting it with the final commercial PTO including our modular energy storage system, and to make it available to support our on-going commercialization efforts. In addition to the PB3 commercial product validation activities, a concerted effort has been underway which focuses on proactively implementing additional features driven by extensive and direct discussions with potential users and customers in our target markets. Such features include:</w:t>
      </w:r>
    </w:p>
    <w:p>
      <w:pPr>
        <w:spacing w:after="0" w:line="168" w:lineRule="exact"/>
        <w:rPr>
          <w:sz w:val="20"/>
          <w:szCs w:val="20"/>
          <w:color w:val="auto"/>
        </w:rPr>
      </w:pPr>
    </w:p>
    <w:p>
      <w:pPr>
        <w:ind w:left="1040" w:hanging="384"/>
        <w:spacing w:after="0" w:line="308"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design, development and implementation of a versatile mooring interface that allows the PB3 to accommodate various types of mooring configurations depending on the specifics and the needs of the customer, eliminating the need for a redesign to the device.</w:t>
      </w:r>
    </w:p>
    <w:p>
      <w:pPr>
        <w:spacing w:after="0" w:line="146" w:lineRule="exact"/>
        <w:rPr>
          <w:rFonts w:ascii="Arial" w:cs="Arial" w:eastAsia="Arial" w:hAnsi="Arial"/>
          <w:sz w:val="17"/>
          <w:szCs w:val="17"/>
          <w:color w:val="auto"/>
        </w:rPr>
      </w:pPr>
    </w:p>
    <w:p>
      <w:pPr>
        <w:jc w:val="both"/>
        <w:ind w:left="1040" w:hanging="384"/>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 development and implementation of a flexible power transmission system intended to support delivery of power and communication capabilities to customer payloads which are external to the PowerBuoy, and which may reside in the water column or on the seabed.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and building upon our initial success in implementing an auto-ballast system in our commercial PB3, we further enhanced this feature in order to achieve faster and more cost effective PB3 deployments and retrievals.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we are continuing the development of our PB15, the next scale-up of our autonomous PowerBuoy, which will provide higher peak power than our PB3. We completed the preliminary design of our PB15 in fiscal 2017. We are continuing to obtain market feedback on the value proposition of this design while at the same time advancing the commercialization of our PB3. While this scale-up leverages every aspect of the product development and validation of the PB3, it may also strategically position the product to allow OPT to respond to higher power needs as expressed by potential end-users and customers in our target markets.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and we have not yet finalized any product offerings in these potential markets. We believe that by increasing the energy output of our PowerBuoys we may be able to address larger segments of our target markets. By improving our design and manufacturing, we also seek to reduce the cost of our PowerBuoys through further design iterations and manufacturing ramp-up. In so doing, we seek to improve customer value, displace additional incumbent solutions, and become a viable power source for new applications in our target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both"/>
        <w:spacing w:after="0" w:line="293" w:lineRule="auto"/>
        <w:rPr>
          <w:sz w:val="20"/>
          <w:szCs w:val="20"/>
          <w:color w:val="auto"/>
        </w:rPr>
      </w:pPr>
      <w:r>
        <w:rPr>
          <w:rFonts w:ascii="Arial" w:cs="Arial" w:eastAsia="Arial" w:hAnsi="Arial"/>
          <w:sz w:val="16"/>
          <w:szCs w:val="16"/>
          <w:color w:val="auto"/>
        </w:rPr>
        <w:t>We also are continuing to work to develop solutions seeking to improve our products’ durability and reliability and to reduce their cost. For example, the redesigned PB3 leverages our knowledge base from past designs to incorporate new design features which we believe will improve its reliability and efficiency, including a redesigned PTO and a higher efficiency and higher voltage ESS. In July 2016, we deployed our first commercial PB3 PowerBuoy, off of the coast of New Jersey. This deployment was the final validation of the PB3 prior to the March 2017 six-month lease of the PB3 PowerBuoy under a previously announced customer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In March 2017, our commercial PB3 was deployed off the coast of Kozushima Island in Japan as part of this lease and operated meeting all project requirements. The MES leased concluded in September 2017 and the PB3 is being shipped back to New Jersey.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seeking to build strategic relationships with other companies that have developed or are developing in-ocean applications requiring a persistent source of power that is also capable of real time data collection, processing and communication, to address potential customer needs.</w:t>
      </w:r>
    </w:p>
    <w:p>
      <w:pPr>
        <w:spacing w:after="0" w:line="147" w:lineRule="exact"/>
        <w:rPr>
          <w:sz w:val="20"/>
          <w:szCs w:val="20"/>
          <w:color w:val="auto"/>
        </w:rPr>
      </w:pPr>
    </w:p>
    <w:p>
      <w:pPr>
        <w:jc w:val="both"/>
        <w:ind w:left="840" w:hanging="386"/>
        <w:spacing w:after="0" w:line="271"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2016, we entered into a cooperative research and development agreement (“CRADA”) with the NDBC to conduct ocean demonstrations of its innovative Self-Contained Ocean Observing Payload (“SCOOP”) monitoring system integrated into our PB3-A1 PowerBuoy. NDBC operates a large network of buoys and stations which provide critical meteorological and oceanic observations that are utilized by government, industry, and academia throughout the world. Under the CRADA, an initial ocean demonstration was to be conducted off the coast of New Jersey. We integrated the SCOOP onto our PB3 PowerBuoy and in June 2016 we deployed the system off of the coast of New Jersey. Site-specific measurements of meteorological and ocean conditions, as well as system performance and maintenance data collection, were carried out. The SCOOP was powered by the PB3, and provided metocean data to OPT and to NDBC. The deployment proceeded for approximately three months and met all project objectives. We are continuing discussions with the NDBC around next steps.</w:t>
      </w:r>
    </w:p>
    <w:p>
      <w:pPr>
        <w:spacing w:after="0" w:line="178" w:lineRule="exact"/>
        <w:rPr>
          <w:rFonts w:ascii="Arial" w:cs="Arial" w:eastAsia="Arial" w:hAnsi="Arial"/>
          <w:sz w:val="17"/>
          <w:szCs w:val="17"/>
          <w:color w:val="auto"/>
        </w:rPr>
      </w:pPr>
    </w:p>
    <w:p>
      <w:pPr>
        <w:jc w:val="both"/>
        <w:ind w:left="840" w:hanging="386"/>
        <w:spacing w:after="0" w:line="297"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May 2016, we entered into a Memorandum of Agreement (“MOA”) with WCS to explore the use of our PowerBuoys in conjunction with ocean life monitoring sensors to collect ocean mammal migration data. The MOA includes the exploration and assessment of the use of the PB3 as an integration platform to provide power and communications to sensors that monitor marine life migrations. An initial effort consisting of a battery powered sensor mounted to the PB3-A1 was deployed off of the coast of New Jersey which sought to establish a baseline acoustic survey. The deployment proceeded for approximately three months and met all project objectives. We are continuing discussions with WCS around next steps.</w:t>
      </w:r>
    </w:p>
    <w:p>
      <w:pPr>
        <w:spacing w:after="0" w:line="158" w:lineRule="exact"/>
        <w:rPr>
          <w:rFonts w:ascii="Arial" w:cs="Arial" w:eastAsia="Arial" w:hAnsi="Arial"/>
          <w:sz w:val="16"/>
          <w:szCs w:val="16"/>
          <w:color w:val="auto"/>
        </w:rPr>
      </w:pPr>
    </w:p>
    <w:p>
      <w:pPr>
        <w:jc w:val="both"/>
        <w:ind w:left="840" w:hanging="386"/>
        <w:spacing w:after="0" w:line="259"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May 2016 we entered into a contract with MES totaling nearly $1.0 million, a portion of which was performed in fiscal 2016 as agreed under a letter of intent signed in March 2016. The contract with MES includes certain engineering and other services, and a six-month lease of our PB3 PowerBuoy off the coast of Japan, which commenced in March 2017. This six-month lease was extended an additional month to September 2017, and the PB3 PowerBuoy was retrieved and is being shipped back to New Jersey.</w:t>
      </w:r>
    </w:p>
    <w:p>
      <w:pPr>
        <w:spacing w:after="0" w:line="186" w:lineRule="exact"/>
        <w:rPr>
          <w:rFonts w:ascii="Arial" w:cs="Arial" w:eastAsia="Arial" w:hAnsi="Arial"/>
          <w:sz w:val="18"/>
          <w:szCs w:val="18"/>
          <w:color w:val="auto"/>
        </w:rPr>
      </w:pPr>
    </w:p>
    <w:p>
      <w:pPr>
        <w:jc w:val="both"/>
        <w:ind w:left="840" w:hanging="386"/>
        <w:spacing w:after="0" w:line="293"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September 2016, we entered into a contract with the U.S. Department of Defense Office of Naval Research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 Overall, progress was made on the project whereby design and analysis tasks as well as a portion of the test were completed and documented. The Company requested three no-cost extensions from ONR in order to address testing efforts associated with implementing improved sealing elements and improving test fixture alignment.</w:t>
      </w:r>
    </w:p>
    <w:p>
      <w:pPr>
        <w:spacing w:after="0" w:line="164" w:lineRule="exact"/>
        <w:rPr>
          <w:rFonts w:ascii="Arial" w:cs="Arial" w:eastAsia="Arial" w:hAnsi="Arial"/>
          <w:sz w:val="16"/>
          <w:szCs w:val="16"/>
          <w:color w:val="auto"/>
        </w:rPr>
      </w:pPr>
    </w:p>
    <w:p>
      <w:pPr>
        <w:jc w:val="both"/>
        <w:ind w:left="840" w:hanging="386"/>
        <w:spacing w:after="0" w:line="270"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December 2016, we entered into a Joint Marketing Agreement with Sonalysts, Inc. to explore and pursue mutual opportunities in defense and oil and gas applications. The agreement includes the exploration and assessment of the use of the PB3 as a platform to provide power and communications for these markets. Founded in 1973, Sonalysts is a multi-disciplinary engineering and technical services firm with tremendous competency and expertise as systems integrator developing and supporting mission critical systems for the U.S. Navy Submarine Force. Such applications include real-world mission and tactical analyses and electronic warfare, imaging and combat control systems. Sonalysts’ core strengths also include developing and delivering interactive, computer-based training solutions, operations analysis, human systems integration solutions, and weather and aviation information processing and streaming systems. Additionally, Sonalysts maintains core technology and expertise in undersea wireless communications and in autonomous undersea systems analysis which are available to a variety of defense and commercial customers. We believe that bringing the unique capabilities and expertise of our two companies together will enable the autonomous undersea vehicle infrastructure in these two critically important business sectors.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ind w:left="840" w:hanging="386"/>
        <w:spacing w:after="0" w:line="25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February 2017, we entered into a Joint Application Development and Marketing Agreement with HAI Technologies to pursue mutual opportunities. The initial focus of the agreement is on offshore oil and gas subsea chemical injection systems where persistent power and real-time data communications are critical. HAI has experience in a variety of technologies and applications in the offshore oil and gas industry including subsea chemical systems. Chemical injection techniques are used to mitigate the diminishing effects of buildup in piping and pumping systems used in subsea oil production operations. HAI has developed an innovative, compact and modular concept which moves the chemical injection system closer to the production field. We believe HAI Technologies’ advanced chemical injection solutions, combined with OPT’s PB3 PowerBuoy, creates a unique opportunity to pair two distinctive offshore technologies creating new methods to deal with long distance and remote offshore field developments.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 2016, we entered into a securities purchase agreement, which was amended on June 7, 2016 (as amended, the “Purchase Agreement”) with certain institutional purchasers (the “June Purchasers”). Pursuant to the terms of the Purchase Agreement, we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from the offering to us were approximately $1.7 million, after deducting placement agent fees and estimated offering expenses payable by us, but excluding the proceeds, if any, from the exercise of the warrants issued in the offering. The warrants have an exercise price of $6.08 per share, will be exercisable on December 3, 2016, and will expire five years following the date of issuance.</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underwriter fees and offering expenses payable by the Company.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October 31, 2017, the Company did not have any negotiated backlog. As of April 30, 2017, negotiated backlog was $0.3 million. Our backlog can include both funded amounts, which are unfilled firm orders for our products and services for which funding has been both authorized and appropriated by the customer (U.S. Congress, in the case of U.S. Government agencies), and unfunded amounts, which are unfilled firm orders for which funding has not been appropriated. If any of our contracts were to be terminated, our backlog would be reduced by the expected value of the remaining terms of such contract.</w:t>
      </w:r>
    </w:p>
    <w:p>
      <w:pPr>
        <w:spacing w:after="0" w:line="15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commercialize our PB3 PowerBuoy for use in remote offshore power and real-time data communications applications, and in order to achieve this goal, we are pursuing the following business objectives:</w:t>
      </w:r>
    </w:p>
    <w:p>
      <w:pPr>
        <w:spacing w:after="0" w:line="170" w:lineRule="exact"/>
        <w:rPr>
          <w:sz w:val="20"/>
          <w:szCs w:val="20"/>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 and/or lease PB3 PowerBuoys. </w:t>
      </w:r>
      <w:r>
        <w:rPr>
          <w:rFonts w:ascii="Arial" w:cs="Arial" w:eastAsia="Arial" w:hAnsi="Arial"/>
          <w:sz w:val="18"/>
          <w:szCs w:val="18"/>
          <w:color w:val="auto"/>
        </w:rPr>
        <w:t>We believe our PB3 PowerBuoy is well suited for many remote offshore applications. We have observed</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market demand for both PowerBuoy sales and leases within our selected markets, and we intend to sell and lease PB3 PowerBuoys to these markets. Additionally, we intend to provide services associated with product sales and leases such as maintenance, remote monitoring and diagnostic, application engineering, planning, training, and logistics support required for the PB3 PowerBuoy life-cycle. We continue to increase our commercial capabilities through new hires in marketing, sales, and application support, and through engagement of expert market consultants in various geographies.</w:t>
      </w:r>
    </w:p>
    <w:p>
      <w:pPr>
        <w:spacing w:after="0" w:line="193"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marketing efforts in North America, Europe,</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 and parts of Asia, including Japan. We believe that each of these areas has sizable end market opportunities, political and economic stability, and high levels of industrialization and economic development.</w:t>
      </w:r>
    </w:p>
    <w:p>
      <w:pPr>
        <w:spacing w:after="0" w:line="181" w:lineRule="exact"/>
        <w:rPr>
          <w:rFonts w:ascii="Arial" w:cs="Arial" w:eastAsia="Arial" w:hAnsi="Arial"/>
          <w:sz w:val="18"/>
          <w:szCs w:val="18"/>
          <w:i w:val="1"/>
          <w:iCs w:val="1"/>
          <w:color w:val="auto"/>
        </w:rPr>
      </w:pPr>
    </w:p>
    <w:p>
      <w:pPr>
        <w:jc w:val="both"/>
        <w:ind w:left="660" w:hanging="328"/>
        <w:spacing w:after="0" w:line="312" w:lineRule="auto"/>
        <w:tabs>
          <w:tab w:leader="none" w:pos="6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Expand our relationships in key market areas through strategic partnerships and collaborations. </w:t>
      </w:r>
      <w:r>
        <w:rPr>
          <w:rFonts w:ascii="Arial" w:cs="Arial" w:eastAsia="Arial" w:hAnsi="Arial"/>
          <w:sz w:val="16"/>
          <w:szCs w:val="16"/>
          <w:color w:val="auto"/>
        </w:rPr>
        <w:t>We believe that strategic partners are an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commercializing a new product. Partnerships and collaborations can be used to improve the development of overall integrated solutions, to create new market channels, to expand commercial know-how and geographic footprint, and to bolster our product delivery capabilities.</w:t>
      </w:r>
    </w:p>
    <w:p>
      <w:pPr>
        <w:spacing w:after="0" w:line="146" w:lineRule="exact"/>
        <w:rPr>
          <w:rFonts w:ascii="Arial" w:cs="Arial" w:eastAsia="Arial" w:hAnsi="Arial"/>
          <w:sz w:val="16"/>
          <w:szCs w:val="16"/>
          <w:i w:val="1"/>
          <w:iCs w:val="1"/>
          <w:color w:val="auto"/>
        </w:rPr>
      </w:pPr>
    </w:p>
    <w:p>
      <w:pPr>
        <w:jc w:val="both"/>
        <w:ind w:left="1100" w:hanging="444"/>
        <w:spacing w:after="0" w:line="255" w:lineRule="auto"/>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Commercial collaborations. </w:t>
      </w:r>
      <w:r>
        <w:rPr>
          <w:rFonts w:ascii="Arial" w:cs="Arial" w:eastAsia="Arial" w:hAnsi="Arial"/>
          <w:sz w:val="18"/>
          <w:szCs w:val="18"/>
          <w:color w:val="auto"/>
        </w:rPr>
        <w:t>We believe that an important element of our business strategy is to collaborate with other organizations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our combined expertise, market presence and access, and core competences across key markets. We have formed such a relationship with several well-known groups, including MES in Japan, the National Data Buoy Center (“NDBC”), the Wildlife Conservation Society (“WCS”), Gardline Environmental (an international and multi-disciplinary marine service company), Sonalysts (with expertise in subsea and surface communications, systems integration, and big-data management), and HAI Technologies (an innovative company focusing on bringing new capabilities to the oil and gas industry). We continue to seek other opportunities to collaborate with application experts from within our selected markets.</w:t>
      </w:r>
    </w:p>
    <w:p>
      <w:pPr>
        <w:spacing w:after="0" w:line="189" w:lineRule="exact"/>
        <w:rPr>
          <w:rFonts w:ascii="Arial" w:cs="Arial" w:eastAsia="Arial" w:hAnsi="Arial"/>
          <w:sz w:val="18"/>
          <w:szCs w:val="18"/>
          <w:color w:val="auto"/>
        </w:rPr>
      </w:pPr>
    </w:p>
    <w:p>
      <w:pPr>
        <w:jc w:val="both"/>
        <w:ind w:left="1100" w:hanging="444"/>
        <w:spacing w:after="0" w:line="257" w:lineRule="auto"/>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Outsourcing of fabrication, deployment and service support</w:t>
      </w:r>
      <w:r>
        <w:rPr>
          <w:rFonts w:ascii="Arial" w:cs="Arial" w:eastAsia="Arial" w:hAnsi="Arial"/>
          <w:sz w:val="18"/>
          <w:szCs w:val="18"/>
          <w:color w:val="auto"/>
        </w:rPr>
        <w:t>. We outsource all fabrication, anchoring, mooring, cabling supply, and in most</w:t>
      </w:r>
      <w:r>
        <w:rPr>
          <w:rFonts w:ascii="Arial" w:cs="Arial" w:eastAsia="Arial" w:hAnsi="Arial"/>
          <w:sz w:val="18"/>
          <w:szCs w:val="18"/>
          <w:i w:val="1"/>
          <w:iCs w:val="1"/>
          <w:color w:val="auto"/>
        </w:rPr>
        <w:t xml:space="preserve"> </w:t>
      </w:r>
      <w:r>
        <w:rPr>
          <w:rFonts w:ascii="Arial" w:cs="Arial" w:eastAsia="Arial" w:hAnsi="Arial"/>
          <w:sz w:val="18"/>
          <w:szCs w:val="18"/>
          <w:color w:val="auto"/>
        </w:rPr>
        <w:t>cases deployment of our PowerBuoy in order to minimize our capital requirements as we scale our business. Our PTO is a proprietary subsystem and is assembled and tested at our facility. We believe this distributed manufacturing and assembly approach enables us to focus on our core competencies ensure a cost-effective product by leveraging a larger more established supply base. We also continue to seek strategic partnerships with regards to servicing of our PB3 PowerBuoy.</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PB3 cost reduction and PowerBuoy product development. </w:t>
      </w:r>
      <w:r>
        <w:rPr>
          <w:rFonts w:ascii="Arial" w:cs="Arial" w:eastAsia="Arial" w:hAnsi="Arial"/>
          <w:sz w:val="18"/>
          <w:szCs w:val="18"/>
          <w:color w:val="auto"/>
        </w:rPr>
        <w:t>Our engineering efforts are focused on customer application development for PB3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cost reduction of our PB3 PowerBuoy and improving the energy output, reliability, maintenance interval and expected operating life of our PowerBuoys. We continue to optimize manufacturability of our designs with a focus on cost competitiveness, and we believe that we will be able to address new and different applications by developing new products that increase energy output.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statements have been prepared assuming we will continue as a going concern. We have experienced substantial and recurring losses from operations, which losses have caused an accumulated deficit of $192.6 million at October 31, 2017. Based on the Company’s cash and cash equivalents and marketable securities balances as of October 31, 2017 the Company believes that it will be able to finance its capital requirements and operations into at least the quarter ending April 30, 2019.</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report of our independent registered public accounting firm on our consolidated financial statements filed with our Annual Report on Form 10-K for the year ended April 30, 2017,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generally accepted accounting principles, or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2017. There were no material changes in our critical accounting estimates or accounting policies during the six months ended October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2014-09 outlines a new, single comprehensive model for entities to use in accounting for revenue arising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Companies may use either a full retrospective or a modified retrospective approach to adopt ASU 2014-09. The Company has not yet completed its final review of the impact of this guidance; however, the Company anticipates applying the modified retrospective method upon adoption of ASU 2014-09 on May 1, 2018. The impact to the Company could be affected by the nature and terms of potential future contracts with customers, as those contracts may have terms that differ from the Company’s current contracts.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adopted ASU 2014-15 for the fiscal year 2017. The Company’s addition of the standard did not have a material impact on its disclosures. See section (c) “Liquidity/Going Concern” within Note (1) “Background and Liquidity” of the consolidated financial statements included in this Quarterly Report on Form 10-Q for further discussion on the Company’s ability to continue as a going concern.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both"/>
        <w:spacing w:after="0" w:line="273"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The Company will evaluate the effect of ASU 2016-01 for future periods as applicable.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has not yet determined the effect of the standard on its ongoing financial reporting at this time.</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The amendments of ASU No. 2016-09 were issued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accounting for forfeitures, income tax consequences, classification of awards as equity or liabilities and classification on the statement of cash flows. The guidance in ASU No. 2016-09 is effective for fiscal years beginning after December 15, 2016, and interim periods within those annual periods. The Company adopted ASU 2016-09 on May 1, 2017. Certain of the amendments are applied using a modified retrospective transition method by means of a cumulative-effect adjustment to equity as of May 1, 2017, while other amendments are applied retrospectively, prospectively or using either a prospective or a retrospective transition method. Upon adoption, the Company is beginning to account for forfeitures as they occur rather than estimate a forfeiture rate and has recorded a cumulative-effect adjustment in equity of approximately $11,000 on the date of initial adoption. In periods subsequent to adoption, a higher expense will be recognized earlier during the respective vesting periods of stock-based awards that are not forfeited. The Company expects that the income tax amendments within ASU 2016-09 will have no impact on its results of operations or cash flows because it is in a net operating loss position with a full valuation allowance.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has evaluated the effect ASU 2016-13 will have on its consolidated financial statements and disclosures and has determined the standard will have no impact on its ongoing financial reporting at this time.</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which amends guidance and presentation related to restricted cash in the statement of cash flows, including stating that amounts generally described as restricted cash and restricted cash equivalents should be included within cash and cash equivalents when reconciling the beginning-of-period and end-of-period total amounts shown in the statement of cash flows. An entity is required to provide a disclosure indicating the reconciliation of all cash accounts. The amendments in the ASU are effective for fiscal years beginning after December 15, 2017, and interim periods within those fiscal years and early adoption is permitted. The Company has early adopted ASU 2016-18 effective May 1, 2017. In connection with the adoption of the standard the Company has used a retrospective transition method for each period presented in the statement of cash flows. The Company reclassified $488,000 and $300,000 of restricted cash to cash, cash equivalents and restricted cash, beginning of period for the period April 30, 2017 and April 30, 2016 in the statement of cash flows. The Company reclassified $306,000 of restricted cash to cash, cash equivalents and restricted cash, end of period for the period ended October 31, 2016 in the statement of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Generally, revenue under fixed price or cost plus contracts is recognized using the percentage-of-completion method, measured by the ratio of costs incurred to total estimated costs at completion. In certain circumstances, revenue under contracts that have specified milestones or other performance criteria may be recognized only when the customer acknowledges that such criteria have been satisfied. If an arrangement involves multiple deliverables, the delivered items are considered separate units of accounting if the items have value on a stand-alone basis. Amounts allocated to each element are based on its objectively determined fair value, such as the sales price for the product or service when it is sold separately or competitor prices for similar products or services.</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six months ended October 31,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2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5"/>
          </w:tcPr>
          <w:p>
            <w:pPr>
              <w:jc w:val="right"/>
              <w:ind w:right="225"/>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b w:val="1"/>
                <w:bCs w:val="1"/>
                <w:color w:val="auto"/>
                <w:w w:val="94"/>
              </w:rPr>
              <w:t>October 31,</w:t>
            </w:r>
          </w:p>
        </w:tc>
        <w:tc>
          <w:tcPr>
            <w:tcW w:w="4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445"/>
              <w:spacing w:after="0"/>
              <w:rPr>
                <w:sz w:val="20"/>
                <w:szCs w:val="20"/>
                <w:color w:val="auto"/>
              </w:rPr>
            </w:pPr>
            <w:r>
              <w:rPr>
                <w:rFonts w:ascii="Arial" w:cs="Arial" w:eastAsia="Arial" w:hAnsi="Arial"/>
                <w:sz w:val="18"/>
                <w:szCs w:val="18"/>
                <w:b w:val="1"/>
                <w:bCs w:val="1"/>
                <w:color w:val="auto"/>
                <w:w w:val="92"/>
              </w:rPr>
              <w:t>October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gridSpan w:val="3"/>
          </w:tcPr>
          <w:p>
            <w:pPr>
              <w:jc w:val="right"/>
              <w:ind w:right="417"/>
              <w:spacing w:after="0"/>
              <w:rPr>
                <w:sz w:val="20"/>
                <w:szCs w:val="20"/>
                <w:color w:val="auto"/>
              </w:rPr>
            </w:pPr>
            <w:r>
              <w:rPr>
                <w:rFonts w:ascii="Arial" w:cs="Arial" w:eastAsia="Arial" w:hAnsi="Arial"/>
                <w:sz w:val="18"/>
                <w:szCs w:val="18"/>
                <w:color w:val="auto"/>
                <w:w w:val="87"/>
              </w:rPr>
              <w:t>(in thousands)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9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 Department of Defense Office of Naval Research</w:t>
            </w:r>
          </w:p>
        </w:tc>
        <w:tc>
          <w:tcPr>
            <w:tcW w:w="820" w:type="dxa"/>
            <w:vAlign w:val="bottom"/>
          </w:tcPr>
          <w:p>
            <w:pPr>
              <w:spacing w:after="0"/>
              <w:rPr>
                <w:sz w:val="19"/>
                <w:szCs w:val="19"/>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8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1"/>
        </w:trPr>
        <w:tc>
          <w:tcPr>
            <w:tcW w:w="5720" w:type="dxa"/>
            <w:vAlign w:val="bottom"/>
            <w:gridSpan w:val="2"/>
          </w:tcPr>
          <w:p>
            <w:pPr>
              <w:spacing w:after="0"/>
              <w:rPr>
                <w:sz w:val="20"/>
                <w:szCs w:val="20"/>
                <w:color w:val="auto"/>
              </w:rPr>
            </w:pPr>
            <w:r>
              <w:rPr>
                <w:rFonts w:ascii="Arial" w:cs="Arial" w:eastAsia="Arial" w:hAnsi="Arial"/>
                <w:sz w:val="18"/>
                <w:szCs w:val="18"/>
                <w:color w:val="auto"/>
              </w:rPr>
              <w:t>U.S. Department of Energy</w:t>
            </w:r>
          </w:p>
        </w:tc>
        <w:tc>
          <w:tcPr>
            <w:tcW w:w="8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80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focus our sales and marketing efforts on North America, Europe, Australia and Japan. The following table shows the percentage of our revenues by geographical location of our customers for the six months ended October 31, 2017 and 2016.</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 October 31,</w:t>
            </w:r>
          </w:p>
        </w:tc>
        <w:tc>
          <w:tcPr>
            <w:tcW w:w="0" w:type="dxa"/>
            <w:vAlign w:val="bottom"/>
          </w:tcPr>
          <w:p>
            <w:pPr>
              <w:spacing w:after="0"/>
              <w:rPr>
                <w:sz w:val="1"/>
                <w:szCs w:val="1"/>
                <w:color w:val="auto"/>
              </w:rPr>
            </w:pPr>
          </w:p>
        </w:tc>
      </w:tr>
      <w:tr>
        <w:trPr>
          <w:trHeight w:val="237"/>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Customer Location</w:t>
            </w: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780" w:type="dxa"/>
            <w:vAlign w:val="bottom"/>
            <w:gridSpan w:val="2"/>
          </w:tcPr>
          <w:p>
            <w:pPr>
              <w:jc w:val="right"/>
              <w:ind w:right="110"/>
              <w:spacing w:after="0"/>
              <w:rPr>
                <w:sz w:val="20"/>
                <w:szCs w:val="20"/>
                <w:color w:val="auto"/>
              </w:rPr>
            </w:pPr>
            <w:r>
              <w:rPr>
                <w:rFonts w:ascii="Arial" w:cs="Arial" w:eastAsia="Arial" w:hAnsi="Arial"/>
                <w:sz w:val="18"/>
                <w:szCs w:val="18"/>
                <w:color w:val="auto"/>
              </w:rPr>
              <w:t>25%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or leases of our PowerBuoy systems, the nature of our contracts generating revenues to fund our product development efforts, and our ability to manage costs incurred on fixed price commercial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product development costs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is subject to remeasurement each financial statement reporting period, as such, changes in this fair value are reflected in the statement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instruments not required to be adjusted to fair value on a recurring basis consist principally of cash and restricted cash, accounts receivable, accounts payable, and accrued expenses. We believe the carrying amount of cash and cash equivalents, accounts receivable, accounts payable and accrued expenses approximate fair value due to their relatively short maturities.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consists of interest received on cash and cash equivalents, investments in commercial bank-issued certificates of deposit and US Treasury bills and notes and interest expense paid on certain obligations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invest our foreign cash reserves in certificates of deposit and we maintain cash accounts that are denominated in British pounds sterling, Euros and Australian dollars. These foreign-denominated certificates of deposit and cash accounts had a balance of $1.1 million as of October 31, 2017 and $1.1 million as of October 31, 2016, compared to our total cash, cash equivalents, restricted cash, and marketable securities balances of $16.9 million as of October 31, 2017 and $12.8 million as of October 31, 2016. These foreign currency balances are translated at each month and to our functional currency, the US dollar, and any resulting gain or loss is recognized in our results of operations.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2017 compared to the three months ended October 31,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October 31, 2017 and 2016.</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4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Three months ended October 31,</w:t>
            </w:r>
          </w:p>
        </w:tc>
        <w:tc>
          <w:tcPr>
            <w:tcW w:w="17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2017 period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top w:val="single" w:sz="8" w:color="auto"/>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2016 period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20" w:type="dxa"/>
            <w:vAlign w:val="bottom"/>
            <w:gridSpan w:val="4"/>
          </w:tcPr>
          <w:p>
            <w:pPr>
              <w:jc w:val="right"/>
              <w:ind w:right="59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20" w:type="dxa"/>
            <w:vAlign w:val="bottom"/>
            <w:gridSpan w:val="2"/>
            <w:shd w:val="clear" w:color="auto" w:fill="CCEEFF"/>
          </w:tcPr>
          <w:p>
            <w:pPr>
              <w:jc w:val="right"/>
              <w:ind w:right="83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7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 of revenues</w:t>
            </w: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9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30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3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87"/>
              </w:rPr>
              <w:t>(2,607)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87"/>
              </w:rPr>
              <w:t>(2,986)</w:t>
            </w: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income, net</w:t>
            </w: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9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(2,577</w:t>
            </w:r>
          </w:p>
        </w:tc>
        <w:tc>
          <w:tcPr>
            <w:tcW w:w="300" w:type="dxa"/>
            <w:vAlign w:val="bottom"/>
            <w:tcBorders>
              <w:top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300" w:type="dxa"/>
            <w:vAlign w:val="bottom"/>
            <w:tcBorders>
              <w:top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1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decreased by $0.1 million, or 45%, to $0.1 million in the three months ended October 31, 2017 as compared to $0.2 million in the three months ended October 31, 2016. The decline in r</w:t>
      </w:r>
      <w:r>
        <w:rPr>
          <w:rFonts w:ascii="Arial" w:cs="Arial" w:eastAsia="Arial" w:hAnsi="Arial"/>
          <w:sz w:val="18"/>
          <w:szCs w:val="18"/>
          <w:color w:val="333333"/>
        </w:rPr>
        <w:t>evenue is due to the MES and ONR contracts nearing final stages of completion during the three months ended</w:t>
      </w:r>
      <w:r>
        <w:rPr>
          <w:rFonts w:ascii="Arial" w:cs="Arial" w:eastAsia="Arial" w:hAnsi="Arial"/>
          <w:sz w:val="18"/>
          <w:szCs w:val="18"/>
          <w:color w:val="auto"/>
        </w:rPr>
        <w:t xml:space="preserve"> </w:t>
      </w:r>
      <w:r>
        <w:rPr>
          <w:rFonts w:ascii="Arial" w:cs="Arial" w:eastAsia="Arial" w:hAnsi="Arial"/>
          <w:sz w:val="18"/>
          <w:szCs w:val="18"/>
          <w:color w:val="333333"/>
        </w:rPr>
        <w:t>October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 of revenues for the three months ended October 31, 2017 declined by $0.1 million from $0.1 million for the three months ended October 31, 2016. This decrease was the result of lowered manufacturing overhead costs and a change to estimated contract costs for the remainder of the project as the MES and ONR contracts were nearing final stages of completion during the three months ended October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development costs during the three months ended October 31, 2017 and 2016 were $1.0 million and $1.3 million, respectively. The decrease of approximately $0.3 million, or 25%, over 2016 is due to less product development projects for the three months ended October 31, 2017 as compared to the three months ended October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costs for the three months ended October 31, 2017 and 2016 were $1.7 million as the spending for these two periods was relatively the same.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during the three months ended October 31, 2017 was an unrealized gain of $31,000 versus an unrealized gain of $2,017,000 for the three months ended October 31, 2016. The change between periods is due to a higher risk-free rate, lower expected life and higher expected volatility assumptions for the three months ended October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during the three months ended October 31, 2017 was $6,000, an increase of $4,000 as compared to the three months ended October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loss during the three months ended October 31, 2017 was $7,000, an increase of $8,000 as compared to a gain of $1,000 during the three months ended October 31, 2016.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October 31, 2017 compared to the six months ended October 31, 2016</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six months ended October 31, 2017 and 2016.</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October 31,</w:t>
            </w:r>
          </w:p>
        </w:tc>
        <w:tc>
          <w:tcPr>
            <w:tcW w:w="5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2017 period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2016 period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40" w:type="dxa"/>
            <w:vAlign w:val="bottom"/>
            <w:gridSpan w:val="4"/>
          </w:tcPr>
          <w:p>
            <w:pPr>
              <w:jc w:val="right"/>
              <w:ind w:right="610"/>
              <w:spacing w:after="0"/>
              <w:rPr>
                <w:sz w:val="20"/>
                <w:szCs w:val="20"/>
                <w:color w:val="auto"/>
              </w:rPr>
            </w:pPr>
            <w:r>
              <w:rPr>
                <w:rFonts w:ascii="Arial" w:cs="Arial" w:eastAsia="Arial" w:hAnsi="Arial"/>
                <w:sz w:val="18"/>
                <w:szCs w:val="18"/>
                <w:color w:val="auto"/>
              </w:rPr>
              <w:t>(in thousands)</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20" w:type="dxa"/>
            <w:vAlign w:val="bottom"/>
            <w:gridSpan w:val="2"/>
            <w:shd w:val="clear" w:color="auto" w:fill="CCEEFF"/>
          </w:tcPr>
          <w:p>
            <w:pPr>
              <w:jc w:val="right"/>
              <w:ind w:right="83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9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9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30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9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9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30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3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87"/>
              </w:rPr>
              <w:t>(5,372)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(6,066)</w:t>
            </w: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income, net</w:t>
            </w: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9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18"/>
                <w:szCs w:val="18"/>
                <w:color w:val="auto"/>
              </w:rPr>
            </w:pPr>
          </w:p>
        </w:tc>
        <w:tc>
          <w:tcPr>
            <w:tcW w:w="1000" w:type="dxa"/>
            <w:vAlign w:val="bottom"/>
            <w:tcBorders>
              <w:bottom w:val="single" w:sz="8" w:color="auto"/>
            </w:tcBorders>
          </w:tcPr>
          <w:p>
            <w:pPr>
              <w:jc w:val="right"/>
              <w:ind w:right="83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(5,240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(4,793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decreased by $0.1 million, or 22%, to $0.3 million in the six months ended October 31, 2017 as compared to $0.4 million in the six months ended October 31, 2016. The decline in r</w:t>
      </w:r>
      <w:r>
        <w:rPr>
          <w:rFonts w:ascii="Arial" w:cs="Arial" w:eastAsia="Arial" w:hAnsi="Arial"/>
          <w:sz w:val="18"/>
          <w:szCs w:val="18"/>
          <w:color w:val="333333"/>
        </w:rPr>
        <w:t>evenue is due to the MES and ONR contracts nearing final stages of completion during the six months ended October 31,</w:t>
      </w:r>
      <w:r>
        <w:rPr>
          <w:rFonts w:ascii="Arial" w:cs="Arial" w:eastAsia="Arial" w:hAnsi="Arial"/>
          <w:sz w:val="18"/>
          <w:szCs w:val="18"/>
          <w:color w:val="auto"/>
        </w:rPr>
        <w:t xml:space="preserve"> </w:t>
      </w:r>
      <w:r>
        <w:rPr>
          <w:rFonts w:ascii="Arial" w:cs="Arial" w:eastAsia="Arial" w:hAnsi="Arial"/>
          <w:sz w:val="18"/>
          <w:szCs w:val="18"/>
          <w:color w:val="333333"/>
        </w:rPr>
        <w:t>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Cost of revenues for the six months ended October 31, 2017 was $0.2 million as compared to $0.3 million for the six months ended October 31, 2016. The decrease of approximately $0.1 million, or 23%, is due </w:t>
      </w:r>
      <w:r>
        <w:rPr>
          <w:rFonts w:ascii="Arial" w:cs="Arial" w:eastAsia="Arial" w:hAnsi="Arial"/>
          <w:sz w:val="18"/>
          <w:szCs w:val="18"/>
          <w:color w:val="333333"/>
        </w:rPr>
        <w:t>to the MES and ONR contracts nearing final stages of completion during the six months ended</w:t>
      </w:r>
      <w:r>
        <w:rPr>
          <w:rFonts w:ascii="Arial" w:cs="Arial" w:eastAsia="Arial" w:hAnsi="Arial"/>
          <w:sz w:val="18"/>
          <w:szCs w:val="18"/>
          <w:color w:val="auto"/>
        </w:rPr>
        <w:t xml:space="preserve"> </w:t>
      </w:r>
      <w:r>
        <w:rPr>
          <w:rFonts w:ascii="Arial" w:cs="Arial" w:eastAsia="Arial" w:hAnsi="Arial"/>
          <w:sz w:val="18"/>
          <w:szCs w:val="18"/>
          <w:color w:val="333333"/>
        </w:rPr>
        <w:t>October 31,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development costs during the six months ended October 31, 2017 and 2016 were $2.1 million and $2.9 million, respectively. The decrease of approximately $0.8 million, or 29%, is due to less product development projects in the six months ended October 31, 2017 compared to the six months ended October 31, 2016. Six months ended October 31, 2016 included costs related to the redeployment of the PB3-A1 and retrieval costs for the PB40 mooring anchor system.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during the six months ended October 31, 2017 and 2016 were $3.4 million and $3.2 million, respectively. The increase of approximately $0.2 million, or 5%, over 2016 is primarily due to higher employee related costs of $0.3 million, partially offset by lower stock compensation expense of $0.1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during the six months ended October 31, 2017 was an unrealized gain of $68,000 versus an unrealized gain of $1,265,000 for the six months ended October 31, 2016. The change between periods is due to a higher risk-free rate, lower expected life and higher expected volatility assumptions for the six months ended October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net during the six months ended October 31, 2017 was $9,000, an increase of $7,000 as compared to the six months ended October 31,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gain during the six months ended October 31, 2017 was $55,000 an increase of $49,000 as compared to a gain of $6,000 during the six months ended October 31, 2016. The difference was attributable primarily to the relative change in value of the British pound sterling, Euro and Australian dollar compared to the US dollar during the two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our inception, the cash flows from customer revenues have not been sufficient to fund our operations and provide the capital resources for the planned growth of our business. For the two years ended April 30, 2017, our aggregate revenues were $1.5 million, our aggregate net losses were $22.6 million and our aggregate net cash used in operating activities was $21.0 million. Refer to “Liquidity Outlook” below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flows used in operating activities during the six months ended October 31, 2017 were $6.7 million, an increase of $0.4 million compared to $6.3 million during the six months ended October 31, 2016. The increase was primarily related to a reduction of $1.3 million in accounts payable and accrued expenses balances and a higher loss of $0.4 million mostly offset by a lower change in fair value of warrant liabilities of $1.2 million for the six months ended October 31, 2017 compared to the same period in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investing activities during the six months ended October 31, 2017 was $63,000, an increase of $101,000 compared to net cash provided by investing activities of $38,000 during the six months ended October 31, 2016. The increase in net cash used in investing activities was primarily due to the purchase of equipment of $51,000, purchase of marketable securities of $25,000 and maturity of marketable securities of $25,000.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six months ended October 31, 2017 and 2016 was $14.6 million and $12.1 million, respectively. The increase in net cash provided by financing activities was primarily due to higher net proceeds from the sale of common stock during the six months ended October 31, 2017 as compared to the six months ended October 31, 2016 by $2.5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an increase of $68,000 in the six months ended October 31, 2017 and a decrease of $18,000 in the six months ended for October 31, 2016. The effect of exchange rates on cash and cash equivalents results primarily from gains or losses on consolidation of foreign subsidiaries and foreign denominated cash and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financial statements have been prepared assuming we will continue as a going concern. We have experienced substantial and recurring losses from operations, which have contributed to an accumulated deficit of $192.6 million at October 31, 2017. As of October 31, 2017, we had approximately $16.3 million in cash on hand. In addition, as of October 31, 2017, our restricted cash balance was approximately $0.5 million. The Company generated revenues of $0.3 million and $0.4 million during the six months ended October 31, 2017 and 2016, respectively. Based on the Company’s cash and cash equivalents and marketable securities balances as of October 31, 2017, the Company believes that it will be able to finance its capital requirements and operations into at least the quarter ending April 30, 2019. These conditions raise substantial doubt about our ability to continue as a going concern.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8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jc w:val="both"/>
        <w:spacing w:after="0" w:line="289" w:lineRule="auto"/>
        <w:rPr>
          <w:sz w:val="20"/>
          <w:szCs w:val="20"/>
          <w:color w:val="auto"/>
        </w:rPr>
      </w:pPr>
      <w:r>
        <w:rPr>
          <w:rFonts w:ascii="Arial" w:cs="Arial" w:eastAsia="Arial" w:hAnsi="Arial"/>
          <w:sz w:val="16"/>
          <w:szCs w:val="16"/>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may choose to reduce our operating expenses through personnel reductions, and reductions in our research and development and other operating costs during the remainder of fiscal year 2018,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Chief Financial Officer, evaluated the effectiveness of the design and operation of our disclosure controls and procedures as of October 31, 2017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October 31, 2017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October 31, 2017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February 8, 2016, the Court issued an order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7"/>
          <w:szCs w:val="17"/>
          <w:i w:val="1"/>
          <w:iCs w:val="1"/>
          <w:color w:val="auto"/>
        </w:rPr>
        <w:t>LaCalamito</w:t>
      </w:r>
      <w:r>
        <w:rPr>
          <w:rFonts w:ascii="Arial" w:cs="Arial" w:eastAsia="Arial" w:hAnsi="Arial"/>
          <w:sz w:val="17"/>
          <w:szCs w:val="17"/>
          <w:color w:val="auto"/>
        </w:rPr>
        <w:t xml:space="preserve">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October 25, 2016, the Court approved and entered a Stipulation and Order that, among other things, (i) consolidated the four derivative actions; (ii) identified plaintiff </w:t>
      </w:r>
      <w:r>
        <w:rPr>
          <w:rFonts w:ascii="Arial" w:cs="Arial" w:eastAsia="Arial" w:hAnsi="Arial"/>
          <w:sz w:val="16"/>
          <w:szCs w:val="16"/>
          <w:i w:val="1"/>
          <w:iCs w:val="1"/>
          <w:color w:val="auto"/>
        </w:rPr>
        <w:t>Pucillo</w:t>
      </w:r>
      <w:r>
        <w:rPr>
          <w:rFonts w:ascii="Arial" w:cs="Arial" w:eastAsia="Arial" w:hAnsi="Arial"/>
          <w:sz w:val="16"/>
          <w:szCs w:val="16"/>
          <w:color w:val="auto"/>
        </w:rPr>
        <w:t xml:space="preserve"> as the lead plaintiff in the consolidated actions; and (iii) stayed the consolidated actions pending the settlement hearing scheduled for November 14, 2016 in the securities class action and further order of the Court. During the month of August, 2017, the Company tentatively reached a settlement with the plaintiff subject to final documentation. The settlement, once finalized and if approved by the court, provides, among other things, for a settlement payment by or on behalf of the Company of $350,000, of which the Company’s insurer would pay the complete amount of $350,000. As a result, the Company has accrued $350,000 related to this matter as a probable and reasonably estimable loss contingency during the six months ended October 31, 2017. The Company also recorded a receivable of $350,000 from its insurance carrier with the offset to the statement of operations.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w:t>
      </w:r>
      <w:r>
        <w:rPr>
          <w:rFonts w:ascii="Arial" w:cs="Arial" w:eastAsia="Arial" w:hAnsi="Arial"/>
          <w:sz w:val="16"/>
          <w:szCs w:val="16"/>
          <w:color w:val="222222"/>
        </w:rPr>
        <w:t>On June 23, 2017, the Company responded to the Stockholder Demand, explained the procedures that were followed for the</w:t>
      </w:r>
      <w:r>
        <w:rPr>
          <w:rFonts w:ascii="Arial" w:cs="Arial" w:eastAsia="Arial" w:hAnsi="Arial"/>
          <w:sz w:val="16"/>
          <w:szCs w:val="16"/>
          <w:color w:val="auto"/>
        </w:rPr>
        <w:t xml:space="preserve"> </w:t>
      </w:r>
      <w:r>
        <w:rPr>
          <w:rFonts w:ascii="Arial" w:cs="Arial" w:eastAsia="Arial" w:hAnsi="Arial"/>
          <w:sz w:val="16"/>
          <w:szCs w:val="16"/>
          <w:color w:val="222222"/>
        </w:rPr>
        <w:t>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misled the stockholders regarding whether their brokers could vote on the reverse stock split proposal, and renewed their requests of the Board. On July 24, 2017, the Company provided an additional response to the Stockholders Demand, denied the allegations, and declined to take any of the actions requested.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 and have since agreed to continue the suspension pending resolution of the derivatives litigation.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pending settlement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Investigation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4, 2015, the Company received a subpoena from the SEC requesting information related to the VWP Project. The Company has provided information to the SEC in response to that subpoena. As part of the same investigation, on July 12, 2016, the SEC issued second subpoena requesting information related to the Company’s April 4, 2014 public offering.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2012, the Company received notice that the Spanish tax authorities are inquiring into its 2010 IVA (value-added tax) filing for which the Company benefitted from the offset of approximately $0.3 million of input tax. The Company believes that the inquiry will find that the tax credit was properly claimed and, therefore, no liability has been recorded. The Company issued two letters of credit in the amount of €0.3 million ($0.3 million) at the request of the Spanish tax authorities. On January 31, 2017 the Company has received $0.2 million from the Spanish Tax authorities as a result of the conclusion of the inquiry. In addition, during February 2017, the Spanish tax authorities approved of the release of the two outstanding letters of credit.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currently undergoing an income tax audit in Spain for the period from 2008 to 2014, when its Spanish branch was closed. The branch reported net operating losses for each of the years reported. It is anticipated that the Company will be assessed a penalty relating to these tax years for these losses. The Company has estimated this penalty to be $132,000, and as such, for the period ended April 30, 2017 and October 31, 2017, has recorded $132,000 for this penalty to Selling, general and administrative costs in its statement of operations.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2017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14,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have contributed to an accumulated deficit of $192.6 million as of October 31, 2017. As of October 31, 2017, the Company had approximately $16.3 million in cash on hand. The Company generated revenues of $0.3 million and $0.4 million during the six months ended October 31, 2017 and 2016, respectively. Based on the Company’s cash and cash equivalents and marketable securities balances as of October 31, 2017, the Company believes that it will be able to finance its capital requirements and operations into at least the quarter ending April 30, 2019.</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experience operating losses and currently have only two revenue producing contracts. We continue to experience operating losses and currently have two revenue producing contracts. The first is an agreement with MES (the “MES Agreement”) to, among other things, lease and deploy our PB3 PowerBuoy off Kozushima Island, Japan and to provide certain engineering and other services. The total value of the lease and other services to be provided by us under the MES Agreement is $1.0 million. The term of the lease commenced in March 2017, and the term of the MES Agreement was completed in September 2017. The second contract is with ONR totaling approximately $0.2 million to carry out the first phase of a project which focuses on the initial concept design and development of a mass-on-spring PTO-based PowerBuoy leveraging a number of OPT patents covering such a technology. During fiscal 2017, our net burn rate (cash used in operations less cash generated by operations) including product development spending was approximately $900,000 per month.</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$12.3 million in fiscal 2018 including product development spending of more than $5.5 million. However, we may choose to reduce our operating expenses through personnel reductions, and reductions in our research and development and other operating costs during fiscal year 2018,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attributable to Ocean Power Technologies, Inc. of $5.2 million during the six months ended October 31, 2017 and $9.5 million in fiscal 2017. As of October 31, 2017, we had an accumulated deficit of $192.6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760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60" w:type="dxa"/>
            <w:vAlign w:val="bottom"/>
            <w:gridSpan w:val="7"/>
          </w:tcPr>
          <w:p>
            <w:pPr>
              <w:spacing w:after="0"/>
              <w:rPr>
                <w:sz w:val="20"/>
                <w:szCs w:val="20"/>
                <w:color w:val="auto"/>
              </w:rPr>
            </w:pPr>
            <w:r>
              <w:rPr>
                <w:rFonts w:ascii="Arial" w:cs="Arial" w:eastAsia="Arial" w:hAnsi="Arial"/>
                <w:sz w:val="18"/>
                <w:szCs w:val="18"/>
                <w:color w:val="auto"/>
                <w:w w:val="91"/>
              </w:rPr>
              <w:t>The following table details the Company’s share repurchases during the quarter:</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Approximate Dollar</w:t>
            </w:r>
          </w:p>
        </w:tc>
      </w:tr>
      <w:tr>
        <w:trPr>
          <w:trHeight w:val="216"/>
        </w:trPr>
        <w:tc>
          <w:tcPr>
            <w:tcW w:w="3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Total Number of</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Value of Shares that</w:t>
            </w:r>
          </w:p>
        </w:tc>
      </w:tr>
      <w:tr>
        <w:trPr>
          <w:trHeight w:val="216"/>
        </w:trPr>
        <w:tc>
          <w:tcPr>
            <w:tcW w:w="3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 Purchased as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May Yet Be</w:t>
            </w:r>
          </w:p>
        </w:tc>
      </w:tr>
      <w:tr>
        <w:trPr>
          <w:trHeight w:val="216"/>
        </w:trPr>
        <w:tc>
          <w:tcPr>
            <w:tcW w:w="3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Average Price Paid</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Part of Publicly</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Purchased Under the</w:t>
            </w:r>
          </w:p>
        </w:tc>
      </w:tr>
      <w:tr>
        <w:trPr>
          <w:trHeight w:val="237"/>
        </w:trPr>
        <w:tc>
          <w:tcPr>
            <w:tcW w:w="340" w:type="dxa"/>
            <w:vAlign w:val="bottom"/>
          </w:tcPr>
          <w:p>
            <w:pPr>
              <w:spacing w:after="0"/>
              <w:rPr>
                <w:sz w:val="20"/>
                <w:szCs w:val="20"/>
                <w:color w:val="auto"/>
              </w:rPr>
            </w:pPr>
          </w:p>
        </w:tc>
        <w:tc>
          <w:tcPr>
            <w:tcW w:w="3580" w:type="dxa"/>
            <w:vAlign w:val="bottom"/>
            <w:gridSpan w:val="2"/>
          </w:tcPr>
          <w:p>
            <w:pPr>
              <w:ind w:left="1500"/>
              <w:spacing w:after="0"/>
              <w:rPr>
                <w:sz w:val="20"/>
                <w:szCs w:val="20"/>
                <w:color w:val="auto"/>
              </w:rPr>
            </w:pPr>
            <w:r>
              <w:rPr>
                <w:rFonts w:ascii="Arial" w:cs="Arial" w:eastAsia="Arial" w:hAnsi="Arial"/>
                <w:sz w:val="18"/>
                <w:szCs w:val="18"/>
                <w:color w:val="auto"/>
              </w:rPr>
              <w:t>Period</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Shares Purchased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per Share</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 Plans</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Plan</w:t>
            </w:r>
          </w:p>
        </w:tc>
      </w:tr>
      <w:tr>
        <w:trPr>
          <w:trHeight w:val="216"/>
        </w:trPr>
        <w:tc>
          <w:tcPr>
            <w:tcW w:w="340" w:type="dxa"/>
            <w:vAlign w:val="bottom"/>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 August 31</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September 1 - September 30</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1,683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 October 31</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 Represents shares delivered back to the Company by employees to pay taxes related to the vesting of restricted shares.</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661" w:right="4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60" w:type="dxa"/>
            <w:vAlign w:val="bottom"/>
          </w:tcPr>
          <w:p>
            <w:pPr>
              <w:spacing w:after="0"/>
              <w:rPr>
                <w:sz w:val="20"/>
                <w:szCs w:val="20"/>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EXHIBITS</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72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Chief Executive Officer pursuant to Section 302 of the Sarbanes-Oxley Act of 2002</w:t>
              </w:r>
            </w:hyperlink>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7200" w:type="dxa"/>
            <w:vAlign w:val="bottom"/>
            <w:gridSpan w:val="2"/>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Certification of Chief Financial Officer pursuant to Section 302 of the Sarbanes-Oxley Act of 2002</w:t>
              </w:r>
            </w:hyperlink>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7460" w:type="dxa"/>
            <w:vAlign w:val="bottom"/>
            <w:gridSpan w:val="3"/>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49">
              <w:r>
                <w:rPr>
                  <w:rFonts w:ascii="Arial" w:cs="Arial" w:eastAsia="Arial" w:hAnsi="Arial"/>
                  <w:sz w:val="18"/>
                  <w:szCs w:val="18"/>
                  <w:color w:val="0000EE"/>
                  <w:w w:val="92"/>
                </w:rPr>
                <w:t>Certification of Chief Executive Officer pursuant to Section 302 of the Sarbanes-Oxley Act of 2002</w:t>
              </w:r>
            </w:hyperlink>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0" w:type="dxa"/>
            <w:vAlign w:val="bottom"/>
            <w:gridSpan w:val="2"/>
            <w:shd w:val="clear" w:color="auto" w:fill="0000EE"/>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7460" w:type="dxa"/>
            <w:vAlign w:val="bottom"/>
            <w:gridSpan w:val="3"/>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51">
              <w:r>
                <w:rPr>
                  <w:rFonts w:ascii="Arial" w:cs="Arial" w:eastAsia="Arial" w:hAnsi="Arial"/>
                  <w:sz w:val="18"/>
                  <w:szCs w:val="18"/>
                  <w:color w:val="0000EE"/>
                  <w:w w:val="93"/>
                </w:rPr>
                <w:t>Certification of Chief Financial Officer pursuant to Section 302 of the Sarbanes-Oxley Act of 2002</w:t>
              </w:r>
            </w:hyperlink>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960" w:hanging="952"/>
        <w:spacing w:after="0" w:line="273"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following financial information from Ocean Power Technologies, Inc.’s Quarterly Report on Form 10-Q for the quarter ended October 31, 2017, formatted in eXtensible Business Reporting Language (XBRL): (i) Consolidated Balance Sheets – October 31, 2017 (unaudited) and April 30, 2017, (ii) Consolidated Statements of Operations (unaudited) – three and six months ended October 31, 2017 and 2016, (iii) Consolidated Statements of Comprehensive Loss (unaudited) – three and six months ended October 31, 2017 and 2016, (iv) Consolidated Statements of Cash Flows (unaudited) –six months ended October 31, 2017 and 2016, (v) Consolidated Statement of Stockholders’ Equity (unaudited) – six months ended October 31, 2017 (vi) Notes to Consolidated Financial Statements.**</w:t>
      </w:r>
    </w:p>
    <w:p>
      <w:pPr>
        <w:spacing w:after="0" w:line="178" w:lineRule="exact"/>
        <w:rPr>
          <w:rFonts w:ascii="Arial" w:cs="Arial" w:eastAsia="Arial" w:hAnsi="Arial"/>
          <w:sz w:val="17"/>
          <w:szCs w:val="17"/>
          <w:color w:val="auto"/>
        </w:rPr>
      </w:pPr>
    </w:p>
    <w:p>
      <w:pPr>
        <w:jc w:val="both"/>
        <w:ind w:left="960"/>
        <w:spacing w:after="0" w:line="264" w:lineRule="auto"/>
        <w:rPr>
          <w:rFonts w:ascii="Arial" w:cs="Arial" w:eastAsia="Arial" w:hAnsi="Arial"/>
          <w:sz w:val="17"/>
          <w:szCs w:val="17"/>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rFonts w:ascii="Arial" w:cs="Arial" w:eastAsia="Arial" w:hAnsi="Arial"/>
          <w:sz w:val="17"/>
          <w:szCs w:val="17"/>
          <w:color w:val="auto"/>
        </w:rPr>
      </w:pPr>
    </w:p>
    <w:p>
      <w:pPr>
        <w:jc w:val="both"/>
        <w:ind w:left="960" w:firstLine="7"/>
        <w:spacing w:after="0" w:line="264" w:lineRule="auto"/>
        <w:tabs>
          <w:tab w:leader="none" w:pos="11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u w:val="single" w:color="auto"/>
          <w:color w:val="auto"/>
        </w:rPr>
        <w:t>Ocean Power Technologies, Inc.</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December 12, 2017</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December 12,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46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46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46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4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2017,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520" w:firstLine="8"/>
        <w:spacing w:after="0" w:line="501"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12, 2017</w:t>
      </w:r>
    </w:p>
    <w:p>
      <w:pPr>
        <w:ind w:left="57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2017,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520" w:firstLine="8"/>
        <w:spacing w:after="0" w:line="501" w:lineRule="auto"/>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12, 2017</w:t>
      </w:r>
    </w:p>
    <w:p>
      <w:pPr>
        <w:ind w:left="57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2"/>
    </w:lvl>
  </w:abstractNum>
  <w:abstractNum w:abstractNumId="5">
    <w:nsid w:val="7FDCC233"/>
    <w:multiLevelType w:val="hybridMultilevel"/>
    <w:lvl w:ilvl="0">
      <w:lvlJc w:val="left"/>
      <w:lvlText w:val="%1)"/>
      <w:numFmt w:val="lowerLetter"/>
      <w:start w:val="3"/>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lvl w:ilvl="1">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01"/>
    </w:lvl>
    <w:lvl w:ilvl="1">
      <w:lvlJc w:val="left"/>
      <w:lvlText w:val="*"/>
      <w:numFmt w:val="bullet"/>
      <w:start w:val="1"/>
    </w:lvl>
  </w:abstractNum>
  <w:abstractNum w:abstractNumId="12">
    <w:nsid w:val="431BD7B7"/>
    <w:multiLevelType w:val="hybridMultilevel"/>
    <w:lvl w:ilvl="0">
      <w:lvlJc w:val="left"/>
      <w:lvlText w:val="%1"/>
      <w:numFmt w:val="decimal"/>
      <w:start w:val="1"/>
    </w:lvl>
    <w:lvl w:ilvl="1">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2019-12-29T02:39:27Z</dcterms:created>
  <dcterms:modified xsi:type="dcterms:W3CDTF">2019-12-29T02:39:27Z</dcterms:modified>
</cp:coreProperties>
</file>