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July 31, 2010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001-33417</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OCEAN POWER TECHNOLOGIES,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580" w:type="dxa"/>
        <w:tblCellMar>
          <w:top w:w="0" w:type="dxa"/>
          <w:left w:w="0" w:type="dxa"/>
          <w:bottom w:w="0" w:type="dxa"/>
          <w:right w:w="0" w:type="dxa"/>
        </w:tblCellMar>
      </w:tblPr>
      <w:tr>
        <w:trPr>
          <w:trHeight w:val="220"/>
        </w:trPr>
        <w:tc>
          <w:tcPr>
            <w:tcW w:w="4360" w:type="dxa"/>
            <w:vAlign w:val="bottom"/>
          </w:tcPr>
          <w:p>
            <w:pPr>
              <w:jc w:val="center"/>
              <w:ind w:right="1990"/>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360" w:type="dxa"/>
            <w:vAlign w:val="bottom"/>
          </w:tcPr>
          <w:p>
            <w:pPr>
              <w:jc w:val="center"/>
              <w:ind w:right="2050"/>
              <w:spacing w:after="0"/>
              <w:rPr>
                <w:sz w:val="20"/>
                <w:szCs w:val="20"/>
                <w:color w:val="auto"/>
              </w:rPr>
            </w:pPr>
            <w:r>
              <w:rPr>
                <w:rFonts w:ascii="Arial" w:cs="Arial" w:eastAsia="Arial" w:hAnsi="Arial"/>
                <w:sz w:val="18"/>
                <w:szCs w:val="18"/>
                <w:i w:val="1"/>
                <w:iCs w:val="1"/>
                <w:color w:val="auto"/>
                <w:w w:val="93"/>
              </w:rPr>
              <w:t>(State or Other Jurisdiction of</w:t>
            </w:r>
          </w:p>
        </w:tc>
        <w:tc>
          <w:tcPr>
            <w:tcW w:w="3440" w:type="dxa"/>
            <w:vAlign w:val="bottom"/>
          </w:tcPr>
          <w:p>
            <w:pPr>
              <w:jc w:val="center"/>
              <w:ind w:left="19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60" w:type="dxa"/>
            <w:vAlign w:val="bottom"/>
          </w:tcPr>
          <w:p>
            <w:pPr>
              <w:jc w:val="center"/>
              <w:ind w:right="1990"/>
              <w:spacing w:after="0"/>
              <w:rPr>
                <w:sz w:val="20"/>
                <w:szCs w:val="20"/>
                <w:color w:val="auto"/>
              </w:rPr>
            </w:pPr>
            <w:r>
              <w:rPr>
                <w:rFonts w:ascii="Arial" w:cs="Arial" w:eastAsia="Arial" w:hAnsi="Arial"/>
                <w:sz w:val="18"/>
                <w:szCs w:val="18"/>
                <w:i w:val="1"/>
                <w:iCs w:val="1"/>
                <w:color w:val="auto"/>
                <w:w w:val="95"/>
              </w:rPr>
              <w:t>Incorporation or Organization)</w:t>
            </w:r>
          </w:p>
        </w:tc>
        <w:tc>
          <w:tcPr>
            <w:tcW w:w="3440" w:type="dxa"/>
            <w:vAlign w:val="bottom"/>
          </w:tcPr>
          <w:p>
            <w:pPr>
              <w:jc w:val="center"/>
              <w:ind w:left="201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40" w:space="720"/>
            <w:col w:w="1460" w:space="720"/>
            <w:col w:w="3340" w:space="640"/>
            <w:col w:w="2100"/>
          </w:cols>
          <w:pgMar w:left="240" w:top="122" w:right="239" w:bottom="1440" w:gutter="0" w:footer="0" w:header="0"/>
          <w:type w:val="continuous"/>
        </w:sectPr>
      </w:pPr>
    </w:p>
    <w:p>
      <w:pPr>
        <w:ind w:left="220" w:right="2100" w:firstLine="1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August 31, 2010, the number of outstanding shares of common stock of the registrant was 10,410,491.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JULY 31, 2010</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240" w:type="dxa"/>
            <w:vAlign w:val="bottom"/>
            <w:gridSpan w:val="1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180" w:type="dxa"/>
            <w:vAlign w:val="bottom"/>
            <w:gridSpan w:val="9"/>
            <w:vMerge w:val="restart"/>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4"/>
        </w:trPr>
        <w:tc>
          <w:tcPr>
            <w:tcW w:w="3240" w:type="dxa"/>
            <w:vAlign w:val="bottom"/>
            <w:tcBorders>
              <w:bottom w:val="single" w:sz="8" w:color="0000EE"/>
            </w:tcBorders>
            <w:gridSpan w:val="12"/>
            <w:vMerge w:val="continue"/>
          </w:tcPr>
          <w:p>
            <w:pPr>
              <w:spacing w:after="0"/>
              <w:rPr>
                <w:sz w:val="14"/>
                <w:szCs w:val="14"/>
                <w:color w:val="auto"/>
              </w:rPr>
            </w:pPr>
          </w:p>
        </w:tc>
        <w:tc>
          <w:tcPr>
            <w:tcW w:w="7180" w:type="dxa"/>
            <w:vAlign w:val="bottom"/>
            <w:gridSpan w:val="9"/>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 (unaudited):</w:t>
              </w:r>
            </w:hyperlink>
          </w:p>
        </w:tc>
        <w:tc>
          <w:tcPr>
            <w:tcW w:w="72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July 31, 2010 and April 30, 2010</w:t>
              </w:r>
            </w:hyperlink>
          </w:p>
        </w:tc>
        <w:tc>
          <w:tcPr>
            <w:tcW w:w="512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Ended July 31, 2010 and 2009</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Three Months Ended July 31, 2010 and 2009</w:t>
              </w:r>
            </w:hyperlink>
          </w:p>
        </w:tc>
        <w:tc>
          <w:tcPr>
            <w:tcW w:w="334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gridSpan w:val="19"/>
          </w:tcPr>
          <w:p>
            <w:pPr>
              <w:spacing w:after="0" w:line="196"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Consolidated Statements of Stockholders’ Equity and Comprehensive Loss for the Three Months Ended July 31, 2010 and 2009</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8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2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Item 4. Controls and Procedures</w:t>
              </w:r>
            </w:hyperlink>
          </w:p>
        </w:tc>
        <w:tc>
          <w:tcPr>
            <w:tcW w:w="790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294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748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8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834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438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53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2360" w:type="dxa"/>
            <w:vAlign w:val="bottom"/>
            <w:tcBorders>
              <w:bottom w:val="single" w:sz="8" w:color="0000EE"/>
            </w:tcBorders>
            <w:gridSpan w:val="7"/>
          </w:tcPr>
          <w:p>
            <w:pPr>
              <w:ind w:left="20"/>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734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5.</w:t>
              </w:r>
            </w:hyperlink>
          </w:p>
        </w:tc>
        <w:tc>
          <w:tcPr>
            <w:tcW w:w="9700" w:type="dxa"/>
            <w:vAlign w:val="bottom"/>
            <w:gridSpan w:val="18"/>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1340" w:type="dxa"/>
            <w:vAlign w:val="bottom"/>
            <w:tcBorders>
              <w:top w:val="single" w:sz="8" w:color="0000EE"/>
            </w:tcBorders>
            <w:gridSpan w:val="3"/>
          </w:tcPr>
          <w:p>
            <w:pPr>
              <w:ind w:left="20"/>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36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EX-31.1: CERTIFICATION</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EX-31.2: CERTIFICATION</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EX-32.1: CERTIFICATION</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EX-32.2: CERTIFICATION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0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PowerBuoy</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480" w:firstLine="222"/>
        <w:spacing w:after="0" w:line="297" w:lineRule="auto"/>
        <w:rPr>
          <w:sz w:val="20"/>
          <w:szCs w:val="20"/>
          <w:color w:val="auto"/>
        </w:rPr>
      </w:pPr>
      <w:r>
        <w:rPr>
          <w:rFonts w:ascii="Arial" w:cs="Arial" w:eastAsia="Arial" w:hAnsi="Arial"/>
          <w:sz w:val="16"/>
          <w:szCs w:val="16"/>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50"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2010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57" w:lineRule="exact"/>
        <w:rPr>
          <w:sz w:val="20"/>
          <w:szCs w:val="20"/>
          <w:color w:val="auto"/>
        </w:rPr>
      </w:pPr>
    </w:p>
    <w:p>
      <w:pPr>
        <w:ind w:right="220" w:firstLine="218"/>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2"/>
              </w:rPr>
              <w:t>July 31, 2010</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April 30, 2010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4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3,925,600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4,236,597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23,501,253</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32,536,001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917,771</w:t>
            </w: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Unbilled receivables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344,999</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448,686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2,204,606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30,894,229</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39,701,769</w:t>
            </w: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653,601</w:t>
            </w:r>
          </w:p>
        </w:tc>
        <w:tc>
          <w:tcPr>
            <w:tcW w:w="6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710,563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Patents, net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1,047,203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1,439,168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31,891,457</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28,865,046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807,972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66,733,630</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72,978,193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23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1,407,986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3,420,453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Unearned revenues</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1,588,592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89,378</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95,386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6,506,409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7,132,418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Deferred credits</w:t>
            </w:r>
          </w:p>
        </w:tc>
        <w:tc>
          <w:tcPr>
            <w:tcW w:w="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6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7,606,409</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8,123,103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60" w:type="dxa"/>
            <w:vAlign w:val="bottom"/>
            <w:gridSpan w:val="2"/>
          </w:tcPr>
          <w:p>
            <w:pPr>
              <w:spacing w:after="0"/>
              <w:rPr>
                <w:sz w:val="20"/>
                <w:szCs w:val="20"/>
                <w:color w:val="auto"/>
              </w:rPr>
            </w:pPr>
            <w:r>
              <w:rPr>
                <w:rFonts w:ascii="Arial" w:cs="Arial" w:eastAsia="Arial" w:hAnsi="Arial"/>
                <w:sz w:val="18"/>
                <w:szCs w:val="18"/>
                <w:color w:val="auto"/>
              </w:rPr>
              <w:t>Ocean Power Technologies, Inc. Stockholders’ equity:</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tcPr>
          <w:p>
            <w:pPr>
              <w:ind w:left="200"/>
              <w:spacing w:after="0" w:line="201" w:lineRule="exact"/>
              <w:rPr>
                <w:sz w:val="20"/>
                <w:szCs w:val="20"/>
                <w:color w:val="auto"/>
              </w:rPr>
            </w:pPr>
            <w:r>
              <w:rPr>
                <w:rFonts w:ascii="Arial" w:cs="Arial" w:eastAsia="Arial" w:hAnsi="Arial"/>
                <w:sz w:val="18"/>
                <w:szCs w:val="18"/>
                <w:color w:val="auto"/>
                <w:w w:val="96"/>
              </w:rPr>
              <w:t>Common stock, $0.001 par value; authorized 105,000,000 shares, issued 10,411,563 and 10,390,563 shares,</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10,412</w:t>
            </w:r>
          </w:p>
        </w:tc>
        <w:tc>
          <w:tcPr>
            <w:tcW w:w="6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1,072 shares</w:t>
            </w: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(6,443)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156,137,219</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155,726,672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4"/>
              </w:rPr>
              <w:t>(96,679,691)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(90,413,098)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(370,402)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Ocean Power Technologies, Inc.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59,091,095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36,126</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59,127,221</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64,855,090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66,733,630</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72,978,193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1,374,407</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1,588,246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(loss) profit</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(213,839)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286,710</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 costs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4,025,786</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Selling, general and administrative costs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2,028,910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6,054,696</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3,527,671</w:t>
            </w:r>
          </w:p>
        </w:tc>
        <w:tc>
          <w:tcPr>
            <w:tcW w:w="0" w:type="dxa"/>
            <w:vAlign w:val="bottom"/>
          </w:tcPr>
          <w:p>
            <w:pPr>
              <w:spacing w:after="0"/>
              <w:rPr>
                <w:sz w:val="1"/>
                <w:szCs w:val="1"/>
                <w:color w:val="auto"/>
              </w:rPr>
            </w:pPr>
          </w:p>
        </w:tc>
      </w:tr>
      <w:tr>
        <w:trPr>
          <w:trHeight w:val="224"/>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(6,268,535)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(3,240,961)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237,465</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4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506,630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(239,002)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401,691</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(6,270,072)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(2,047,420)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Less: Net loss (income) attributable to the noncontrolling interest in Ocean Power Technologies (Australasia)</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Pty Ltd.</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6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(51,057)</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(6,266,593</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(2,098,477)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(0.61)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used to compute basic and diluted net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10,236,466</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10,210,354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(6,270,072)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(2,047,420)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00"/>
              <w:spacing w:after="0"/>
              <w:rPr>
                <w:sz w:val="20"/>
                <w:szCs w:val="20"/>
                <w:color w:val="auto"/>
              </w:rPr>
            </w:pPr>
            <w:r>
              <w:rPr>
                <w:rFonts w:ascii="Arial" w:cs="Arial" w:eastAsia="Arial" w:hAnsi="Arial"/>
                <w:sz w:val="18"/>
                <w:szCs w:val="18"/>
                <w:color w:val="auto"/>
              </w:rPr>
              <w:t>Foreign exchange loss (gain)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239,002</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(401,691)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92,156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00"/>
              <w:spacing w:after="0"/>
              <w:rPr>
                <w:sz w:val="20"/>
                <w:szCs w:val="20"/>
                <w:color w:val="auto"/>
              </w:rPr>
            </w:pPr>
            <w:r>
              <w:rPr>
                <w:rFonts w:ascii="Arial" w:cs="Arial" w:eastAsia="Arial" w:hAnsi="Arial"/>
                <w:sz w:val="18"/>
                <w:szCs w:val="18"/>
                <w:color w:val="auto"/>
              </w:rPr>
              <w:t>Treasury note premium amortization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30,784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 expense related to stock option grants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410,568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00"/>
              <w:spacing w:after="0"/>
              <w:rPr>
                <w:sz w:val="20"/>
                <w:szCs w:val="20"/>
                <w:color w:val="auto"/>
              </w:rPr>
            </w:pPr>
            <w:r>
              <w:rPr>
                <w:rFonts w:ascii="Arial" w:cs="Arial" w:eastAsia="Arial" w:hAnsi="Arial"/>
                <w:sz w:val="18"/>
                <w:szCs w:val="18"/>
                <w:color w:val="auto"/>
              </w:rPr>
              <w:t>Deferred rent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556,320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Unbilled receivables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103,687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(1,151,380)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noncurrent assets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635,565</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(423,257)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(637,798)</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(1,275,636)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600"/>
              <w:spacing w:after="0"/>
              <w:rPr>
                <w:sz w:val="20"/>
                <w:szCs w:val="20"/>
                <w:color w:val="auto"/>
              </w:rPr>
            </w:pPr>
            <w:r>
              <w:rPr>
                <w:rFonts w:ascii="Arial" w:cs="Arial" w:eastAsia="Arial" w:hAnsi="Arial"/>
                <w:sz w:val="18"/>
                <w:szCs w:val="18"/>
                <w:color w:val="auto"/>
              </w:rPr>
              <w:t>Unearned revenues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490,677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noncurrent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(137,438)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(6,061,186)</w:t>
            </w: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(2,451,930)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(6,035,907)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(24,228,410)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marketable securities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11,998,844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19,357,547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(250,000)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equipment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(21,719)</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Payments of patent costs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(80,637)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(used in) investing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5,610,581</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(5,261,314)</w:t>
            </w: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250,000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Repayment of long-term debt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(6,008)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(93,398)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243,992</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(93,398)</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(104,384)</w:t>
            </w: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875,568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decrease in cash and cash equivalents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(310,997)</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(6,931,074)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4,236,597</w:t>
            </w: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12,267,830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3,925,600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5,336,756</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patent costs financed through accounts payable and accrued expenses</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7,832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Capitalized purchases of equipment financed through accounts payable</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5,000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21,955</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260" w:right="2820"/>
        <w:spacing w:after="0" w:line="266" w:lineRule="auto"/>
        <w:rPr>
          <w:sz w:val="20"/>
          <w:szCs w:val="20"/>
          <w:color w:val="auto"/>
        </w:rPr>
      </w:pPr>
      <w:r>
        <w:rPr>
          <w:rFonts w:ascii="Arial" w:cs="Arial" w:eastAsia="Arial" w:hAnsi="Arial"/>
          <w:sz w:val="18"/>
          <w:szCs w:val="18"/>
          <w:b w:val="1"/>
          <w:bCs w:val="1"/>
          <w:color w:val="auto"/>
        </w:rPr>
        <w:t>Ocean Power Technologies, Inc. and Subsidiaries Consolidated Statements of Stockholders’ Equity and Comprehensive Loss (Unaudited)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Ocean Power</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40" w:type="dxa"/>
            <w:vAlign w:val="bottom"/>
            <w:gridSpan w:val="4"/>
            <w:vMerge w:val="restart"/>
          </w:tcPr>
          <w:p>
            <w:pPr>
              <w:ind w:left="240"/>
              <w:spacing w:after="0"/>
              <w:rPr>
                <w:sz w:val="20"/>
                <w:szCs w:val="20"/>
                <w:color w:val="auto"/>
              </w:rPr>
            </w:pPr>
            <w:r>
              <w:rPr>
                <w:rFonts w:ascii="Arial" w:cs="Arial" w:eastAsia="Arial" w:hAnsi="Arial"/>
                <w:sz w:val="13"/>
                <w:szCs w:val="13"/>
                <w:b w:val="1"/>
                <w:bCs w:val="1"/>
                <w:color w:val="auto"/>
              </w:rPr>
              <w:t>Common Shares</w:t>
            </w:r>
          </w:p>
        </w:tc>
        <w:tc>
          <w:tcPr>
            <w:tcW w:w="1460" w:type="dxa"/>
            <w:vAlign w:val="bottom"/>
            <w:gridSpan w:val="6"/>
            <w:vMerge w:val="restart"/>
          </w:tcPr>
          <w:p>
            <w:pPr>
              <w:jc w:val="right"/>
              <w:ind w:right="440"/>
              <w:spacing w:after="0"/>
              <w:rPr>
                <w:sz w:val="20"/>
                <w:szCs w:val="20"/>
                <w:color w:val="auto"/>
              </w:rPr>
            </w:pPr>
            <w:r>
              <w:rPr>
                <w:rFonts w:ascii="Arial" w:cs="Arial" w:eastAsia="Arial" w:hAnsi="Arial"/>
                <w:sz w:val="13"/>
                <w:szCs w:val="13"/>
                <w:b w:val="1"/>
                <w:bCs w:val="1"/>
                <w:color w:val="auto"/>
                <w:w w:val="98"/>
              </w:rPr>
              <w:t>Treasury Shares</w:t>
            </w: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Additional</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Technologies, Inc,</w:t>
            </w: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1000" w:type="dxa"/>
            <w:vAlign w:val="bottom"/>
            <w:gridSpan w:val="2"/>
          </w:tcPr>
          <w:p>
            <w:pPr>
              <w:jc w:val="right"/>
              <w:ind w:right="440"/>
              <w:spacing w:after="0" w:line="140" w:lineRule="exact"/>
              <w:rPr>
                <w:sz w:val="20"/>
                <w:szCs w:val="20"/>
                <w:color w:val="auto"/>
              </w:rPr>
            </w:pPr>
            <w:r>
              <w:rPr>
                <w:rFonts w:ascii="Arial" w:cs="Arial" w:eastAsia="Arial" w:hAnsi="Arial"/>
                <w:sz w:val="13"/>
                <w:szCs w:val="13"/>
                <w:b w:val="1"/>
                <w:bCs w:val="1"/>
                <w:color w:val="auto"/>
              </w:rPr>
              <w:t>Paid-In</w:t>
            </w:r>
          </w:p>
        </w:tc>
        <w:tc>
          <w:tcPr>
            <w:tcW w:w="980" w:type="dxa"/>
            <w:vAlign w:val="bottom"/>
            <w:gridSpan w:val="2"/>
          </w:tcPr>
          <w:p>
            <w:pPr>
              <w:jc w:val="right"/>
              <w:ind w:right="220"/>
              <w:spacing w:after="0" w:line="140" w:lineRule="exact"/>
              <w:rPr>
                <w:sz w:val="20"/>
                <w:szCs w:val="20"/>
                <w:color w:val="auto"/>
              </w:rPr>
            </w:pPr>
            <w:r>
              <w:rPr>
                <w:rFonts w:ascii="Arial" w:cs="Arial" w:eastAsia="Arial" w:hAnsi="Arial"/>
                <w:sz w:val="13"/>
                <w:szCs w:val="13"/>
                <w:b w:val="1"/>
                <w:bCs w:val="1"/>
                <w:color w:val="auto"/>
                <w:w w:val="90"/>
              </w:rPr>
              <w:t>Accumulated</w:t>
            </w:r>
          </w:p>
        </w:tc>
        <w:tc>
          <w:tcPr>
            <w:tcW w:w="1260" w:type="dxa"/>
            <w:vAlign w:val="bottom"/>
            <w:gridSpan w:val="3"/>
          </w:tcPr>
          <w:p>
            <w:pPr>
              <w:jc w:val="center"/>
              <w:ind w:right="180"/>
              <w:spacing w:after="0" w:line="140" w:lineRule="exact"/>
              <w:rPr>
                <w:sz w:val="20"/>
                <w:szCs w:val="20"/>
                <w:color w:val="auto"/>
              </w:rPr>
            </w:pPr>
            <w:r>
              <w:rPr>
                <w:rFonts w:ascii="Arial" w:cs="Arial" w:eastAsia="Arial" w:hAnsi="Arial"/>
                <w:sz w:val="13"/>
                <w:szCs w:val="13"/>
                <w:b w:val="1"/>
                <w:bCs w:val="1"/>
                <w:color w:val="auto"/>
                <w:w w:val="86"/>
              </w:rPr>
              <w:t>Comprehensive</w:t>
            </w:r>
          </w:p>
        </w:tc>
        <w:tc>
          <w:tcPr>
            <w:tcW w:w="124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84"/>
              </w:rPr>
              <w:t>Stockholders</w:t>
            </w:r>
          </w:p>
        </w:tc>
        <w:tc>
          <w:tcPr>
            <w:tcW w:w="1100" w:type="dxa"/>
            <w:vAlign w:val="bottom"/>
            <w:gridSpan w:val="2"/>
          </w:tcPr>
          <w:p>
            <w:pPr>
              <w:jc w:val="right"/>
              <w:ind w:right="300"/>
              <w:spacing w:after="0" w:line="140" w:lineRule="exact"/>
              <w:rPr>
                <w:sz w:val="20"/>
                <w:szCs w:val="20"/>
                <w:color w:val="auto"/>
              </w:rPr>
            </w:pPr>
            <w:r>
              <w:rPr>
                <w:rFonts w:ascii="Arial" w:cs="Arial" w:eastAsia="Arial" w:hAnsi="Arial"/>
                <w:sz w:val="13"/>
                <w:szCs w:val="13"/>
                <w:b w:val="1"/>
                <w:bCs w:val="1"/>
                <w:color w:val="auto"/>
                <w:w w:val="84"/>
              </w:rPr>
              <w:t>Noncontrolling</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Shares</w:t>
            </w: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26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300" w:type="dxa"/>
            <w:vAlign w:val="bottom"/>
          </w:tcPr>
          <w:p>
            <w:pPr>
              <w:spacing w:after="0"/>
              <w:rPr>
                <w:sz w:val="11"/>
                <w:szCs w:val="11"/>
                <w:color w:val="auto"/>
              </w:rPr>
            </w:pPr>
          </w:p>
        </w:tc>
        <w:tc>
          <w:tcPr>
            <w:tcW w:w="70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Capital</w:t>
            </w:r>
          </w:p>
        </w:tc>
        <w:tc>
          <w:tcPr>
            <w:tcW w:w="300" w:type="dxa"/>
            <w:vAlign w:val="bottom"/>
          </w:tcPr>
          <w:p>
            <w:pPr>
              <w:spacing w:after="0"/>
              <w:rPr>
                <w:sz w:val="11"/>
                <w:szCs w:val="11"/>
                <w:color w:val="auto"/>
              </w:rPr>
            </w:pPr>
          </w:p>
        </w:tc>
        <w:tc>
          <w:tcPr>
            <w:tcW w:w="800" w:type="dxa"/>
            <w:vAlign w:val="bottom"/>
            <w:tcBorders>
              <w:bottom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78"/>
              </w:rPr>
              <w:t>Loss</w:t>
            </w:r>
          </w:p>
        </w:tc>
        <w:tc>
          <w:tcPr>
            <w:tcW w:w="300" w:type="dxa"/>
            <w:vAlign w:val="bottom"/>
          </w:tcPr>
          <w:p>
            <w:pPr>
              <w:spacing w:after="0"/>
              <w:rPr>
                <w:sz w:val="11"/>
                <w:szCs w:val="11"/>
                <w:color w:val="auto"/>
              </w:rPr>
            </w:pPr>
          </w:p>
        </w:tc>
        <w:tc>
          <w:tcPr>
            <w:tcW w:w="9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0"/>
              </w:rPr>
              <w:t>Equity</w:t>
            </w:r>
          </w:p>
        </w:tc>
        <w:tc>
          <w:tcPr>
            <w:tcW w:w="300" w:type="dxa"/>
            <w:vAlign w:val="bottom"/>
          </w:tcPr>
          <w:p>
            <w:pPr>
              <w:spacing w:after="0"/>
              <w:rPr>
                <w:sz w:val="11"/>
                <w:szCs w:val="11"/>
                <w:color w:val="auto"/>
              </w:rPr>
            </w:pPr>
          </w:p>
        </w:tc>
        <w:tc>
          <w:tcPr>
            <w:tcW w:w="80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Interest</w:t>
            </w:r>
          </w:p>
        </w:tc>
        <w:tc>
          <w:tcPr>
            <w:tcW w:w="300" w:type="dxa"/>
            <w:vAlign w:val="bottom"/>
          </w:tcPr>
          <w:p>
            <w:pPr>
              <w:spacing w:after="0"/>
              <w:rPr>
                <w:sz w:val="11"/>
                <w:szCs w:val="11"/>
                <w:color w:val="auto"/>
              </w:rPr>
            </w:pPr>
          </w:p>
        </w:tc>
        <w:tc>
          <w:tcPr>
            <w:tcW w:w="7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1"/>
              </w:rPr>
              <w:t>Total Equity</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April 30, 2009</w:t>
            </w:r>
          </w:p>
        </w:tc>
        <w:tc>
          <w:tcPr>
            <w:tcW w:w="920" w:type="dxa"/>
            <w:vAlign w:val="bottom"/>
            <w:gridSpan w:val="2"/>
            <w:shd w:val="clear" w:color="auto" w:fill="CCEEFF"/>
          </w:tcPr>
          <w:p>
            <w:pPr>
              <w:jc w:val="right"/>
              <w:ind w:right="280"/>
              <w:spacing w:after="0" w:line="129" w:lineRule="exact"/>
              <w:rPr>
                <w:sz w:val="20"/>
                <w:szCs w:val="20"/>
                <w:color w:val="auto"/>
              </w:rPr>
            </w:pPr>
            <w:r>
              <w:rPr>
                <w:rFonts w:ascii="Arial" w:cs="Arial" w:eastAsia="Arial" w:hAnsi="Arial"/>
                <w:sz w:val="13"/>
                <w:szCs w:val="13"/>
                <w:color w:val="auto"/>
                <w:w w:val="95"/>
              </w:rPr>
              <w:t>10,210,354</w:t>
            </w:r>
          </w:p>
        </w:tc>
        <w:tc>
          <w:tcPr>
            <w:tcW w:w="7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3"/>
                <w:szCs w:val="13"/>
                <w:color w:val="auto"/>
                <w:w w:val="86"/>
              </w:rPr>
              <w:t>$ 10,210</w:t>
            </w:r>
          </w:p>
        </w:tc>
        <w:tc>
          <w:tcPr>
            <w:tcW w:w="58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w w:val="82"/>
              </w:rPr>
              <w:t>154,568,931</w:t>
            </w:r>
          </w:p>
        </w:tc>
        <w:tc>
          <w:tcPr>
            <w:tcW w:w="3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(71,242,791)</w:t>
            </w:r>
          </w:p>
        </w:tc>
        <w:tc>
          <w:tcPr>
            <w:tcW w:w="1260" w:type="dxa"/>
            <w:vAlign w:val="bottom"/>
            <w:gridSpan w:val="3"/>
            <w:shd w:val="clear" w:color="auto" w:fill="CCEEFF"/>
          </w:tcPr>
          <w:p>
            <w:pPr>
              <w:jc w:val="right"/>
              <w:ind w:right="260"/>
              <w:spacing w:after="0" w:line="129" w:lineRule="exact"/>
              <w:rPr>
                <w:sz w:val="20"/>
                <w:szCs w:val="20"/>
                <w:color w:val="auto"/>
              </w:rPr>
            </w:pPr>
            <w:r>
              <w:rPr>
                <w:rFonts w:ascii="Arial" w:cs="Arial" w:eastAsia="Arial" w:hAnsi="Arial"/>
                <w:sz w:val="13"/>
                <w:szCs w:val="13"/>
                <w:color w:val="auto"/>
              </w:rPr>
              <w:t>(553,323)</w:t>
            </w:r>
          </w:p>
        </w:tc>
        <w:tc>
          <w:tcPr>
            <w:tcW w:w="124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3"/>
                <w:szCs w:val="13"/>
                <w:color w:val="auto"/>
              </w:rPr>
              <w:t>82,783,027</w:t>
            </w:r>
          </w:p>
        </w:tc>
        <w:tc>
          <w:tcPr>
            <w:tcW w:w="110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82,783,027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(2,098,477)</w:t>
            </w:r>
          </w:p>
        </w:tc>
        <w:tc>
          <w:tcPr>
            <w:tcW w:w="120" w:type="dxa"/>
            <w:vAlign w:val="bottom"/>
          </w:tcPr>
          <w:p>
            <w:pPr>
              <w:spacing w:after="0"/>
              <w:rPr>
                <w:sz w:val="11"/>
                <w:szCs w:val="11"/>
                <w:color w:val="auto"/>
              </w:rPr>
            </w:pPr>
          </w:p>
        </w:tc>
        <w:tc>
          <w:tcPr>
            <w:tcW w:w="114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(2,098,477)</w:t>
            </w:r>
          </w:p>
        </w:tc>
        <w:tc>
          <w:tcPr>
            <w:tcW w:w="11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51,057</w:t>
            </w:r>
          </w:p>
        </w:tc>
        <w:tc>
          <w:tcPr>
            <w:tcW w:w="8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(2,047,420)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Foreign currency translation</w:t>
            </w: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698,118</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698,118</w:t>
            </w: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698,118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ind w:left="200"/>
              <w:spacing w:after="0" w:line="143" w:lineRule="exact"/>
              <w:rPr>
                <w:sz w:val="20"/>
                <w:szCs w:val="20"/>
                <w:color w:val="auto"/>
              </w:rPr>
            </w:pPr>
            <w:r>
              <w:rPr>
                <w:rFonts w:ascii="Arial" w:cs="Arial" w:eastAsia="Arial" w:hAnsi="Arial"/>
                <w:sz w:val="13"/>
                <w:szCs w:val="13"/>
                <w:color w:val="auto"/>
              </w:rPr>
              <w:t>Total comprehensive loss</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(1,400,359)</w:t>
            </w:r>
          </w:p>
        </w:tc>
        <w:tc>
          <w:tcPr>
            <w:tcW w:w="300" w:type="dxa"/>
            <w:vAlign w:val="bottom"/>
          </w:tcPr>
          <w:p>
            <w:pPr>
              <w:spacing w:after="0"/>
              <w:rPr>
                <w:sz w:val="12"/>
                <w:szCs w:val="12"/>
                <w:color w:val="auto"/>
              </w:rPr>
            </w:pPr>
          </w:p>
        </w:tc>
        <w:tc>
          <w:tcPr>
            <w:tcW w:w="110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51,057</w:t>
            </w:r>
          </w:p>
        </w:tc>
        <w:tc>
          <w:tcPr>
            <w:tcW w:w="16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40"/>
              <w:spacing w:after="0" w:line="143" w:lineRule="exact"/>
              <w:rPr>
                <w:sz w:val="20"/>
                <w:szCs w:val="20"/>
                <w:color w:val="auto"/>
              </w:rPr>
            </w:pPr>
            <w:r>
              <w:rPr>
                <w:rFonts w:ascii="Arial" w:cs="Arial" w:eastAsia="Arial" w:hAnsi="Arial"/>
                <w:sz w:val="13"/>
                <w:szCs w:val="13"/>
                <w:color w:val="auto"/>
                <w:w w:val="90"/>
              </w:rPr>
              <w:t>(1,349,302)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Compensation related to stock</w:t>
            </w: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option grants and restricted</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 issued to employees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348,199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348,199</w:t>
            </w: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348,199</w:t>
            </w:r>
          </w:p>
        </w:tc>
        <w:tc>
          <w:tcPr>
            <w:tcW w:w="0" w:type="dxa"/>
            <w:vAlign w:val="bottom"/>
          </w:tcPr>
          <w:p>
            <w:pPr>
              <w:spacing w:after="0"/>
              <w:rPr>
                <w:sz w:val="1"/>
                <w:szCs w:val="1"/>
                <w:color w:val="auto"/>
              </w:rPr>
            </w:pPr>
          </w:p>
        </w:tc>
      </w:tr>
      <w:tr>
        <w:trPr>
          <w:trHeight w:val="142"/>
        </w:trPr>
        <w:tc>
          <w:tcPr>
            <w:tcW w:w="1900" w:type="dxa"/>
            <w:vAlign w:val="bottom"/>
            <w:gridSpan w:val="2"/>
          </w:tcPr>
          <w:p>
            <w:pPr>
              <w:spacing w:after="0" w:line="143" w:lineRule="exact"/>
              <w:rPr>
                <w:sz w:val="20"/>
                <w:szCs w:val="20"/>
                <w:color w:val="auto"/>
              </w:rPr>
            </w:pPr>
            <w:r>
              <w:rPr>
                <w:rFonts w:ascii="Arial" w:cs="Arial" w:eastAsia="Arial" w:hAnsi="Arial"/>
                <w:sz w:val="13"/>
                <w:szCs w:val="13"/>
                <w:color w:val="auto"/>
              </w:rPr>
              <w:t>Balance, July 31, 2009</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10,210,354</w:t>
            </w:r>
          </w:p>
        </w:tc>
        <w:tc>
          <w:tcPr>
            <w:tcW w:w="2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6"/>
              </w:rPr>
              <w:t>$ 10,210</w:t>
            </w:r>
          </w:p>
        </w:tc>
        <w:tc>
          <w:tcPr>
            <w:tcW w:w="2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80"/>
              <w:spacing w:after="0" w:line="143" w:lineRule="exact"/>
              <w:rPr>
                <w:sz w:val="20"/>
                <w:szCs w:val="20"/>
                <w:color w:val="auto"/>
              </w:rPr>
            </w:pPr>
            <w:r>
              <w:rPr>
                <w:rFonts w:ascii="Arial" w:cs="Arial" w:eastAsia="Arial" w:hAnsi="Arial"/>
                <w:sz w:val="13"/>
                <w:szCs w:val="13"/>
                <w:color w:val="auto"/>
                <w:w w:val="82"/>
              </w:rPr>
              <w:t>154,917,130</w:t>
            </w:r>
          </w:p>
        </w:tc>
        <w:tc>
          <w:tcPr>
            <w:tcW w:w="3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(73,341,268)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144,795</w:t>
            </w:r>
          </w:p>
        </w:tc>
        <w:tc>
          <w:tcPr>
            <w:tcW w:w="3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81,730,867</w:t>
            </w:r>
          </w:p>
        </w:tc>
        <w:tc>
          <w:tcPr>
            <w:tcW w:w="3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51,057</w:t>
            </w:r>
          </w:p>
        </w:tc>
        <w:tc>
          <w:tcPr>
            <w:tcW w:w="3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81,781,924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April 30, 2010</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w w:val="95"/>
              </w:rPr>
              <w:t>10,390,563</w:t>
            </w: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6"/>
              </w:rPr>
              <w:t>$ 10,391</w:t>
            </w: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(1,072)</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2"/>
              </w:rPr>
              <w:t>(6,443)</w:t>
            </w:r>
          </w:p>
        </w:tc>
        <w:tc>
          <w:tcPr>
            <w:tcW w:w="7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155,726,672</w:t>
            </w:r>
          </w:p>
        </w:tc>
        <w:tc>
          <w:tcPr>
            <w:tcW w:w="3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(90,413,098)</w:t>
            </w:r>
          </w:p>
        </w:tc>
        <w:tc>
          <w:tcPr>
            <w:tcW w:w="12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(503,322)</w:t>
            </w:r>
          </w:p>
        </w:tc>
        <w:tc>
          <w:tcPr>
            <w:tcW w:w="12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64,814,200</w:t>
            </w:r>
          </w:p>
        </w:tc>
        <w:tc>
          <w:tcPr>
            <w:tcW w:w="11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40,890</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64,855,090</w:t>
            </w:r>
          </w:p>
        </w:tc>
        <w:tc>
          <w:tcPr>
            <w:tcW w:w="0" w:type="dxa"/>
            <w:vAlign w:val="bottom"/>
          </w:tcPr>
          <w:p>
            <w:pPr>
              <w:spacing w:after="0"/>
              <w:rPr>
                <w:sz w:val="1"/>
                <w:szCs w:val="1"/>
                <w:color w:val="auto"/>
              </w:rPr>
            </w:pPr>
          </w:p>
        </w:tc>
      </w:tr>
      <w:tr>
        <w:trPr>
          <w:trHeight w:val="281"/>
        </w:trPr>
        <w:tc>
          <w:tcPr>
            <w:tcW w:w="190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(6,266,593)</w:t>
            </w:r>
          </w:p>
        </w:tc>
        <w:tc>
          <w:tcPr>
            <w:tcW w:w="12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(6,266,593)</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(3,479)</w:t>
            </w: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auto"/>
              </w:rPr>
              <w:t>(6,270,072)</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8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Foreign currency translation</w:t>
            </w: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132,920</w:t>
            </w:r>
          </w:p>
        </w:tc>
        <w:tc>
          <w:tcPr>
            <w:tcW w:w="3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132,920</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(1,285)</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131,635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80" w:type="dxa"/>
            <w:vAlign w:val="bottom"/>
          </w:tcPr>
          <w:p>
            <w:pPr>
              <w:ind w:left="200"/>
              <w:spacing w:after="0"/>
              <w:rPr>
                <w:sz w:val="20"/>
                <w:szCs w:val="20"/>
                <w:color w:val="auto"/>
              </w:rPr>
            </w:pPr>
            <w:r>
              <w:rPr>
                <w:rFonts w:ascii="Arial" w:cs="Arial" w:eastAsia="Arial" w:hAnsi="Arial"/>
                <w:sz w:val="13"/>
                <w:szCs w:val="13"/>
                <w:color w:val="auto"/>
              </w:rPr>
              <w:t>Total comprehensive loss</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(6,133,673)</w:t>
            </w:r>
          </w:p>
        </w:tc>
        <w:tc>
          <w:tcPr>
            <w:tcW w:w="30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(6,138,437)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8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Compensation related to stock</w:t>
            </w: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option grants and restricted</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 issued to employees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410,568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410,568</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410,568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80" w:type="dxa"/>
            <w:vAlign w:val="bottom"/>
          </w:tcPr>
          <w:p>
            <w:pPr>
              <w:spacing w:after="0" w:line="121" w:lineRule="exact"/>
              <w:rPr>
                <w:sz w:val="20"/>
                <w:szCs w:val="20"/>
                <w:color w:val="auto"/>
              </w:rPr>
            </w:pPr>
            <w:r>
              <w:rPr>
                <w:rFonts w:ascii="Arial" w:cs="Arial" w:eastAsia="Arial" w:hAnsi="Arial"/>
                <w:sz w:val="13"/>
                <w:szCs w:val="13"/>
                <w:color w:val="auto"/>
              </w:rPr>
              <w:t>Net issuance of vested and</w:t>
            </w: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tcPr>
          <w:p>
            <w:pPr>
              <w:ind w:left="200"/>
              <w:spacing w:after="0" w:line="135" w:lineRule="exact"/>
              <w:rPr>
                <w:sz w:val="20"/>
                <w:szCs w:val="20"/>
                <w:color w:val="auto"/>
              </w:rPr>
            </w:pPr>
            <w:r>
              <w:rPr>
                <w:rFonts w:ascii="Arial" w:cs="Arial" w:eastAsia="Arial" w:hAnsi="Arial"/>
                <w:sz w:val="13"/>
                <w:szCs w:val="13"/>
                <w:color w:val="auto"/>
              </w:rPr>
              <w:t>unvested restricted stock to</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ind w:left="200"/>
              <w:spacing w:after="0"/>
              <w:rPr>
                <w:sz w:val="20"/>
                <w:szCs w:val="20"/>
                <w:color w:val="auto"/>
              </w:rPr>
            </w:pPr>
            <w:r>
              <w:rPr>
                <w:rFonts w:ascii="Arial" w:cs="Arial" w:eastAsia="Arial" w:hAnsi="Arial"/>
                <w:sz w:val="13"/>
                <w:szCs w:val="13"/>
                <w:color w:val="auto"/>
              </w:rPr>
              <w:t>employees</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21,000</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21</w:t>
            </w: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(21)</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July 31, 2010</w:t>
            </w:r>
          </w:p>
        </w:tc>
        <w:tc>
          <w:tcPr>
            <w:tcW w:w="92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w w:val="95"/>
              </w:rPr>
              <w:t>10,411,563</w:t>
            </w:r>
          </w:p>
        </w:tc>
        <w:tc>
          <w:tcPr>
            <w:tcW w:w="7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6"/>
              </w:rPr>
              <w:t>$ 10,412</w:t>
            </w:r>
          </w:p>
        </w:tc>
        <w:tc>
          <w:tcPr>
            <w:tcW w:w="5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(1,072)</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2"/>
              </w:rPr>
              <w:t>(6,443)</w:t>
            </w:r>
          </w:p>
        </w:tc>
        <w:tc>
          <w:tcPr>
            <w:tcW w:w="7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156,137,219</w:t>
            </w:r>
          </w:p>
        </w:tc>
        <w:tc>
          <w:tcPr>
            <w:tcW w:w="3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(96,679,691)</w:t>
            </w:r>
          </w:p>
        </w:tc>
        <w:tc>
          <w:tcPr>
            <w:tcW w:w="126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(370,402)</w:t>
            </w:r>
          </w:p>
        </w:tc>
        <w:tc>
          <w:tcPr>
            <w:tcW w:w="124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59,091,095</w:t>
            </w:r>
          </w:p>
        </w:tc>
        <w:tc>
          <w:tcPr>
            <w:tcW w:w="11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36,126</w:t>
            </w:r>
          </w:p>
        </w:tc>
        <w:tc>
          <w:tcPr>
            <w:tcW w:w="8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59,127,221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121"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Ocean Power Technologies, Inc. (the Company) was incorporated on April 19, 1984 in New Jersey, commenced commercial operations in 1994 and re-incorporated in Delaware in April 2007. The Company develops and is commercializing proprietary systems that generate electricity by harnessing the renewable energy of ocean waves. The Company markets and sells its products in the United States and internationally.</w:t>
      </w:r>
    </w:p>
    <w:p>
      <w:pPr>
        <w:spacing w:after="0" w:line="5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2010 filed with the Securities and Exchange Commission (SEC) and elsewhere in this Form 10-Q.</w:t>
      </w:r>
    </w:p>
    <w:p>
      <w:pPr>
        <w:spacing w:after="0" w:line="81"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 xml:space="preserve">During the second quarter of fiscal 2010, the Company adopted </w:t>
      </w:r>
      <w:r>
        <w:rPr>
          <w:rFonts w:ascii="Arial" w:cs="Arial" w:eastAsia="Arial" w:hAnsi="Arial"/>
          <w:sz w:val="16"/>
          <w:szCs w:val="16"/>
          <w:i w:val="1"/>
          <w:iCs w:val="1"/>
          <w:color w:val="auto"/>
        </w:rPr>
        <w:t>The FASB Accounting Standards Codification (ASC or Codification) and the Hierarchy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Generally Accepted Accounting Principles (GAAP), </w:t>
      </w:r>
      <w:r>
        <w:rPr>
          <w:rFonts w:ascii="Arial" w:cs="Arial" w:eastAsia="Arial" w:hAnsi="Arial"/>
          <w:sz w:val="16"/>
          <w:szCs w:val="16"/>
          <w:color w:val="auto"/>
        </w:rPr>
        <w:t>which establishes the Codification as the sole source for authoritative U.S. GAAP and has superseded all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in U.S. GAAP, aside from those issued by the SEC. The adoption of the Codification did not have an impact on the Company’s results of operations, cash flows or financial position. As a result of the adoption of the ASC, the Company’s notes to the consolidated financial statements will no longer make reference to Statement of Financial Accounting Standards (SFAS) or other U.S. GAAP pronouncements.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in the caption “Noncontrolling interest” in the Company’s Consolidated Balance Sheets and Statements of Operations. Noncontrolling interest adjusts the Company’s consolidated results of operations to reflect only the Company’s share of the earnings or losses of the consolidated subsidiary. As of July 31, 2010, there was one noncontrolling interest, consisting of 11.8% of the Company’s Australian subsidiary.</w:t>
      </w:r>
    </w:p>
    <w:p>
      <w:pPr>
        <w:spacing w:after="0" w:line="85"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July 31, 2010, there are no such entities.</w:t>
      </w:r>
    </w:p>
    <w:p>
      <w:pPr>
        <w:spacing w:after="0" w:line="73" w:lineRule="exact"/>
        <w:rPr>
          <w:sz w:val="20"/>
          <w:szCs w:val="20"/>
          <w:color w:val="auto"/>
        </w:rPr>
      </w:pPr>
    </w:p>
    <w:p>
      <w:pPr>
        <w:ind w:right="520" w:firstLine="222"/>
        <w:spacing w:after="0" w:line="286" w:lineRule="auto"/>
        <w:rPr>
          <w:sz w:val="20"/>
          <w:szCs w:val="20"/>
          <w:color w:val="auto"/>
        </w:rPr>
      </w:pPr>
      <w:r>
        <w:rPr>
          <w:rFonts w:ascii="Arial" w:cs="Arial" w:eastAsia="Arial" w:hAnsi="Arial"/>
          <w:sz w:val="17"/>
          <w:szCs w:val="17"/>
          <w:color w:val="auto"/>
        </w:rPr>
        <w:t>The Company has a 10% investment in Iberdrola Energias Renovables II, S.A. (Iberdrola Energias). Revenues from Iberdrola Energias for the three months ended July 31, 2010 and 2009 were $(231,000) and $115,000, respectively. Additionally, gross accounts receivable from Iberdrola Energias aggregated $548,000 and $556,000 as of July 31, 2010 and April 30, 2010, respectively. See Note 2 (c) and Note 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117"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Company primarily recognizes revenue under the percentage-of-completion method. The percentage of completion is determined by relating the costs incurred to date to the estimated total costs. The cumulative effects resulting from revisions of estimated total contract costs and revenues are recorded in the period in which the facts requiring revision become known. Upon anticipating a loss on a contract, the Company recognizes the full amount of the anticipated loss in the current period. Accruals related to losses on contracts in the amount of approximately $785,000 are included in accrued expenses in the accompanying consolidated balance sheets as of July 31, 2010 and April 30, 2010. Modifications to contract provisions, such as those currently being discussed in connection with the Company’s Spain construction agreement (see Note 9), as well as modifications in contract loss estimates, may require changes in accruals established for anticipated contract losses. During the three months ended July 31, 2010, the Company reduced revenue by approximately $231,000 due to a change in estimated revenue to be recognized in connection with the Spain construction agreement.</w:t>
      </w:r>
    </w:p>
    <w:p>
      <w:pPr>
        <w:spacing w:after="0" w:line="58"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exceed costs incurred plus applicable profit margin, they are recorded as unearned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117" w:lineRule="exact"/>
        <w:rPr>
          <w:sz w:val="20"/>
          <w:szCs w:val="20"/>
          <w:color w:val="auto"/>
        </w:rPr>
      </w:pPr>
    </w:p>
    <w:p>
      <w:pPr>
        <w:jc w:val="both"/>
        <w:ind w:right="100" w:firstLine="225"/>
        <w:spacing w:after="0" w:line="286" w:lineRule="auto"/>
        <w:rPr>
          <w:sz w:val="20"/>
          <w:szCs w:val="20"/>
          <w:color w:val="auto"/>
        </w:rPr>
      </w:pPr>
      <w:r>
        <w:rPr>
          <w:rFonts w:ascii="Arial" w:cs="Arial" w:eastAsia="Arial" w:hAnsi="Arial"/>
          <w:sz w:val="17"/>
          <w:szCs w:val="17"/>
          <w:color w:val="auto"/>
        </w:rPr>
        <w:t>Cash equivalents consist of investments in short-term financial instruments with initial maturities of three months or less from the date of purchase. Cash and cash equivalents include zero and $1,590,000 of certificates of deposit with an initial term of less than three months at July 31, 2010 and April 30, 2010, respectively, and $24,000 and $192,000 invested in a money market fund as of July 31, 2010 and April 30, 2010,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Marketable securities with original maturities longer than three months but that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held-to-maturity and are reported at amortized cost. The difference between the acquisition cost and face values of held-to-maturity securities is amortized over the remaining term of the security and added to or subtracted from the acquisition cost and interest income. As of July 31, 2010 and April 30, 2010, all of the Company’s marketable securities were classified as held-to-maturity.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117"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had $1,439,168 and $1,205,288 of restricted cash as of July 31, 2010 and April 30, 2010, respectively. The cash is restricted under the terms of two security agreements.</w:t>
      </w:r>
    </w:p>
    <w:p>
      <w:pPr>
        <w:spacing w:after="0" w:line="62"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The credit facility does not have an expiration date, but is cancelable at the discretion of the bank. As of July 31, 2010, approximately €720,000 is included in restricted cash.</w:t>
      </w:r>
    </w:p>
    <w:p>
      <w:pPr>
        <w:spacing w:after="0" w:line="50"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other agreement is between Ocean Power Technologies, Inc. and the New Jersey Board of Public Utilities (NJBPU). The Company received a</w:t>
      </w:r>
    </w:p>
    <w:p>
      <w:pPr>
        <w:spacing w:after="0" w:line="46"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$500,000 recoverable grant award from the NJBPU. Under this agreement, the Company is required to assign to the NJBPU a certificate of deposit in an amount equal to the outstanding grant balance. The Company has assigned certificates of deposit in the amount of $500,000 to the NJBPU, which are outstanding as of July 31, 2010. See Note 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Property and Equipment</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Depreciation was $80,521 and $78,490 for the three months ended July 31, 2010 and 2009, respectively.</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Other Income</w:t>
      </w:r>
    </w:p>
    <w:p>
      <w:pPr>
        <w:spacing w:after="0" w:line="117"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Other income consists of transactions that the Company considers to be outside the normal scope of its operations and operating activities. The Company recognized other income of $506,630 during the three months ended July 31, 2009, primarily in connection with the settlement of a claim that it had against a supplier that provided engineering services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Foreign Exchange Gains and Losses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has invested in certain certificates of deposit and has maintained cash accounts that are denominated in British pounds sterling, Euros and Australian dollars. Such certificates of deposit and cash accounts had a balance of approximately $5,206,100 and $4,131,000 as of July 31, 2010 and April 30, 2010, respectively. These amounts are included in cash, cash equivalents, restricted cash and marketable securities on the accompanying balance sheets. Such positions may result in realized and unrealized foreign exchange gains or losses from exchange rate fluctuations, which are included in foreign exchange gain (loss) in the accompanying consolidated statements of operations. Foreign exchange (loss) gain was $(239,002) and $401,691 for the three months ended July 31, 2010 and 2009,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Patents</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External costs related to the filing of patents, including legal and filing fees, are capitalized. Amortization is calculated using the straight-line method over the life of the patents (17 years). Expenses for the development of technology are charged to operations as incurred. Amortization expense was $11,635 and $10,077 for the three months ended July 31, 2010 and 2009, respectively. Amortization expense for the next five fiscal years related to amounts capitalized for patents as of July 31, 2010 is estimated to be approximately $63,000 per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Long-Lived Assets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Long-lived assets, such as property and equipment and purchased intangible assets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by the amount by which the carrying amount of the asset exceeds the fair value of the asset. The Company reviewed its long-lived assets for impairment and determined there was no impairment for the three months ended July 31,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Concentration of Credit Risk</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a money market fund) and does not believe that it is exposed to any significant risks related to its cash accounts, money market fund or certificates of deposit.</w:t>
      </w:r>
    </w:p>
    <w:p>
      <w:pPr>
        <w:spacing w:after="0" w:line="79"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0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Customer</w:t>
            </w: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9120" w:type="dxa"/>
            <w:vAlign w:val="bottom"/>
            <w:gridSpan w:val="3"/>
            <w:vMerge w:val="continue"/>
          </w:tcPr>
          <w:p>
            <w:pPr>
              <w:spacing w:after="0"/>
              <w:rPr>
                <w:sz w:val="12"/>
                <w:szCs w:val="12"/>
                <w:color w:val="auto"/>
              </w:rPr>
            </w:pPr>
          </w:p>
        </w:tc>
        <w:tc>
          <w:tcPr>
            <w:tcW w:w="86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2010(1)</w:t>
            </w:r>
          </w:p>
        </w:tc>
        <w:tc>
          <w:tcPr>
            <w:tcW w:w="144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Navy</w:t>
            </w:r>
          </w:p>
        </w:tc>
        <w:tc>
          <w:tcPr>
            <w:tcW w:w="5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83%</w:t>
            </w:r>
          </w:p>
        </w:tc>
        <w:tc>
          <w:tcPr>
            <w:tcW w:w="5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US Department of Energy</w:t>
            </w:r>
          </w:p>
        </w:tc>
        <w:tc>
          <w:tcPr>
            <w:tcW w:w="860" w:type="dxa"/>
            <w:vAlign w:val="bottom"/>
          </w:tcPr>
          <w:p>
            <w:pPr>
              <w:jc w:val="right"/>
              <w:ind w:right="97"/>
              <w:spacing w:after="0"/>
              <w:rPr>
                <w:sz w:val="20"/>
                <w:szCs w:val="20"/>
                <w:color w:val="auto"/>
              </w:rPr>
            </w:pPr>
            <w:r>
              <w:rPr>
                <w:rFonts w:ascii="Arial" w:cs="Arial" w:eastAsia="Arial" w:hAnsi="Arial"/>
                <w:sz w:val="18"/>
                <w:szCs w:val="18"/>
                <w:color w:val="auto"/>
              </w:rPr>
              <w:t>19%</w:t>
            </w: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Scottish Government</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11%</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equals 113% due to a negative revenue adjustment made to another customer (see Note 2 (c)).</w:t>
      </w:r>
    </w:p>
    <w:p>
      <w:pPr>
        <w:spacing w:after="0" w:line="117"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collateral from its customers.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Net Loss per Common Share</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1,715,520 and 1,789,405 for the three months ended July 31, 2010 and 2009, respectively, were excluded from the computations as the effect would be anti-dilutive due to the Company’s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Stock-Based Compensation</w:t>
      </w:r>
    </w:p>
    <w:p>
      <w:pPr>
        <w:spacing w:after="0" w:line="117"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share-based compensation expense related to all share-based transactions recorded in the consolidated statements of operations was approximately $411,000 and $348,000 for the three months ended July 31, 2010 and 2009,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Three Months Ended July 31, 2010 and 2009</w:t>
      </w:r>
    </w:p>
    <w:p>
      <w:pPr>
        <w:spacing w:after="0" w:line="121"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 xml:space="preserve">The fair value of each stock option granted during the three months ended July 31, 2010 and 2009 were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was based on historical volatility for a peer group of companies for a period equal to the stock option’s expected life, calculated on a daily basis.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40" w:type="dxa"/>
            <w:vAlign w:val="bottom"/>
          </w:tcPr>
          <w:p>
            <w:pPr>
              <w:spacing w:after="0"/>
              <w:rPr>
                <w:sz w:val="14"/>
                <w:szCs w:val="14"/>
                <w:color w:val="auto"/>
              </w:rPr>
            </w:pPr>
          </w:p>
        </w:tc>
        <w:tc>
          <w:tcPr>
            <w:tcW w:w="248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4"/>
                <w:szCs w:val="14"/>
                <w:b w:val="1"/>
                <w:bCs w:val="1"/>
                <w:color w:val="auto"/>
              </w:rPr>
              <w:t>Three Months Ended July 31,</w:t>
            </w:r>
          </w:p>
        </w:tc>
      </w:tr>
      <w:tr>
        <w:trPr>
          <w:trHeight w:val="142"/>
        </w:trPr>
        <w:tc>
          <w:tcPr>
            <w:tcW w:w="8940" w:type="dxa"/>
            <w:vAlign w:val="bottom"/>
          </w:tcPr>
          <w:p>
            <w:pPr>
              <w:spacing w:after="0"/>
              <w:rPr>
                <w:sz w:val="12"/>
                <w:szCs w:val="12"/>
                <w:color w:val="auto"/>
              </w:rPr>
            </w:pPr>
          </w:p>
        </w:tc>
        <w:tc>
          <w:tcPr>
            <w:tcW w:w="1360" w:type="dxa"/>
            <w:vAlign w:val="bottom"/>
          </w:tcPr>
          <w:p>
            <w:pPr>
              <w:jc w:val="right"/>
              <w:ind w:right="676"/>
              <w:spacing w:after="0" w:line="142" w:lineRule="exact"/>
              <w:rPr>
                <w:sz w:val="20"/>
                <w:szCs w:val="20"/>
                <w:color w:val="auto"/>
              </w:rPr>
            </w:pPr>
            <w:r>
              <w:rPr>
                <w:rFonts w:ascii="Arial" w:cs="Arial" w:eastAsia="Arial" w:hAnsi="Arial"/>
                <w:sz w:val="14"/>
                <w:szCs w:val="14"/>
                <w:b w:val="1"/>
                <w:bCs w:val="1"/>
                <w:color w:val="auto"/>
              </w:rPr>
              <w:t>2010</w:t>
            </w:r>
          </w:p>
        </w:tc>
        <w:tc>
          <w:tcPr>
            <w:tcW w:w="112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2009</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tcPr>
          <w:p>
            <w:pPr>
              <w:jc w:val="right"/>
              <w:ind w:right="216"/>
              <w:spacing w:after="0"/>
              <w:rPr>
                <w:sz w:val="20"/>
                <w:szCs w:val="20"/>
                <w:color w:val="auto"/>
              </w:rPr>
            </w:pPr>
            <w:r>
              <w:rPr>
                <w:rFonts w:ascii="Arial" w:cs="Arial" w:eastAsia="Arial" w:hAnsi="Arial"/>
                <w:sz w:val="18"/>
                <w:szCs w:val="18"/>
                <w:color w:val="auto"/>
              </w:rPr>
              <w:t>0.0%</w:t>
            </w:r>
          </w:p>
        </w:tc>
        <w:tc>
          <w:tcPr>
            <w:tcW w:w="11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3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6.4 years</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 years</w:t>
            </w: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right"/>
              <w:ind w:right="216"/>
              <w:spacing w:after="0"/>
              <w:rPr>
                <w:sz w:val="20"/>
                <w:szCs w:val="20"/>
                <w:color w:val="auto"/>
              </w:rPr>
            </w:pPr>
            <w:r>
              <w:rPr>
                <w:rFonts w:ascii="Arial" w:cs="Arial" w:eastAsia="Arial" w:hAnsi="Arial"/>
                <w:sz w:val="18"/>
                <w:szCs w:val="18"/>
                <w:color w:val="auto"/>
              </w:rPr>
              <w:t>93.8%</w:t>
            </w:r>
          </w:p>
        </w:tc>
        <w:tc>
          <w:tcPr>
            <w:tcW w:w="1120" w:type="dxa"/>
            <w:vAlign w:val="bottom"/>
          </w:tcPr>
          <w:p>
            <w:pPr>
              <w:jc w:val="right"/>
              <w:spacing w:after="0"/>
              <w:rPr>
                <w:sz w:val="20"/>
                <w:szCs w:val="20"/>
                <w:color w:val="auto"/>
              </w:rPr>
            </w:pPr>
            <w:r>
              <w:rPr>
                <w:rFonts w:ascii="Arial" w:cs="Arial" w:eastAsia="Arial" w:hAnsi="Arial"/>
                <w:sz w:val="18"/>
                <w:szCs w:val="18"/>
                <w:color w:val="auto"/>
              </w:rPr>
              <w:t>75.4%</w:t>
            </w:r>
          </w:p>
        </w:tc>
      </w:tr>
    </w:tbl>
    <w:p>
      <w:pPr>
        <w:spacing w:after="0" w:line="79"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$4.21 and $4.82 for stock options granted during the three months ended July 31, 2010 and 2009,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Accounting for Income Taxes</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and operating loss and tax credit carryforwards are expected to be recovered, settled or utilized. The effect on deferred tax assets and liabilities of a change in tax rates is recognized in income in the period that includes the enactment date.</w:t>
      </w:r>
    </w:p>
    <w:p>
      <w:pPr>
        <w:spacing w:after="0" w:line="50"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carryforwards become deductible or are utilized. Due to our history of operating losses, the Company has recorded a full valuation allowance against the deferred tax assets, including net operating loss carryforwards, where management believes it is more likely than not that the Company will not have sufficient taxable income to utilize these assets before they expire.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Excluding the loss for the three months ended July 31, 2010, the Company had net operating loss carryforwards for federal income tax purposes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$61,200,000, which begin to expire in 2011 (approximately $2,300,000 will expire in 2011). The Company also had federal research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tax credit carryforwards as of July 31, 2010, which begin to expire in 2012. The Tax Reform Act of 1986 contains provisions that limit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utilization of net operating loss and tax credit carryforwards if there has been an ownership change, as defined. The Company has determined that such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ownership change, as described in Section 382 of the Internal Revenue Code, occurred in conjunction with the Company’s US initial public offering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2007. The Company’s annual Section 382 limitation is approximately $3,300,000. The Section 382 limitation is cumulative from year to year, and thus,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extent net operating loss or other credit carryforwards are not utilized up to the amount of the available annual limitation, the limitation is carried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forward and added to the following year’s available limitation. The Company had foreign loss before income taxes for the periods ended July 31, 2010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July 31, 2009. As of July 31, 2010, the Company had foreign net operating loss carryforwards, which begin to expire in 2024. The ability to utilize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carryforwards may be limited in the event of an ownership 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Accumulated Other Comprehensive Loss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Recent Accounting Pronouncements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April 2009, the Financial Accounting Standards Board (FASB) issued additional guidance for fair value measurement, which provides guidance on how to determine the fair value of assets and liabilities when the volume and level of activity for the asset/liability has significantly decreased. This guidance also identifies circumstances that indicate a transaction is not orderly. In addition, this guidance requires disclosure in interim and annual periods of the inputs and valuation techniques used to measure fair value and a discussion of changes in valuation techniques. The new guidance was effective for interim and annual reporting periods ending after June 15, 2009. Adoption of the new guidance did not have any impact on the Company’s financial position or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In April 2009, the FASB issued new guidance which changes existing guidance for determining whether debt securities are other-than-temporarily impaired and replaces the existing requirement that the entity’s management assert it has both the intent and ability to hold an impaired security until recovery with a requirement that management assert: (a) it does not have the intent to sell the security; and (b) it is more likely than not it will not have to sell the security before recovery of its cost basis. The new guidance requires entities to separate an other-than-temporary impairment of a debt security into two components when there are credit related losses associated with the impaired debt security for which management asserts that it does not have the intent to sell the security, and it is more likely than not that it will not be required to sell the security before recovery of its cost basis. The amount of the other-than-temporary impairment related to a credit loss is recognized in earnings, and the amount of the other-than-temporary impairment related to other factors is recorded in other comprehensive income (loss). The new guidance was effective for interim and annual reporting periods ended after June 15, 2009. Adoption of the new guidance did not have any impact on the Company’s financial position or results of operations.</w:t>
      </w:r>
    </w:p>
    <w:p>
      <w:pPr>
        <w:spacing w:after="0" w:line="74"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In April 2009, the FASB issued guidance revising disclosures about fair values of financial instruments in interim and annual financial statements. Prior to this guidance, disclosures about fair values of financial instruments were only required to be disclosed annually. The new guidance requires disclosures about fair value of financial instruments in interim and annual financial statements. Adoption of the new guidance did not affect the Company’s financial position or results of operations.</w:t>
      </w:r>
    </w:p>
    <w:p>
      <w:pPr>
        <w:spacing w:after="0" w:line="79"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In June 2009, the FASB issued additional guidance that amended the existing accounting and disclosure guidance for the consolidation of variable interest entities. The amended guidance requires enhanced disclosures intended to provide users of financial statements with more transparent information about an enterprise’s involvement in a variable interest entity. This guidance became effective for the Company beginning on January 1, 2010. Adoption of the new guidance did not have any impact on the Company’s financial position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in less than one year from the balance sheet date are classified as current assets and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July 31, 2010</w:t>
            </w:r>
          </w:p>
        </w:tc>
        <w:tc>
          <w:tcPr>
            <w:tcW w:w="6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April 30, 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denominated in AUD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504,616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519,232</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US Treasury obligations</w:t>
            </w:r>
          </w:p>
        </w:tc>
        <w:tc>
          <w:tcPr>
            <w:tcW w:w="4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22,996,637</w:t>
            </w:r>
          </w:p>
        </w:tc>
        <w:tc>
          <w:tcPr>
            <w:tcW w:w="6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32,016,769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23,501,253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32,536,001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400" w:type="dxa"/>
            <w:vAlign w:val="bottom"/>
            <w:vMerge w:val="restart"/>
          </w:tcPr>
          <w:p>
            <w:pPr>
              <w:jc w:val="right"/>
              <w:ind w:right="291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The Company’s marketable securities that mature more than one year from the balance sheet date and less than three years from the balance sheet date are classified as noncurrent assets, are all classified as held-to-maturity, carried at amortized cost and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color w:val="auto"/>
                <w:w w:val="90"/>
              </w:rPr>
              <w:t>Gross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660"/>
              <w:spacing w:after="0"/>
              <w:rPr>
                <w:sz w:val="20"/>
                <w:szCs w:val="20"/>
                <w:color w:val="auto"/>
              </w:rPr>
            </w:pPr>
            <w:r>
              <w:rPr>
                <w:rFonts w:ascii="Arial" w:cs="Arial" w:eastAsia="Arial" w:hAnsi="Arial"/>
                <w:sz w:val="14"/>
                <w:szCs w:val="14"/>
                <w:color w:val="auto"/>
                <w:w w:val="90"/>
              </w:rPr>
              <w:t>Gross</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5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8"/>
              </w:rPr>
              <w:t>Amortized</w:t>
            </w: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2"/>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2"/>
              </w:rPr>
              <w:t>unrealized</w:t>
            </w:r>
          </w:p>
        </w:tc>
        <w:tc>
          <w:tcPr>
            <w:tcW w:w="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Market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color w:val="auto"/>
                <w:w w:val="85"/>
              </w:rPr>
              <w:t>cost</w:t>
            </w: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color w:val="auto"/>
                <w:w w:val="89"/>
              </w:rPr>
              <w:t>gains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jc w:val="center"/>
              <w:ind w:right="660"/>
              <w:spacing w:after="0"/>
              <w:rPr>
                <w:sz w:val="20"/>
                <w:szCs w:val="20"/>
                <w:color w:val="auto"/>
              </w:rPr>
            </w:pPr>
            <w:r>
              <w:rPr>
                <w:rFonts w:ascii="Arial" w:cs="Arial" w:eastAsia="Arial" w:hAnsi="Arial"/>
                <w:sz w:val="14"/>
                <w:szCs w:val="14"/>
                <w:color w:val="auto"/>
                <w:w w:val="85"/>
              </w:rPr>
              <w:t>losses</w:t>
            </w:r>
          </w:p>
        </w:tc>
        <w:tc>
          <w:tcPr>
            <w:tcW w:w="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July 31, 2010</w:t>
            </w: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US Treasury obligations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$28,084,649</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326,976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28,411,625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3,806,808</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3,806,808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31,891,457</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326,976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32,218,433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April 30, 2010</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US Treasury obligations</w:t>
            </w: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$25,058,238</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158,672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25,216,910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3,806,808</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3,806,808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28,865,046</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158,672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29,023,718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Accrued Expenses</w:t>
            </w: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6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The components of accrued expenses are as follows:</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w w:val="96"/>
              </w:rPr>
              <w:t>July 31, 2010</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April 30, 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551,200</w:t>
            </w:r>
          </w:p>
        </w:tc>
        <w:tc>
          <w:tcPr>
            <w:tcW w:w="6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1,072,635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Contract loss reserves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785,000</w:t>
            </w:r>
          </w:p>
        </w:tc>
        <w:tc>
          <w:tcPr>
            <w:tcW w:w="6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194,304</w:t>
            </w:r>
          </w:p>
        </w:tc>
        <w:tc>
          <w:tcPr>
            <w:tcW w:w="6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291,288</w:t>
            </w:r>
          </w:p>
        </w:tc>
        <w:tc>
          <w:tcPr>
            <w:tcW w:w="6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308,514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769,063</w:t>
            </w:r>
          </w:p>
        </w:tc>
        <w:tc>
          <w:tcPr>
            <w:tcW w:w="6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Payroll tax withholdings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316,160</w:t>
            </w:r>
          </w:p>
        </w:tc>
        <w:tc>
          <w:tcPr>
            <w:tcW w:w="6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374,208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joint venture</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173,526</w:t>
            </w:r>
          </w:p>
        </w:tc>
        <w:tc>
          <w:tcPr>
            <w:tcW w:w="6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Legal and accounting fees</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189,410</w:t>
            </w:r>
          </w:p>
        </w:tc>
        <w:tc>
          <w:tcPr>
            <w:tcW w:w="6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154,567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Value-added tax</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150,502</w:t>
            </w:r>
          </w:p>
        </w:tc>
        <w:tc>
          <w:tcPr>
            <w:tcW w:w="6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3,420,453</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4,092,113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In August 1999, the Company entered into a consulting agreement with an individual for marketing services. Currently this agreement is at a rate of $950 per day of services provided. The individual became a member of the board of directors in June 2006. Under this consulting agreement, the Company expensed approximately $21,000 and $14,000 during the three months ended July 31, 2010 and 2009, respectively. In addition, this individual is also the chief executive officer of a company that provided engineering and technical services to the Company. For the three months ended July 31, 2010, the Company incurred expense of approximately $57,000 for such services. There was no such expense incurred for the three months ended July 31, 2009.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must repay the amount funded, without interest, by January 15, 2012. The amounts to be repaid each year are determined as a percentage of revenues (as defined in the loan agreement) the Company receives that year from its customer contracts that meet criteria specified in the loan agreement, with any remaining amount due on January 15, 2012. Based upon the terms of the award, the Company has repaid approximately $161,000. As of July 31, 2010, the remaining amount due of $89,000 was included in current portion of long-term debt on the accompanying consolidated balance sheet.</w:t>
      </w:r>
    </w:p>
    <w:p>
      <w:pPr>
        <w:spacing w:after="0" w:line="70" w:lineRule="exact"/>
        <w:rPr>
          <w:sz w:val="20"/>
          <w:szCs w:val="20"/>
          <w:color w:val="auto"/>
        </w:rPr>
      </w:pPr>
    </w:p>
    <w:p>
      <w:pPr>
        <w:ind w:right="260" w:firstLine="222"/>
        <w:spacing w:after="0" w:line="257" w:lineRule="auto"/>
        <w:rPr>
          <w:sz w:val="20"/>
          <w:szCs w:val="20"/>
          <w:color w:val="auto"/>
        </w:rPr>
      </w:pPr>
      <w:r>
        <w:rPr>
          <w:rFonts w:ascii="Arial" w:cs="Arial" w:eastAsia="Arial" w:hAnsi="Arial"/>
          <w:sz w:val="18"/>
          <w:szCs w:val="18"/>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May 2012. The terms also required the Company to assign to the NJBPU a certificate of deposit in an amount equal to the outstanding grant balance. The Company received $250,000, representing the first half of the grant, during the year ended April 30, 2010, and the remaining $250,000 was received in June 2010. See Note 2(f).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w:t>
      </w:r>
    </w:p>
    <w:p>
      <w:pPr>
        <w:spacing w:after="0" w:line="12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This amount has been recorded as deferred credits in the accompanying consolidated balance sheets as of July 31, 2010 and April 30, 2010. If the Company does 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right="400" w:firstLine="225"/>
        <w:spacing w:after="0" w:line="308" w:lineRule="auto"/>
        <w:rPr>
          <w:sz w:val="20"/>
          <w:szCs w:val="20"/>
          <w:color w:val="auto"/>
        </w:rPr>
      </w:pPr>
      <w:r>
        <w:rPr>
          <w:rFonts w:ascii="Arial" w:cs="Arial" w:eastAsia="Arial" w:hAnsi="Arial"/>
          <w:sz w:val="17"/>
          <w:szCs w:val="17"/>
          <w:color w:val="auto"/>
        </w:rPr>
        <w:t>Prior to August 2001, the Company maintained qualified and nonqualified stock option plans. The Company had reserved 264,000 shares of common stock for issuance under these plans. There are no options available for future grant under these plans as of July 31, 2010.</w:t>
      </w:r>
    </w:p>
    <w:p>
      <w:pPr>
        <w:spacing w:after="0" w:line="38"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In August 2001, the Company approved the 2001 Stock Plan, which provides for the grant of incentive stock options and nonqualified stock options. A total of 1,000,000 shares were authorized for issuance under the 2001 Stock Plan. As of July 31, 2010, the Company had issued or reserved 451,291 shares for issuance under the 2001 Stock Plan. After the effectiveness of the 2006 Stock Incentive Plan, no further options or other awards have been or will be granted under the 2001 Stock Plan.</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April 24, 2007, the Company’s 2006 Stock Incentive Plan became effective. A total of 803,215 shares were authorized for issuance under the 2006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Stock Incentive Plan. On October 2, 2009, an amendment to the 2006 Stock Incentive Plan was approved, increasing the aggregate number of shares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authorized for issuance by 850,000 shares to 1,653,215. As of July 31, 2010, the Company had issued awards for 1,044,830 shares of common stock and had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reserved an additional 608,385 shares of common stock for future issuance under the 2006 Stock Incentive Plan. The Company’s employees, officers,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consultants and advisors are eligible to receive awards under the 2006 Stock Incentive Plan; however, incentive stock options may only be granted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employees. The maximum number of shares of common stock with respect to which awards may be granted to any participant under the 2006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Incentive Plan is 200,000 per calendar year. Members of the board of directors who are not full-time employees receive, as part of their annual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choice of either (a) an option to purchase 2,000 shares of common stock that is fully vested at the time of grant, or (b) shares of common stock worth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 which vests 50% at the time of grant and 50% one year later. As of July 31, 2010, there are 3,608 shares of non-vested restricted stock relating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 program. Vesting provisions of stock options are determined by the board of directors. The contractual term of these stock options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ten years. The 2006 Stock Incentive Plan is administered by the Company’s board of directors who may delegate authority to one or more committees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subcommittees of the board of directors or to the Company’s officers. If the board of directors delegates authority to an officer, the officer has the power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make awards to all of the Company’s employees, except to executive officers. The board of directors will fix the terms of the awards to be granted by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officer. No award may be granted under the 2006 Stock Incentive Plan after December 7, 2016, but the vesting and effectiveness of awards granted before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may extend beyond that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stock options under the plans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36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Shares Under</w:t>
            </w:r>
          </w:p>
        </w:tc>
        <w:tc>
          <w:tcPr>
            <w:tcW w:w="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April 30, 2010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1,375,453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11.87</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(70,746)</w:t>
            </w:r>
          </w:p>
        </w:tc>
        <w:tc>
          <w:tcPr>
            <w:tcW w:w="1560" w:type="dxa"/>
            <w:vAlign w:val="bottom"/>
            <w:gridSpan w:val="2"/>
          </w:tcPr>
          <w:p>
            <w:pPr>
              <w:jc w:val="right"/>
              <w:ind w:right="244"/>
              <w:spacing w:after="0"/>
              <w:rPr>
                <w:sz w:val="20"/>
                <w:szCs w:val="20"/>
                <w:color w:val="auto"/>
              </w:rPr>
            </w:pPr>
            <w:r>
              <w:rPr>
                <w:rFonts w:ascii="Arial" w:cs="Arial" w:eastAsia="Arial" w:hAnsi="Arial"/>
                <w:sz w:val="18"/>
                <w:szCs w:val="18"/>
                <w:color w:val="auto"/>
              </w:rPr>
              <w:t>11.98</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239,205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244"/>
              <w:spacing w:after="0"/>
              <w:rPr>
                <w:sz w:val="20"/>
                <w:szCs w:val="20"/>
                <w:color w:val="auto"/>
              </w:rPr>
            </w:pPr>
            <w:r>
              <w:rPr>
                <w:rFonts w:ascii="Arial" w:cs="Arial" w:eastAsia="Arial" w:hAnsi="Arial"/>
                <w:sz w:val="18"/>
                <w:szCs w:val="18"/>
                <w:color w:val="auto"/>
              </w:rPr>
              <w:t>5.38</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Outstanding July 31, 2010</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1,543,912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10.86</w:t>
            </w:r>
          </w:p>
        </w:tc>
        <w:tc>
          <w:tcPr>
            <w:tcW w:w="14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Exercisable July 31, 2010</w:t>
            </w: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2"/>
            <w:vMerge w:val="restart"/>
          </w:tcPr>
          <w:p>
            <w:pPr>
              <w:jc w:val="right"/>
              <w:ind w:right="244"/>
              <w:spacing w:after="0"/>
              <w:rPr>
                <w:sz w:val="20"/>
                <w:szCs w:val="20"/>
                <w:color w:val="auto"/>
              </w:rPr>
            </w:pPr>
            <w:r>
              <w:rPr>
                <w:rFonts w:ascii="Arial" w:cs="Arial" w:eastAsia="Arial" w:hAnsi="Arial"/>
                <w:sz w:val="18"/>
                <w:szCs w:val="18"/>
                <w:color w:val="auto"/>
              </w:rPr>
              <w:t>13.28</w:t>
            </w:r>
          </w:p>
        </w:tc>
        <w:tc>
          <w:tcPr>
            <w:tcW w:w="1420" w:type="dxa"/>
            <w:vAlign w:val="bottom"/>
            <w:gridSpan w:val="2"/>
            <w:vMerge w:val="restart"/>
          </w:tcPr>
          <w:p>
            <w:pPr>
              <w:jc w:val="center"/>
              <w:ind w:left="430"/>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line="20" w:lineRule="exact"/>
              <w:rPr>
                <w:sz w:val="1"/>
                <w:szCs w:val="1"/>
                <w:color w:val="auto"/>
              </w:rPr>
            </w:pPr>
          </w:p>
        </w:tc>
      </w:tr>
      <w:tr>
        <w:trPr>
          <w:trHeight w:val="210"/>
        </w:trPr>
        <w:tc>
          <w:tcPr>
            <w:tcW w:w="70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944,156</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firstLine="222"/>
        <w:spacing w:after="0" w:line="297" w:lineRule="auto"/>
        <w:rPr>
          <w:sz w:val="20"/>
          <w:szCs w:val="20"/>
          <w:color w:val="auto"/>
        </w:rPr>
      </w:pPr>
      <w:r>
        <w:rPr>
          <w:rFonts w:ascii="Arial" w:cs="Arial" w:eastAsia="Arial" w:hAnsi="Arial"/>
          <w:sz w:val="16"/>
          <w:szCs w:val="16"/>
          <w:color w:val="auto"/>
        </w:rPr>
        <w:t>The total intrinsic value of outstanding and exercisable options as of July 31, 2010 was $76,000. As of July 31, 2010, approximately 600,000 additional options are expected to vest, which have $75,000 intrinsic value and a weighted average remaining contractual term of 9.1 years. There was approximately $301,000 of total recognized compensation cost for the three months ended July 31, 2010 related to stock options. As of July 31, 2010, there was approximately $2,695,000 of total unrecognized compensation cost related to non-vested stock options granted under the plans. This cost is expected to be recognized over a weighted-average period of 3.6 years. The Company normally issues new shares to satisfy option exercises under these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117"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Compensation expense for non-vested restricted stock was historically recorded based on its market value on the date of grant and recognized ratably over the associated service and performance period. During the three months ended July 31, 2010, there were 26,000 shares of non-vested restricted stock granted to employees with service and/or performance-based vesting requirements.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non-vested restricted stock under the plans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w w:val="87"/>
              </w:rPr>
              <w:t>of Shares</w:t>
            </w:r>
          </w:p>
        </w:tc>
        <w:tc>
          <w:tcPr>
            <w:tcW w:w="5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Issued and unvested at April 30, 2009</w:t>
            </w:r>
          </w:p>
        </w:tc>
        <w:tc>
          <w:tcPr>
            <w:tcW w:w="16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153,000</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26,000</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6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(5,000)</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Vested</w:t>
            </w:r>
          </w:p>
        </w:tc>
        <w:tc>
          <w:tcPr>
            <w:tcW w:w="54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(6,000)</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Issued and unvested at July 31, 2010</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168,000</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was approximately $110,000 of total recognized compensation cost for the three months ended July 31, 2010, related to restricted stock.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July 31, 2010, there was approximately $828,000 of total unrecognized compensation cost related to non-vested restricted stock granted under the plans.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 is expected to be recognized over a weighted average period of 2.4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Construction Agreement</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Company is currently engaged with Iberdrola Energias in discussions regarding modifications to its agreement for the first phase of the construction of a wave power project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July 31, 2010, the Company does not believe that the outcome of this matter will have a material adverse effect on the Company’s financial position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Segments and Geographic Information</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Australia, respectively. Revenues are generally attributed to the operating unit that bills the customers.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Geographic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North America</w:t>
            </w:r>
          </w:p>
        </w:tc>
        <w:tc>
          <w:tcPr>
            <w:tcW w:w="16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Europe</w:t>
            </w:r>
          </w:p>
        </w:tc>
        <w:tc>
          <w:tcPr>
            <w:tcW w:w="1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Australia</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July 31, 2010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1,452,135</w:t>
            </w:r>
          </w:p>
        </w:tc>
        <w:tc>
          <w:tcPr>
            <w:tcW w:w="1600" w:type="dxa"/>
            <w:vAlign w:val="bottom"/>
            <w:gridSpan w:val="2"/>
          </w:tcPr>
          <w:p>
            <w:pPr>
              <w:jc w:val="right"/>
              <w:ind w:right="540"/>
              <w:spacing w:after="0" w:line="256" w:lineRule="exact"/>
              <w:rPr>
                <w:sz w:val="20"/>
                <w:szCs w:val="20"/>
                <w:color w:val="auto"/>
              </w:rPr>
            </w:pPr>
            <w:r>
              <w:rPr>
                <w:rFonts w:ascii="Arial" w:cs="Arial" w:eastAsia="Arial" w:hAnsi="Arial"/>
                <w:sz w:val="18"/>
                <w:szCs w:val="18"/>
                <w:color w:val="auto"/>
              </w:rPr>
              <w:t>(77,728)</w:t>
            </w:r>
            <w:r>
              <w:rPr>
                <w:rFonts w:ascii="Arial" w:cs="Arial" w:eastAsia="Arial" w:hAnsi="Arial"/>
                <w:sz w:val="29"/>
                <w:szCs w:val="29"/>
                <w:color w:val="auto"/>
                <w:vertAlign w:val="superscript"/>
              </w:rPr>
              <w:t>(1)</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(5,732,219)</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(498,672)</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(37,644)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(6,268,535)</w:t>
            </w:r>
          </w:p>
        </w:tc>
        <w:tc>
          <w:tcPr>
            <w:tcW w:w="0" w:type="dxa"/>
            <w:vAlign w:val="bottom"/>
          </w:tcPr>
          <w:p>
            <w:pPr>
              <w:spacing w:after="0"/>
              <w:rPr>
                <w:sz w:val="1"/>
                <w:szCs w:val="1"/>
                <w:color w:val="auto"/>
              </w:rPr>
            </w:pPr>
          </w:p>
        </w:tc>
      </w:tr>
      <w:tr>
        <w:trPr>
          <w:trHeight w:val="432"/>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July 31, 2009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1,236,325</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74,612</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1,310,937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(2,853,585)</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(306,256)</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(81,120)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(3,240,961)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Long-lived assets</w:t>
            </w: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410,322</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243,279</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653,601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60,200,460</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5,712,980</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820,190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66,733,630</w:t>
            </w:r>
          </w:p>
        </w:tc>
        <w:tc>
          <w:tcPr>
            <w:tcW w:w="0" w:type="dxa"/>
            <w:vAlign w:val="bottom"/>
          </w:tcPr>
          <w:p>
            <w:pPr>
              <w:spacing w:after="0"/>
              <w:rPr>
                <w:sz w:val="1"/>
                <w:szCs w:val="1"/>
                <w:color w:val="auto"/>
              </w:rPr>
            </w:pPr>
          </w:p>
        </w:tc>
      </w:tr>
      <w:tr>
        <w:trPr>
          <w:trHeight w:val="432"/>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April 30, 2010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448,022</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262,541</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710,563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67,424,387</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4,684,104</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869,702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72,978,193</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See Note 2(c).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unaudited consolidated financial statements and related notes included in this Quarterly Report on Form 10-Q. References to a fiscal year in this Form 10-Q refer to the year ended April 30 of that year (e.g., fiscal 2011 refers to the year ending April 30,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 xml:space="preserve">We develop and are commercializing proprietary systems that generate electricity by harnessing the renewable energy of ocean waves. Our PowerBuoy </w:t>
      </w:r>
      <w:r>
        <w:rPr>
          <w:rFonts w:ascii="Arial" w:cs="Arial" w:eastAsia="Arial" w:hAnsi="Arial"/>
          <w:sz w:val="13"/>
          <w:szCs w:val="13"/>
          <w:color w:val="auto"/>
        </w:rPr>
        <w:t>®</w:t>
      </w:r>
      <w:r>
        <w:rPr>
          <w:rFonts w:ascii="Arial" w:cs="Arial" w:eastAsia="Arial" w:hAnsi="Arial"/>
          <w:sz w:val="16"/>
          <w:szCs w:val="16"/>
          <w:color w:val="auto"/>
        </w:rPr>
        <w:t xml:space="preserve"> systems use proprietary technologies to convert the mechanical energy created by the rising and falling of ocean waves into electricity. We currently offer two PowerBuoy products, which consist of our utility PowerBuoy system and our autonomous PowerBuoy system. We also offer our customers operations and maintenance services for our PowerBuoy systems, which are expected to provide a source of recurring revenues. In addition, we market our undersea substation pod and undersea power connection infrastructure services to other companies in the marine energy sector.</w:t>
      </w:r>
    </w:p>
    <w:p>
      <w:pPr>
        <w:spacing w:after="0" w:line="50"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80"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We were incorporated in New Jersey in April 1984, began commercial operations in 1994, and were re-incorporated in Delaware in 2007. We currently have three wholly-owned subsidiaries, which include Ocean Power Technologies Ltd., Reedsport OPT Wave Park LLC, and Oregon Wave Energy Partners I, LLC, and we own approximately 88% of the ordinary shares of Ocean Power Technologies (Australasia) Pty Ltd.</w:t>
      </w:r>
    </w:p>
    <w:p>
      <w:pPr>
        <w:spacing w:after="0" w:line="5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still on-going project for the development and testing of our wave power systems at the US Marine Corps Base in Oahu, Hawaii. We generated our first revenue relating to our autonomous PowerBuoy system from contracts with Lockheed Martin Corporation in fiscal 2003, and we entered into our first development and construction contract with Lockheed Martin in fiscal 2004 for the development and construction of a prototype demonstration autonomous PowerBuoy system.</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July 31, 2010, our backlog was $6.5 million, an increase of $0.8 million from April 30, 2010.</w:t>
      </w:r>
    </w:p>
    <w:p>
      <w:pPr>
        <w:spacing w:after="0" w:line="11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For the three months ended July 31, 2010, we generated revenues of $1.4 million and incurred a net loss attributable to Ocean Power Technologies, Inc. of $6.3 million, compared to revenues of $1.3 million and a net loss attributable to Ocean Power Technologies, Inc. of $2.1 million for the three months ended July 31, 2009. As of July 31, 2010, our accumulated deficit was $96.7 million. We have not been profitable since inception, and we do not know whether or when we will become profitable because of the significant uncertainties with respect to our ability to successfully commercialize our PowerBuoy systems in the emerging renewable energy market. Since fiscal 2002, the US Navy has accounted for a significant portion of our revenues. We expect that, over time, revenues derived from utilities and other non-government commercial customers will increase more rapidly than sales to government customers and may, over time, represent the majority of our revenues.</w:t>
      </w:r>
    </w:p>
    <w:p>
      <w:pPr>
        <w:spacing w:after="0" w:line="70"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marine energy industry, including wave, tidal and ocean current energy technologies, is expected to benefit from various legislative initiatives that have been undertaken or are planned by state and federal agencies. For example, the US production tax credit was expanded to include marine energy, as part of the Energy Improvement and Extension Act of 2008, signed into law in October 2008. Production tax credit provisions, that were previously in place, served only to benefit other renewable energy sources such as wind and solar. This legislation enables owners of wave power projects in the US to receive federal production tax credits, which, by their prospective effect of lowering income taxes for our customers based on energy produced, should improve the comparative economics of wave power as a renewable energy source.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Further, it is expected that the US federal and state governments will continue to increase their investments in the renewable energy sector under various economic stimulus measures. The American Recovery and Reinvestment Act of 2009 provides significant grants, tax incentives and policy initiatives to stimulate investment and innovation in the “cleantech” sector. The US Department of Energy (DOE) has also issued requests for proposals to be funded under government programs to further investment in marine energy technologies.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uncertainties surrounding the scope and size of these government programs, there can be no assurances as to whether we will be successful in obtaining significant additional government funding or as to the terms and conditions of any such funding.</w:t>
      </w:r>
    </w:p>
    <w:p>
      <w:pPr>
        <w:spacing w:after="0" w:line="58"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continued global economic downturn may have a negative effect on our business, financial condition and results of operations because the utility companies with which we contract or propose to contract may decrease their investment in new power generation equipment in response to the downturn.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In addition, we do not believe the recent global economic downturn will have a material negative impact on our sources of supply, as our products incorporate what are substantially non-custom, standard parts found in many regions of the world.</w:t>
      </w:r>
    </w:p>
    <w:p>
      <w:pPr>
        <w:spacing w:after="0" w:line="70" w:lineRule="exact"/>
        <w:rPr>
          <w:sz w:val="20"/>
          <w:szCs w:val="20"/>
          <w:color w:val="auto"/>
        </w:rPr>
      </w:pPr>
    </w:p>
    <w:p>
      <w:pPr>
        <w:jc w:val="both"/>
        <w:ind w:right="360" w:firstLine="215"/>
        <w:spacing w:after="0" w:line="264" w:lineRule="auto"/>
        <w:rPr>
          <w:sz w:val="20"/>
          <w:szCs w:val="20"/>
          <w:color w:val="auto"/>
        </w:rPr>
      </w:pPr>
      <w:r>
        <w:rPr>
          <w:rFonts w:ascii="Arial" w:cs="Arial" w:eastAsia="Arial" w:hAnsi="Arial"/>
          <w:sz w:val="18"/>
          <w:szCs w:val="18"/>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describes certain line items in our consolidated statements of operations and some of the factors that affect our operating results.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 of 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57" w:lineRule="exact"/>
        <w:rPr>
          <w:sz w:val="20"/>
          <w:szCs w:val="20"/>
          <w:color w:val="auto"/>
        </w:rPr>
      </w:pPr>
    </w:p>
    <w:p>
      <w:pPr>
        <w:ind w:right="80" w:firstLine="225"/>
        <w:spacing w:after="0" w:line="289" w:lineRule="auto"/>
        <w:rPr>
          <w:sz w:val="20"/>
          <w:szCs w:val="20"/>
          <w:color w:val="auto"/>
        </w:rPr>
      </w:pPr>
      <w:r>
        <w:rPr>
          <w:rFonts w:ascii="Arial" w:cs="Arial" w:eastAsia="Arial" w:hAnsi="Arial"/>
          <w:sz w:val="16"/>
          <w:szCs w:val="16"/>
          <w:color w:val="auto"/>
        </w:rPr>
        <w:t>Generally our contracts are either cost plus or fixed price contracts. Under cost plus contracts, we bill the customer for actual expenses incurred plus an agreed upon fee. Revenue is typically recorded using percentage-of-completion based on the maximum awarded contract amount. In certain cases, we may choose to incur costs in excess of the maximum awarded contract amount resulting in a loss on the contract. Currently, we have two types of fixed price contracts, firm fixed price and cost sharing. Under firm fixed price contracts, we receive an agreed upon amount for providing products and services that are specified in the contract. Revenue is typically recorded using percentage-of-completion based on the contract amount. Depending on whether actual costs are more or less than the agreed upon amount, there is a profit or loss on the project. Under cost sharing contracts, the fixed amount agreed upon with the customer is only intended to fund a portion of the costs on a specific project. We fund the remainder of the costs as part of our product development efforts. Revenue is typically recorded using percentage-of-completion based on the amount agreed upon with the customer. An amount corresponding to the revenue is recorded in cost of revenues resulting in gross profit on these contracts of zero. Our share of the costs is recorded as product development expense.</w:t>
      </w:r>
    </w:p>
    <w:p>
      <w:pPr>
        <w:spacing w:after="0" w:line="59" w:lineRule="exact"/>
        <w:rPr>
          <w:sz w:val="20"/>
          <w:szCs w:val="20"/>
          <w:color w:val="auto"/>
        </w:rPr>
      </w:pPr>
    </w:p>
    <w:p>
      <w:pPr>
        <w:jc w:val="both"/>
        <w:ind w:right="360" w:firstLine="222"/>
        <w:spacing w:after="0" w:line="264" w:lineRule="auto"/>
        <w:rPr>
          <w:sz w:val="20"/>
          <w:szCs w:val="20"/>
          <w:color w:val="auto"/>
        </w:rPr>
      </w:pPr>
      <w:r>
        <w:rPr>
          <w:rFonts w:ascii="Arial" w:cs="Arial" w:eastAsia="Arial" w:hAnsi="Arial"/>
          <w:sz w:val="18"/>
          <w:szCs w:val="18"/>
          <w:color w:val="auto"/>
        </w:rPr>
        <w:t>The US Navy has been our largest customer since fiscal 2002. The US Navy accounted for approximately 83% and 92% of our revenues for the three months ended July 31, 2010 and 2009, respectively. We anticipate that, if our commercialization efforts are successful, the relative contribution of the US Navy to our revenue may decline in the future.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breakdown of our revenues by customer for the three months ended July 31, 2010 and 2009: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July 31,</w:t>
            </w:r>
          </w:p>
        </w:tc>
        <w:tc>
          <w:tcPr>
            <w:tcW w:w="0" w:type="dxa"/>
            <w:vAlign w:val="bottom"/>
          </w:tcPr>
          <w:p>
            <w:pPr>
              <w:spacing w:after="0"/>
              <w:rPr>
                <w:sz w:val="1"/>
                <w:szCs w:val="1"/>
                <w:color w:val="auto"/>
              </w:rPr>
            </w:pPr>
          </w:p>
        </w:tc>
      </w:tr>
      <w:tr>
        <w:trPr>
          <w:trHeight w:val="119"/>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color w:val="auto"/>
              </w:rPr>
              <w:t>($ millions)</w:t>
            </w: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70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 Navy</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US Department of Energy</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Iberdrola S.A. and Total S.A.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Scottish Government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During the three months ended July 31, 2010, the Company reduced revenue by approximately $0.2 million due to a change in estimated revenue to be recognized in connection with the Spain construction agreement.</w:t>
      </w:r>
    </w:p>
    <w:p>
      <w:pPr>
        <w:spacing w:after="0" w:line="62" w:lineRule="exact"/>
        <w:rPr>
          <w:sz w:val="20"/>
          <w:szCs w:val="20"/>
          <w:color w:val="auto"/>
        </w:rPr>
      </w:pPr>
    </w:p>
    <w:p>
      <w:pPr>
        <w:ind w:right="60" w:firstLine="222"/>
        <w:spacing w:after="0" w:line="342" w:lineRule="auto"/>
        <w:rPr>
          <w:sz w:val="20"/>
          <w:szCs w:val="20"/>
          <w:color w:val="auto"/>
        </w:rPr>
      </w:pPr>
      <w:r>
        <w:rPr>
          <w:rFonts w:ascii="Arial" w:cs="Arial" w:eastAsia="Arial" w:hAnsi="Arial"/>
          <w:sz w:val="16"/>
          <w:szCs w:val="16"/>
          <w:color w:val="auto"/>
        </w:rPr>
        <w:t>We currently focus our sales and marketing efforts on North America, the west coast of Europe, Australia and the east coast of Japan. The following table provides information regarding the breakdown of our revenues by geographical location of our customers for the three months ended July 31, 2010 and 2009:</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Customer Location</w:t>
            </w:r>
          </w:p>
        </w:tc>
        <w:tc>
          <w:tcPr>
            <w:tcW w:w="230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9120" w:type="dxa"/>
            <w:vAlign w:val="bottom"/>
            <w:gridSpan w:val="3"/>
            <w:vMerge w:val="continue"/>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2010</w:t>
            </w:r>
          </w:p>
        </w:tc>
        <w:tc>
          <w:tcPr>
            <w:tcW w:w="7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some contracts.</w:t>
      </w:r>
    </w:p>
    <w:p>
      <w:pPr>
        <w:spacing w:after="0" w:line="39" w:lineRule="exact"/>
        <w:rPr>
          <w:sz w:val="20"/>
          <w:szCs w:val="20"/>
          <w:color w:val="auto"/>
        </w:rPr>
      </w:pPr>
    </w:p>
    <w:p>
      <w:pPr>
        <w:jc w:val="both"/>
        <w:ind w:right="20" w:firstLine="222"/>
        <w:spacing w:after="0" w:line="264" w:lineRule="auto"/>
        <w:rPr>
          <w:sz w:val="20"/>
          <w:szCs w:val="20"/>
          <w:color w:val="auto"/>
        </w:rPr>
      </w:pPr>
      <w:r>
        <w:rPr>
          <w:rFonts w:ascii="Arial" w:cs="Arial" w:eastAsia="Arial" w:hAnsi="Arial"/>
          <w:sz w:val="18"/>
          <w:szCs w:val="18"/>
          <w:color w:val="auto"/>
        </w:rPr>
        <w:t>We operated at a gross loss of $0.2 million for the three months ended July 31, 2010 and a gross profit of $0.3 million for the three months ended July 31, 2009. Our ability to generate a gross profit will depend on the nature of future contracts, our success at increasing sales of our PowerBuoy systems and on our ability to manage costs incurred on fixed price commercial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output of our utility PowerBuoy system, including the 150kW PowerBuoy system and to our research and development of new products, product applications and complementary technologies. We expense all of our product development costs as incurred, except for external patent costs, which we capitalize and amortize over a 17-year period commencing with the issuance date of each patent. Patents are reviewed for impairment whenever events or changes in circumstances indicate that the carrying amount of the patent may not be recoverable.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17" w:lineRule="exact"/>
        <w:rPr>
          <w:sz w:val="20"/>
          <w:szCs w:val="20"/>
          <w:color w:val="auto"/>
        </w:rPr>
      </w:pPr>
    </w:p>
    <w:p>
      <w:pPr>
        <w:ind w:right="660" w:firstLine="225"/>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Total cash, cash equivalents, restricted cash, and marketable securities were $60.8 million as of July 31, 2010, compared to $80.9 million as of July 31, 2009. Interest income in the three months ended July 31, 2010 decreased compared to the three months ended July 31, 2009 due to a decline in interest rates and a decline in cash, cash equivalents and marketable securities.</w:t>
      </w:r>
    </w:p>
    <w:p>
      <w:pPr>
        <w:spacing w:after="0" w:line="7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We anticipate that our interest income reported in fiscal 2011 will continue to be lower than the comparable periods of the prior fiscal year as a result of the decrease in invested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Other income consists of transactions that we consider to be outside the normal scope of our operations and operating activities. In the three months ended July 31, 2009, we recognized other income of $0.5 million in connection with the settlement of a claim which we had against a supplier that provided engineering services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7"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invest in certificates of deposit and maintain cash accounts that are denominated in British pounds, Euros and Australian dollars. These foreign-denominated certificates of deposit and cash accounts had a balance of $5.2 million as of July 31, 2010 and $9.9 million as of July 31, 2009, compared to our total cash, cash equivalents, restricted cash, and marketable security balances of $60.8 million as of July 31, 2010 and $80.9 million as of July 31, 2009. These foreign currency balances are translated at each month end to our functional currency, the US dollar, and any resulting gain or loss is recognized in our results of operations.</w:t>
      </w:r>
    </w:p>
    <w:p>
      <w:pPr>
        <w:spacing w:after="0" w:line="80"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months ended July 31, 2010 and 2009 were recorded in Euros, British pounds sterling or Australian dollars.</w:t>
      </w:r>
    </w:p>
    <w:p>
      <w:pPr>
        <w:spacing w:after="0" w:line="64"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2010 Compared to Three Months Ended July 31, 2009</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July 31, 2010 and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860" w:type="dxa"/>
            <w:vAlign w:val="bottom"/>
            <w:gridSpan w:val="5"/>
          </w:tcPr>
          <w:p>
            <w:pPr>
              <w:jc w:val="right"/>
              <w:ind w:right="1030"/>
              <w:spacing w:after="0"/>
              <w:rPr>
                <w:sz w:val="20"/>
                <w:szCs w:val="20"/>
                <w:color w:val="auto"/>
              </w:rPr>
            </w:pPr>
            <w:r>
              <w:rPr>
                <w:rFonts w:ascii="Arial" w:cs="Arial" w:eastAsia="Arial" w:hAnsi="Arial"/>
                <w:sz w:val="14"/>
                <w:szCs w:val="14"/>
                <w:b w:val="1"/>
                <w:bCs w:val="1"/>
                <w:color w:val="auto"/>
              </w:rPr>
              <w:t>Three Months Ended</w:t>
            </w:r>
          </w:p>
        </w:tc>
        <w:tc>
          <w:tcPr>
            <w:tcW w:w="2960" w:type="dxa"/>
            <w:vAlign w:val="bottom"/>
            <w:gridSpan w:val="4"/>
          </w:tcPr>
          <w:p>
            <w:pPr>
              <w:jc w:val="right"/>
              <w:ind w:right="109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July 31, 2010</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gridSpan w:val="4"/>
          </w:tcPr>
          <w:p>
            <w:pPr>
              <w:jc w:val="right"/>
              <w:ind w:right="1330"/>
              <w:spacing w:after="0"/>
              <w:rPr>
                <w:sz w:val="20"/>
                <w:szCs w:val="20"/>
                <w:color w:val="auto"/>
              </w:rPr>
            </w:pPr>
            <w:r>
              <w:rPr>
                <w:rFonts w:ascii="Arial" w:cs="Arial" w:eastAsia="Arial" w:hAnsi="Arial"/>
                <w:sz w:val="14"/>
                <w:szCs w:val="14"/>
                <w:b w:val="1"/>
                <w:bCs w:val="1"/>
                <w:color w:val="auto"/>
              </w:rPr>
              <w:t>July 31, 2009</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9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gridSpan w:val="2"/>
            <w:vMerge w:val="restart"/>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700" w:type="dxa"/>
            <w:vAlign w:val="bottom"/>
          </w:tcPr>
          <w:p>
            <w:pPr>
              <w:spacing w:after="0"/>
              <w:rPr>
                <w:sz w:val="10"/>
                <w:szCs w:val="10"/>
                <w:color w:val="auto"/>
              </w:rPr>
            </w:pPr>
          </w:p>
        </w:tc>
        <w:tc>
          <w:tcPr>
            <w:tcW w:w="88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vMerge w:val="restart"/>
          </w:tcPr>
          <w:p>
            <w:pPr>
              <w:spacing w:after="0"/>
              <w:rPr>
                <w:sz w:val="10"/>
                <w:szCs w:val="10"/>
                <w:color w:val="auto"/>
              </w:rPr>
            </w:pP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700" w:type="dxa"/>
            <w:vAlign w:val="bottom"/>
          </w:tcPr>
          <w:p>
            <w:pPr>
              <w:spacing w:after="0"/>
              <w:rPr>
                <w:sz w:val="10"/>
                <w:szCs w:val="10"/>
                <w:color w:val="auto"/>
              </w:rPr>
            </w:pPr>
          </w:p>
        </w:tc>
        <w:tc>
          <w:tcPr>
            <w:tcW w:w="10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2010 Period to</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7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48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w w:val="87"/>
              </w:rPr>
              <w:t xml:space="preserve">Revenues </w:t>
            </w:r>
            <w:r>
              <w:rPr>
                <w:rFonts w:ascii="Arial" w:cs="Arial" w:eastAsia="Arial" w:hAnsi="Arial"/>
                <w:sz w:val="14"/>
                <w:szCs w:val="14"/>
                <w:color w:val="auto"/>
                <w:w w:val="87"/>
              </w:rPr>
              <w:t>(1</w:t>
            </w:r>
            <w:r>
              <w:rPr>
                <w:rFonts w:ascii="Arial" w:cs="Arial" w:eastAsia="Arial" w:hAnsi="Arial"/>
                <w:sz w:val="14"/>
                <w:szCs w:val="14"/>
                <w:b w:val="1"/>
                <w:bCs w:val="1"/>
                <w:color w:val="auto"/>
                <w:w w:val="87"/>
              </w:rPr>
              <w:t>)</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2009 Period</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$ 1,374,407</w:t>
            </w:r>
          </w:p>
        </w:tc>
        <w:tc>
          <w:tcPr>
            <w:tcW w:w="600" w:type="dxa"/>
            <w:vAlign w:val="bottom"/>
            <w:tcBorders>
              <w:right w:val="single" w:sz="8" w:color="CCEEFF"/>
            </w:tcBorders>
            <w:gridSpan w:val="2"/>
            <w:shd w:val="clear" w:color="auto" w:fill="CCEEFF"/>
          </w:tcPr>
          <w:p>
            <w:pPr>
              <w:spacing w:after="0"/>
              <w:rPr>
                <w:sz w:val="18"/>
                <w:szCs w:val="18"/>
                <w:color w:val="auto"/>
              </w:rPr>
            </w:pPr>
          </w:p>
        </w:tc>
        <w:tc>
          <w:tcPr>
            <w:tcW w:w="13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100%</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$ 1,310,937</w:t>
            </w:r>
          </w:p>
        </w:tc>
        <w:tc>
          <w:tcPr>
            <w:tcW w:w="14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100%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tcPr>
          <w:p>
            <w:pPr>
              <w:jc w:val="right"/>
              <w:spacing w:after="0"/>
              <w:rPr>
                <w:sz w:val="20"/>
                <w:szCs w:val="20"/>
                <w:color w:val="auto"/>
              </w:rPr>
            </w:pPr>
            <w:r>
              <w:rPr>
                <w:rFonts w:ascii="Arial" w:cs="Arial" w:eastAsia="Arial" w:hAnsi="Arial"/>
                <w:sz w:val="18"/>
                <w:szCs w:val="18"/>
                <w:color w:val="auto"/>
              </w:rPr>
              <w:t>1,588,246</w:t>
            </w:r>
          </w:p>
        </w:tc>
        <w:tc>
          <w:tcPr>
            <w:tcW w:w="60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7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1,024,227</w:t>
            </w: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7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(loss) profit</w:t>
            </w:r>
          </w:p>
        </w:tc>
        <w:tc>
          <w:tcPr>
            <w:tcW w:w="15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(213,839)</w:t>
            </w:r>
          </w:p>
        </w:tc>
        <w:tc>
          <w:tcPr>
            <w:tcW w:w="13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(16)</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286,710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 costs</w:t>
            </w:r>
          </w:p>
        </w:tc>
        <w:tc>
          <w:tcPr>
            <w:tcW w:w="150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4,025,786</w:t>
            </w:r>
          </w:p>
        </w:tc>
        <w:tc>
          <w:tcPr>
            <w:tcW w:w="13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293</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1,361,400</w:t>
            </w:r>
          </w:p>
        </w:tc>
        <w:tc>
          <w:tcPr>
            <w:tcW w:w="14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104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Selling, general and administrative costs</w:t>
            </w:r>
          </w:p>
        </w:tc>
        <w:tc>
          <w:tcPr>
            <w:tcW w:w="900" w:type="dxa"/>
            <w:vAlign w:val="bottom"/>
          </w:tcPr>
          <w:p>
            <w:pPr>
              <w:jc w:val="right"/>
              <w:spacing w:after="0"/>
              <w:rPr>
                <w:sz w:val="20"/>
                <w:szCs w:val="20"/>
                <w:color w:val="auto"/>
              </w:rPr>
            </w:pPr>
            <w:r>
              <w:rPr>
                <w:rFonts w:ascii="Arial" w:cs="Arial" w:eastAsia="Arial" w:hAnsi="Arial"/>
                <w:sz w:val="18"/>
                <w:szCs w:val="18"/>
                <w:color w:val="auto"/>
              </w:rPr>
              <w:t>2,028,910</w:t>
            </w:r>
          </w:p>
        </w:tc>
        <w:tc>
          <w:tcPr>
            <w:tcW w:w="60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w:t>
            </w:r>
          </w:p>
        </w:tc>
        <w:tc>
          <w:tcPr>
            <w:tcW w:w="70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2,166,271</w:t>
            </w:r>
          </w:p>
        </w:tc>
        <w:tc>
          <w:tcPr>
            <w:tcW w:w="1480" w:type="dxa"/>
            <w:vAlign w:val="bottom"/>
            <w:gridSpan w:val="2"/>
          </w:tcPr>
          <w:p>
            <w:pPr>
              <w:jc w:val="right"/>
              <w:ind w:right="610"/>
              <w:spacing w:after="0"/>
              <w:rPr>
                <w:sz w:val="20"/>
                <w:szCs w:val="20"/>
                <w:color w:val="auto"/>
              </w:rPr>
            </w:pPr>
            <w:r>
              <w:rPr>
                <w:rFonts w:ascii="Arial" w:cs="Arial" w:eastAsia="Arial" w:hAnsi="Arial"/>
                <w:sz w:val="18"/>
                <w:szCs w:val="18"/>
                <w:color w:val="auto"/>
              </w:rPr>
              <w:t>165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6,054,696</w:t>
            </w:r>
          </w:p>
        </w:tc>
        <w:tc>
          <w:tcPr>
            <w:tcW w:w="600" w:type="dxa"/>
            <w:vAlign w:val="bottom"/>
            <w:tcBorders>
              <w:right w:val="single" w:sz="8" w:color="CCEEFF"/>
            </w:tcBorders>
            <w:gridSpan w:val="2"/>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3,527,671</w:t>
            </w:r>
          </w:p>
        </w:tc>
        <w:tc>
          <w:tcPr>
            <w:tcW w:w="14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269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Operating loss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(6,268,535)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(3,240,961)</w:t>
            </w:r>
          </w:p>
        </w:tc>
        <w:tc>
          <w:tcPr>
            <w:tcW w:w="6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7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50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237,465</w:t>
            </w:r>
          </w:p>
        </w:tc>
        <w:tc>
          <w:tcPr>
            <w:tcW w:w="13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17</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285,220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income</w:t>
            </w:r>
          </w:p>
        </w:tc>
        <w:tc>
          <w:tcPr>
            <w:tcW w:w="15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506,630</w:t>
            </w: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7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150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(239,002)</w:t>
            </w:r>
          </w:p>
        </w:tc>
        <w:tc>
          <w:tcPr>
            <w:tcW w:w="13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(17)</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401,691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(6,270,072)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(2,047,420)</w:t>
            </w:r>
          </w:p>
        </w:tc>
        <w:tc>
          <w:tcPr>
            <w:tcW w:w="6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7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2"/>
        </w:trPr>
        <w:tc>
          <w:tcPr>
            <w:tcW w:w="45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Net loss (income) attributable to the</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 in Ocean Power</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Technologies (Australasia) Pty Ltd</w:t>
            </w:r>
          </w:p>
        </w:tc>
        <w:tc>
          <w:tcPr>
            <w:tcW w:w="150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3,479</w:t>
            </w:r>
          </w:p>
        </w:tc>
        <w:tc>
          <w:tcPr>
            <w:tcW w:w="136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(51,057)</w:t>
            </w:r>
          </w:p>
        </w:tc>
        <w:tc>
          <w:tcPr>
            <w:tcW w:w="14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(6,266,593</w:t>
            </w:r>
          </w:p>
        </w:tc>
        <w:tc>
          <w:tcPr>
            <w:tcW w:w="600" w:type="dxa"/>
            <w:vAlign w:val="bottom"/>
            <w:gridSpan w:val="2"/>
          </w:tcPr>
          <w:p>
            <w:pPr>
              <w:jc w:val="right"/>
              <w:ind w:right="54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7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(2,098,477</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Certain subtotals may not add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Revenues increased by $0.1 million in the three months ended July 31, 2010, or 5%, to $1.4 million, as compared to $1.3 million in the three months ended July 31, 2009. The change in revenues was attributable to the following factors:</w:t>
      </w:r>
    </w:p>
    <w:p>
      <w:pPr>
        <w:spacing w:after="0" w:line="62" w:lineRule="exact"/>
        <w:rPr>
          <w:sz w:val="20"/>
          <w:szCs w:val="20"/>
          <w:color w:val="auto"/>
        </w:rPr>
      </w:pPr>
    </w:p>
    <w:p>
      <w:pPr>
        <w:ind w:left="540" w:right="240" w:hanging="316"/>
        <w:spacing w:after="0" w:line="264" w:lineRule="auto"/>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increased by $0.4 million as a result an increase in billable work on our project to provide our PowerBuoy technology to the US Navy’s Littoral Expeditionary Autonomous PowerBuoy, or LEAP, program. This was partially offset by a decrease in billable work on the US Navy’s Deep Water Active Detection System.</w:t>
      </w:r>
    </w:p>
    <w:p>
      <w:pPr>
        <w:spacing w:after="0" w:line="86" w:lineRule="exact"/>
        <w:rPr>
          <w:rFonts w:ascii="Arial" w:cs="Arial" w:eastAsia="Arial" w:hAnsi="Arial"/>
          <w:sz w:val="18"/>
          <w:szCs w:val="18"/>
          <w:b w:val="1"/>
          <w:bCs w:val="1"/>
          <w:color w:val="auto"/>
        </w:rPr>
      </w:pPr>
    </w:p>
    <w:p>
      <w:pPr>
        <w:ind w:left="540" w:right="20" w:hanging="316"/>
        <w:spacing w:after="0" w:line="276" w:lineRule="auto"/>
        <w:tabs>
          <w:tab w:leader="none" w:pos="54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Revenues relating to our utility PowerBuoy system decreased by $0.3 million due primarily to a decrease in billable work on our wave power project off the coast of Spain, as work under this phase of the project neared completion, and to a reduction during the three months ended July 31, 2010 in revenue by approximately $0.2 million due to a change in estimated revenue to be recognized in connection with the Spain construction agreement. In addition, there was a decrease in revenue related to our Hawaii project for the US Navy, partially offset by an increase in revenue related to our project off the coast of Reedsport, Oregon and our project in Orkney, Scotland.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Cost of revenues increased by $0.6 million, or 55%, to $1.6 million in the three months ended July 31, 2010, as compared to $1.0 million in the three months ended July 31, 2009. This increase in the cost of revenue reflected the increased activity related to the LEAP program, the 150kW PowerBuoy project off the coast of Reedsport, Oregon, and our 150kW PowerBuoy project in Scotland, offset by a lower level of activity on our Hawaii project for the US Navy and our wave power project off the coast of Spain.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operated at a gross loss of $0.2 million in the three months ended July 31, 2010 and a gross profit of $0.3 million in the three months ended July 31, 2009. Certain of our projects in the three months ended July 31, 2010 and 2009 were under cost sharing contracts. Under cost sharing contracts, we receive a fixed amount agreed upon with the customer that is only intended to fund a portion of the costs on a specific project. We fund the remainder of the costs as part of our product development efforts. Revenue is typically recorded using percentage-of-completion based on the amount agreed upon with the customer. An equal amount corresponding to the revenue is recorded in cost of revenues resulting in gross profit on these contracts of zero. Our share of the costs is considered to be product development expense. During the three months ended July 31, 2010, we reduced revenue by approximately $0.2 million due to a change in estimated revenue to be recognized in connection with the Spain construction agreement, and there was no corresponding reduction in cost of revenues. Our ability to generate a gross profit will depend on the nature of future contracts, our success at increasing sales of our PowerBuoy systems and on our ability to manage costs incurred on fixed price commercial contracts.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Product development costs increased by $2.6 million, or 196%, to $4.0 million in the three months ended July 31, 2010 as compared to $1.4 million in the three months ended July 31, 2009. Product development costs were primarily attributable to our efforts to increase the power output and reliability of our utility PowerBuoy system, especially the 150kW PowerBuoy system. It is our intent to fund the majority of our research and development expenses over the next several years with sources of external funding. If we are unable to obtain external funding, we may curtail our research and development expenses or we may decide to self-fund significant research and development expenses, in which case our product development costs may continue to increase.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Selling, general and administrative costs decreased $0.2 million, or 6%, to $2.0 million for the three months ended July 31, 2010, as compared to</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$2.2 million for the three months ended July 31, 2009. The decrease was primarily attributable to a decrease in legal, accounting and travel expenses partially offset by increased marketing and business development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Interest income decreased by $0.1 million, or 17%, to $0.2 million for the three months ended July 31, 2010, compared to $0.3 million for the three months ended July 31, 2009, due to a decrease in cash, cash equivalents and marketable securities. The average yield was approximately 1.49% during the three months ended July 31, 2010 and 1.39% during the three months ended July 31,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222"/>
        <w:spacing w:after="0" w:line="342" w:lineRule="auto"/>
        <w:rPr>
          <w:sz w:val="20"/>
          <w:szCs w:val="20"/>
          <w:color w:val="auto"/>
        </w:rPr>
      </w:pPr>
      <w:r>
        <w:rPr>
          <w:rFonts w:ascii="Arial" w:cs="Arial" w:eastAsia="Arial" w:hAnsi="Arial"/>
          <w:sz w:val="16"/>
          <w:szCs w:val="16"/>
          <w:color w:val="auto"/>
        </w:rPr>
        <w:t>We recognized no other income for the three months ended July 31, 2010, compared to $0.5 million for the three months ended July 31, 2009. During the three months ended July 31, 2009, we settled a claim which we had against a supplier of engineering services, which resulted in a settlement in our favor.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 gain</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Foreign exchange loss was $0.2 million for the three months ended July 31, 2010, compared to a foreign exchange gain of $0.4 million for the three months ended July 31, 2009. The difference was primarily attributable to the relative change in value of the British pound sterling, Euro and Australian dollar compared to the US dollar during the two periods.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three years ended April 30, 2010, our revenues were $13.9 million, our net losses were $52.1 million and our net cash used in operating activities was $46.1 million.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July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(6,270,072)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(2,047,420)</w:t>
            </w: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Adjustments for noncash operating items</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772,510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79,500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(5,497,562)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(1,967,920)</w:t>
            </w: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Net change in operating assets and liabilities</w:t>
            </w:r>
          </w:p>
        </w:tc>
        <w:tc>
          <w:tcPr>
            <w:tcW w:w="100" w:type="dxa"/>
            <w:vAlign w:val="bottom"/>
          </w:tcPr>
          <w:p>
            <w:pPr>
              <w:spacing w:after="0"/>
              <w:rPr>
                <w:sz w:val="24"/>
                <w:szCs w:val="2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(563,624)</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(484,010)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(6,061,186)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(2,451,930)</w:t>
            </w:r>
          </w:p>
        </w:tc>
        <w:tc>
          <w:tcPr>
            <w:tcW w:w="0" w:type="dxa"/>
            <w:vAlign w:val="bottom"/>
          </w:tcPr>
          <w:p>
            <w:pPr>
              <w:spacing w:after="0"/>
              <w:rPr>
                <w:sz w:val="1"/>
                <w:szCs w:val="1"/>
                <w:color w:val="auto"/>
              </w:rPr>
            </w:pPr>
          </w:p>
        </w:tc>
      </w:tr>
      <w:tr>
        <w:trPr>
          <w:trHeight w:val="20"/>
        </w:trPr>
        <w:tc>
          <w:tcPr>
            <w:tcW w:w="88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6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5,610,581</w:t>
            </w: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(5,261,314)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243,992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(93,398)</w:t>
            </w:r>
          </w:p>
        </w:tc>
        <w:tc>
          <w:tcPr>
            <w:tcW w:w="0" w:type="dxa"/>
            <w:vAlign w:val="bottom"/>
          </w:tcPr>
          <w:p>
            <w:pPr>
              <w:spacing w:after="0"/>
              <w:rPr>
                <w:sz w:val="1"/>
                <w:szCs w:val="1"/>
                <w:color w:val="auto"/>
              </w:rPr>
            </w:pPr>
          </w:p>
        </w:tc>
      </w:tr>
      <w:tr>
        <w:trPr>
          <w:trHeight w:val="20"/>
        </w:trPr>
        <w:tc>
          <w:tcPr>
            <w:tcW w:w="88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60" w:type="dxa"/>
            <w:vAlign w:val="bottom"/>
            <w:gridSpan w:val="2"/>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(104,384)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875,568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121"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Net cash used in operating activities was $6.1 million and $2.5 million for the three months ended July 31, 2010 and 2009, respectively. The change was the result of an increase in net loss of $4.2 million, an increase in non-cash charges of $0.7 million and an increase in cash used in operating assets and liabilities of $0.1 million.</w:t>
      </w:r>
    </w:p>
    <w:p>
      <w:pPr>
        <w:spacing w:after="0" w:line="73"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change in non-cash charges was primarily due to a change in foreign exchange gains (losses) of $0.6 million due to the relative change in the value of the British pound sterling against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investing activities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cash provided by investing activities was $5.6 million for the three months ended July 31, 2010 and net cash used in investing activities was</w:t>
      </w:r>
    </w:p>
    <w:p>
      <w:pPr>
        <w:spacing w:after="0" w:line="3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$5.3 million for the three months ended July 31, 2009. The change was primarily the result of a net decrease in purchases of securities during the three months ended July 31,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cash provided by financing activities was $0.2 million in the three months ended July 31, 2010 and net cash used in financing activities was</w:t>
      </w:r>
    </w:p>
    <w:p>
      <w:pPr>
        <w:spacing w:after="0" w:line="3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$0.1 million in the three months ended July 31, 2009. During the three months ended July 31, 2010, we received a $0.25 million loan under the New Jersey Board of Public Utilities Renewable Energy Business Venture Assistance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12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effect of exchange rates on cash and cash equivalents was a loss of $0.1 million in the three months ended July 31, 2010 and a gain of $0.9 million in the three months ended July 31, 2009. The change was primarily the result of gains or losses on consolidation of foreign subsidiaries and foreign denominated cash and cash equivalents.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121"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commercialization of the PowerBuoy system. Our future capital requirements will depend on a number of factors, including:</w:t>
      </w:r>
    </w:p>
    <w:p>
      <w:pPr>
        <w:spacing w:after="0" w:line="73"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 of development efforts for our PowerBuoy systems;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success of our commercial relationships with major customers;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 of manufacturing activities;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 of commercialization activities, including demonstration projects, product marketing and sales;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establish and maintain additional commercial relationships;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implementation of our expansion plans, including the hiring of new employees;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potential acquisitions of other products or technologies;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believe that our current cash, cash equivalents and investments will be sufficient to meet our anticipated cash needs for working capital and capital expenditures at least through fiscal 2012.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marketing efforts, which could harm our financial condition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We generally place our investments in money market funds, Treasury notes, Treasury bills and certificates of deposit with maturities of less than one year. We actively manage our portfolio of cash equivalents and marketable securities, but in order to ensure liquidity, we will only invest in instruments with high credit quality where a secondary market exists. We have not held and do not hold any derivatives related to our interest rate exposure. Due to the average maturity and conservative nature of our investment portfolio, a change in interest rates would not have a material effect on the value of the portfolio. We do not have market risk exposure on our long-term debt because it consists of an interest-free loan from the New Jersey Board of Public Utilities.</w:t>
      </w:r>
    </w:p>
    <w:p>
      <w:pPr>
        <w:spacing w:after="0" w:line="50"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We estimate that if the average yield on our cash, cash equivalents and marketable securities had decreased by 100 basis points, during the three months ended July 31, 2010, our interest income for the period would have decreased by approximately $0.2 million. This estimate assumes that the decrease occurred on the first day of the fiscal period and reduced the yield of each investment by 100 basis points. The impact on our future interest income of future changes in investment yields will depend largely on the gross amount of our cash, cash equivalents and marketable securities.</w:t>
      </w:r>
    </w:p>
    <w:p>
      <w:pPr>
        <w:spacing w:after="0" w:line="63"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63"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We maintain cash accounts that are denominated in British pounds sterling, Euros and Australian dollars. These foreign-denominated cash accounts had a balance of $5.2 million as of July 31, 2010 compared to our total cash, cash equivalents, marketable securities and restricted cash account balances of $60.8 million as of July 31, 2010. These foreign currency balances are translated at each month end to our functional currency, the US dollar, and any resulting gain or loss is recognized in our results of operations. If foreign currency exchange rates had fluctuated by 10% as of July 31, 2010, the impact on our foreign exchange gains and losses would have been $0.5 million.</w:t>
      </w:r>
    </w:p>
    <w:p>
      <w:pPr>
        <w:spacing w:after="0" w:line="80"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months ended July 31, 2010 were recorded in Euros, British pounds sterling or Australian dollars.</w:t>
      </w:r>
    </w:p>
    <w:p>
      <w:pPr>
        <w:spacing w:after="0" w:line="64"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currently do not hedge exchange rate exposure. However, we assess the anticipated foreign currency working capital requirements and capital asset acquisitions of our foreign operations and attempt to maintain a portion of our cash, cash equivalents and certificates of deposit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50"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July 31, 2010, our Chief Executive Officer and Chief Financial Officer concluded that our disclosure controls and procedures are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 w:firstLine="225"/>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July 31, 2010 that has materially affected, or is reasonably likely to materially affect, our internal control over financial reporting.</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2010.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14, 2010.</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6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r>
        <w:rPr>
          <w:rFonts w:ascii="Arial" w:cs="Arial" w:eastAsia="Arial" w:hAnsi="Arial"/>
          <w:sz w:val="18"/>
          <w:szCs w:val="18"/>
          <w:b w:val="1"/>
          <w:bCs w:val="1"/>
          <w:color w:val="auto"/>
        </w:rPr>
        <w:t xml:space="preserve"> Use of Proceeds</w:t>
      </w:r>
    </w:p>
    <w:p>
      <w:pPr>
        <w:ind w:firstLine="225"/>
        <w:spacing w:after="0" w:line="255" w:lineRule="auto"/>
        <w:rPr>
          <w:sz w:val="20"/>
          <w:szCs w:val="20"/>
          <w:color w:val="auto"/>
        </w:rPr>
      </w:pPr>
      <w:r>
        <w:rPr>
          <w:rFonts w:ascii="Arial" w:cs="Arial" w:eastAsia="Arial" w:hAnsi="Arial"/>
          <w:sz w:val="18"/>
          <w:szCs w:val="18"/>
          <w:color w:val="auto"/>
        </w:rPr>
        <w:t>On April 30, 2007, we sold 5,000,000 shares of our common stock in our initial public offering in the United States at a price of $20.00 per share, pursuant to a registration statement on Form S-1 (File No. 333-138595), which was declared effective by the SEC on April 24, 2007. The managing underwriters in the offering were UBS Securities LLC, Banc of America Securities LLC, and Bear, Stearns &amp; Co., Inc. The underwriting discounts and commissions and offering expenses payable by us aggregated $10.1 million, resulting in net proceeds to us of $89.9 million. None of the underwriting discounts and commissions or offering costs were incurred or paid to directors or officers of ours or their associates or to persons owning ten percent or more of our common stock or to any affiliates of ours.</w:t>
      </w:r>
    </w:p>
    <w:p>
      <w:pPr>
        <w:spacing w:after="0" w:line="85"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From the effective date of the registration statement through July 31, 2010, we used $4.4 million to construct demonstration PowerBuoys, $21.4 million to fund the continued development and commercialization of our PowerBuoy system, $4.4 million to expand our sales and marketing capabilities and</w:t>
      </w:r>
    </w:p>
    <w:p>
      <w:pPr>
        <w:ind w:right="60"/>
        <w:spacing w:after="0" w:line="253" w:lineRule="auto"/>
        <w:rPr>
          <w:sz w:val="20"/>
          <w:szCs w:val="20"/>
          <w:color w:val="auto"/>
        </w:rPr>
      </w:pPr>
      <w:r>
        <w:rPr>
          <w:rFonts w:ascii="Arial" w:cs="Arial" w:eastAsia="Arial" w:hAnsi="Arial"/>
          <w:sz w:val="18"/>
          <w:szCs w:val="18"/>
          <w:color w:val="auto"/>
        </w:rPr>
        <w:t>$0.7 million to fund the expansion of assembly, test and field service facilities. We have invested the balance of the net proceeds from the offering in marketable securities, in accordance with our investment policy. We have not used any of the net proceeds from the offering to make payments, directly or indirectly, to any director or officer of ours, or any of their associates, to any person owning ten percent or more of our common stock or to any affiliate of ours. There has been no material change in our planned use of the balance of the net proceeds from the offering as described in our final prospectus filed with the SEC pursuant to Rule 424(b) under the Securities Act of 1933.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1074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1074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10740" w:type="dxa"/>
            <w:vAlign w:val="bottom"/>
          </w:tcPr>
          <w:p>
            <w:pPr>
              <w:ind w:left="3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10740" w:type="dxa"/>
            <w:vAlign w:val="bottom"/>
          </w:tcPr>
          <w:p>
            <w:pPr>
              <w:ind w:left="3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05"/>
        </w:trPr>
        <w:tc>
          <w:tcPr>
            <w:tcW w:w="680" w:type="dxa"/>
            <w:vAlign w:val="bottom"/>
          </w:tcPr>
          <w:p>
            <w:pPr>
              <w:spacing w:after="0"/>
              <w:rPr>
                <w:sz w:val="24"/>
                <w:szCs w:val="24"/>
                <w:color w:val="auto"/>
              </w:rPr>
            </w:pPr>
          </w:p>
        </w:tc>
        <w:tc>
          <w:tcPr>
            <w:tcW w:w="10740" w:type="dxa"/>
            <w:vAlign w:val="bottom"/>
          </w:tcPr>
          <w:p>
            <w:pPr>
              <w:ind w:left="4940"/>
              <w:spacing w:after="0"/>
              <w:rPr>
                <w:sz w:val="20"/>
                <w:szCs w:val="20"/>
                <w:color w:val="auto"/>
              </w:rPr>
            </w:pPr>
            <w:r>
              <w:rPr>
                <w:rFonts w:ascii="Arial" w:cs="Arial" w:eastAsia="Arial" w:hAnsi="Arial"/>
                <w:sz w:val="18"/>
                <w:szCs w:val="18"/>
                <w:color w:val="auto"/>
              </w:rPr>
              <w:t>29</w:t>
            </w:r>
          </w:p>
        </w:tc>
      </w:tr>
      <w:tr>
        <w:trPr>
          <w:trHeight w:val="226"/>
        </w:trPr>
        <w:tc>
          <w:tcPr>
            <w:tcW w:w="680" w:type="dxa"/>
            <w:vAlign w:val="bottom"/>
            <w:tcBorders>
              <w:bottom w:val="single" w:sz="8" w:color="808080"/>
            </w:tcBorders>
          </w:tcPr>
          <w:p>
            <w:pPr>
              <w:spacing w:after="0"/>
              <w:rPr>
                <w:sz w:val="19"/>
                <w:szCs w:val="19"/>
                <w:color w:val="auto"/>
              </w:rPr>
            </w:pPr>
          </w:p>
        </w:tc>
        <w:tc>
          <w:tcPr>
            <w:tcW w:w="10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Charles F. Dunleavy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2010</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Brian M. Posner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2010</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560" w:type="dxa"/>
            <w:vAlign w:val="bottom"/>
          </w:tcPr>
          <w:p>
            <w:pPr>
              <w:ind w:left="4280"/>
              <w:spacing w:after="0"/>
              <w:rPr>
                <w:sz w:val="20"/>
                <w:szCs w:val="20"/>
                <w:color w:val="auto"/>
              </w:rPr>
            </w:pPr>
            <w:r>
              <w:rPr>
                <w:rFonts w:ascii="Arial" w:cs="Arial" w:eastAsia="Arial" w:hAnsi="Arial"/>
                <w:sz w:val="18"/>
                <w:szCs w:val="18"/>
                <w:b w:val="1"/>
                <w:bCs w:val="1"/>
                <w:color w:val="auto"/>
              </w:rPr>
              <w:t>EXHIBITS INDEX</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7560" w:type="dxa"/>
            <w:vAlign w:val="bottom"/>
          </w:tcPr>
          <w:p>
            <w:pPr>
              <w:ind w:left="360"/>
              <w:spacing w:after="0"/>
              <w:rPr>
                <w:sz w:val="20"/>
                <w:szCs w:val="20"/>
                <w:color w:val="auto"/>
              </w:rPr>
            </w:pPr>
            <w:r>
              <w:rPr>
                <w:rFonts w:ascii="Arial" w:cs="Arial" w:eastAsia="Arial" w:hAnsi="Arial"/>
                <w:sz w:val="18"/>
                <w:szCs w:val="18"/>
                <w:color w:val="auto"/>
                <w:w w:val="92"/>
              </w:rPr>
              <w:t>Certification of Chief Executive Officer pursuant to Section 302 of the Sarbanes-Oxley Act of 2002</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7560" w:type="dxa"/>
            <w:vAlign w:val="bottom"/>
          </w:tcPr>
          <w:p>
            <w:pPr>
              <w:ind w:left="360"/>
              <w:spacing w:after="0"/>
              <w:rPr>
                <w:sz w:val="20"/>
                <w:szCs w:val="20"/>
                <w:color w:val="auto"/>
              </w:rPr>
            </w:pPr>
            <w:r>
              <w:rPr>
                <w:rFonts w:ascii="Arial" w:cs="Arial" w:eastAsia="Arial" w:hAnsi="Arial"/>
                <w:sz w:val="18"/>
                <w:szCs w:val="18"/>
                <w:color w:val="auto"/>
                <w:w w:val="92"/>
              </w:rPr>
              <w:t>Certification of Chief Financial Officer pursuant to Section 302 of the Sarbanes-Oxley Act of 2002</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32.1</w:t>
            </w:r>
          </w:p>
        </w:tc>
        <w:tc>
          <w:tcPr>
            <w:tcW w:w="7560" w:type="dxa"/>
            <w:vAlign w:val="bottom"/>
          </w:tcPr>
          <w:p>
            <w:pPr>
              <w:ind w:left="36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32.2</w:t>
            </w:r>
          </w:p>
        </w:tc>
        <w:tc>
          <w:tcPr>
            <w:tcW w:w="7560" w:type="dxa"/>
            <w:vAlign w:val="bottom"/>
          </w:tcPr>
          <w:p>
            <w:pPr>
              <w:ind w:left="36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r>
        <w:trPr>
          <w:trHeight w:val="405"/>
        </w:trPr>
        <w:tc>
          <w:tcPr>
            <w:tcW w:w="680" w:type="dxa"/>
            <w:vAlign w:val="bottom"/>
          </w:tcPr>
          <w:p>
            <w:pPr>
              <w:spacing w:after="0"/>
              <w:rPr>
                <w:sz w:val="24"/>
                <w:szCs w:val="24"/>
                <w:color w:val="auto"/>
              </w:rPr>
            </w:pPr>
          </w:p>
        </w:tc>
        <w:tc>
          <w:tcPr>
            <w:tcW w:w="7560" w:type="dxa"/>
            <w:vAlign w:val="bottom"/>
          </w:tcPr>
          <w:p>
            <w:pPr>
              <w:ind w:left="494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0219"/>
          </w:cols>
          <w:pgMar w:left="240" w:top="419"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220" w:right="2520" w:firstLine="2303"/>
        <w:spacing w:after="0" w:line="378" w:lineRule="auto"/>
        <w:rPr>
          <w:sz w:val="20"/>
          <w:szCs w:val="20"/>
          <w:color w:val="auto"/>
        </w:rPr>
      </w:pPr>
      <w:r>
        <w:rPr>
          <w:rFonts w:ascii="Arial" w:cs="Arial" w:eastAsia="Arial" w:hAnsi="Arial"/>
          <w:sz w:val="18"/>
          <w:szCs w:val="18"/>
          <w:b w:val="1"/>
          <w:bCs w:val="1"/>
          <w:color w:val="auto"/>
        </w:rPr>
        <w:t xml:space="preserve">CERTIFICATION PURSUANT TO SECTION 302 OF SARBANES-OXLEY ACT </w:t>
      </w:r>
      <w:r>
        <w:rPr>
          <w:rFonts w:ascii="Arial" w:cs="Arial" w:eastAsia="Arial" w:hAnsi="Arial"/>
          <w:sz w:val="18"/>
          <w:szCs w:val="18"/>
          <w:color w:val="auto"/>
        </w:rPr>
        <w:t>I, Charles F. Dunleavy, certify that:</w:t>
      </w: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314"/>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5" w:lineRule="exact"/>
        <w:rPr>
          <w:rFonts w:ascii="Arial" w:cs="Arial" w:eastAsia="Arial" w:hAnsi="Arial"/>
          <w:sz w:val="16"/>
          <w:szCs w:val="16"/>
          <w:color w:val="auto"/>
        </w:rPr>
      </w:pPr>
    </w:p>
    <w:p>
      <w:pPr>
        <w:ind w:left="1000" w:right="100" w:hanging="317"/>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Charles F. Dunleavy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2010</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 Brian M. Posner, certify that:</w:t>
      </w:r>
    </w:p>
    <w:p>
      <w:pPr>
        <w:spacing w:after="0" w:line="117"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314"/>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00" w:right="20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000" w:right="52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000" w:right="680" w:hanging="317"/>
        <w:spacing w:after="0" w:line="342"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00" w:right="200" w:hanging="317"/>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314"/>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5" w:lineRule="exact"/>
        <w:rPr>
          <w:rFonts w:ascii="Arial" w:cs="Arial" w:eastAsia="Arial" w:hAnsi="Arial"/>
          <w:sz w:val="16"/>
          <w:szCs w:val="16"/>
          <w:color w:val="auto"/>
        </w:rPr>
      </w:pPr>
    </w:p>
    <w:p>
      <w:pPr>
        <w:ind w:left="1000" w:right="100" w:hanging="317"/>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M. Posner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2010</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2010, as filed with the Securities and Exchange Commission on the date hereof (the “Report”), the undersigned, Charles F. Dunleavy, Chief Executive Officer of the Company, hereby certifies, pursuant to 18 U.S.C. Section 1350, that:</w:t>
      </w:r>
    </w:p>
    <w:p>
      <w:pPr>
        <w:spacing w:after="0" w:line="73" w:lineRule="exact"/>
        <w:rPr>
          <w:sz w:val="20"/>
          <w:szCs w:val="20"/>
          <w:color w:val="auto"/>
        </w:rPr>
      </w:pPr>
    </w:p>
    <w:p>
      <w:pPr>
        <w:ind w:left="660" w:hanging="31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Charles F. Dunleavy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2010</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2010, as filed with the Securities and Exchange Commission on the date hereof (the “Report”), the undersigned, Brian M. Posner, Chief Financial Officer of the Company, hereby certifies, pursuant to 18 U.S.C. Section 1350, that:</w:t>
      </w:r>
    </w:p>
    <w:p>
      <w:pPr>
        <w:spacing w:after="0" w:line="73"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M. Posner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2019-12-11T03:22:24Z</dcterms:created>
  <dcterms:modified xsi:type="dcterms:W3CDTF">2019-12-11T03:22:24Z</dcterms:modified>
</cp:coreProperties>
</file>