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51" w:lineRule="exact"/>
        <w:rPr>
          <w:sz w:val="24"/>
          <w:szCs w:val="24"/>
          <w:color w:val="auto"/>
        </w:rPr>
      </w:pPr>
    </w:p>
    <w:p>
      <w:pPr>
        <w:ind w:left="1380" w:right="1240" w:hanging="656"/>
        <w:spacing w:after="0" w:line="263" w:lineRule="auto"/>
        <w:tabs>
          <w:tab w:leader="none" w:pos="13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April 30, 2017</w:t>
      </w:r>
    </w:p>
    <w:p>
      <w:pPr>
        <w:spacing w:after="0" w:line="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1380" w:hanging="656"/>
        <w:spacing w:after="0"/>
        <w:tabs>
          <w:tab w:leader="none" w:pos="1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7" w:lineRule="exact"/>
        <w:rPr>
          <w:sz w:val="24"/>
          <w:szCs w:val="24"/>
          <w:color w:val="auto"/>
        </w:rPr>
      </w:pPr>
    </w:p>
    <w:p>
      <w:pPr>
        <w:ind w:left="1380"/>
        <w:spacing w:after="0"/>
        <w:tabs>
          <w:tab w:leader="none" w:pos="4140" w:val="left"/>
          <w:tab w:leader="none" w:pos="4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001-33417</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Ocean Power Technologies, Inc.</w:t>
      </w:r>
    </w:p>
    <w:p>
      <w:pPr>
        <w:sectPr>
          <w:pgSz w:w="11900" w:h="16838" w:orient="portrait"/>
          <w:cols w:equalWidth="0" w:num="1">
            <w:col w:w="11420"/>
          </w:cols>
          <w:pgMar w:left="240" w:top="220" w:right="239" w:bottom="1440" w:gutter="0" w:footer="0" w:header="0"/>
        </w:sectPr>
      </w:pPr>
    </w:p>
    <w:p>
      <w:pPr>
        <w:spacing w:after="0" w:line="245"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 or</w:t>
      </w:r>
    </w:p>
    <w:p>
      <w:pPr>
        <w:spacing w:after="0" w:line="2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22-2535818</w:t>
      </w:r>
    </w:p>
    <w:p>
      <w:pPr>
        <w:spacing w:after="0" w:line="3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416" w:lineRule="exact"/>
        <w:rPr>
          <w:sz w:val="24"/>
          <w:szCs w:val="24"/>
          <w:color w:val="auto"/>
        </w:rPr>
      </w:pPr>
    </w:p>
    <w:p>
      <w:pPr>
        <w:sectPr>
          <w:pgSz w:w="11900" w:h="16838" w:orient="portrait"/>
          <w:cols w:equalWidth="0" w:num="2">
            <w:col w:w="6560" w:space="720"/>
            <w:col w:w="4140"/>
          </w:cols>
          <w:pgMar w:left="240" w:top="220"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1590 REED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PENNINGTON, NJ 08534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0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730-0400</w:t>
      </w:r>
    </w:p>
    <w:p>
      <w:pPr>
        <w:spacing w:after="0" w:line="225"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p>
      <w:pPr>
        <w:ind w:left="214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Name of Exchange on Which Registered</w:t>
      </w:r>
    </w:p>
    <w:p>
      <w:pPr>
        <w:sectPr>
          <w:pgSz w:w="11900" w:h="16838" w:orient="portrait"/>
          <w:cols w:equalWidth="0" w:num="1">
            <w:col w:w="11420"/>
          </w:cols>
          <w:pgMar w:left="240" w:top="220" w:right="239" w:bottom="1440" w:gutter="0" w:footer="0" w:header="0"/>
          <w:type w:val="continuous"/>
        </w:sectPr>
      </w:pPr>
    </w:p>
    <w:p>
      <w:pPr>
        <w:spacing w:after="0" w:line="22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Common Stock, par value $0.001</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Nasdaq Capital Market</w:t>
      </w:r>
    </w:p>
    <w:p>
      <w:pPr>
        <w:spacing w:after="0" w:line="200" w:lineRule="exact"/>
        <w:rPr>
          <w:sz w:val="24"/>
          <w:szCs w:val="24"/>
          <w:color w:val="auto"/>
        </w:rPr>
      </w:pPr>
    </w:p>
    <w:p>
      <w:pPr>
        <w:sectPr>
          <w:pgSz w:w="11900" w:h="16838" w:orient="portrait"/>
          <w:cols w:equalWidth="0" w:num="2">
            <w:col w:w="6860" w:space="720"/>
            <w:col w:w="3840"/>
          </w:cols>
          <w:pgMar w:left="240" w:top="220" w:right="239" w:bottom="1440" w:gutter="0" w:footer="0" w:header="0"/>
          <w:type w:val="continuous"/>
        </w:sectPr>
      </w:pP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ectPr>
          <w:pgSz w:w="11900" w:h="16838" w:orient="portrait"/>
          <w:cols w:equalWidth="0" w:num="1">
            <w:col w:w="11420"/>
          </w:cols>
          <w:pgMar w:left="240" w:top="220" w:right="239" w:bottom="1440" w:gutter="0" w:footer="0" w:header="0"/>
          <w:type w:val="continuous"/>
        </w:sectPr>
      </w:pPr>
    </w:p>
    <w:p>
      <w:pPr>
        <w:spacing w:after="0" w:line="17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1" w:lineRule="exact"/>
        <w:rPr>
          <w:sz w:val="24"/>
          <w:szCs w:val="24"/>
          <w:color w:val="auto"/>
        </w:rPr>
      </w:pPr>
    </w:p>
    <w:p>
      <w:pPr>
        <w:sectPr>
          <w:pgSz w:w="11900" w:h="16838" w:orient="portrait"/>
          <w:cols w:equalWidth="0" w:num="2">
            <w:col w:w="9000" w:space="240"/>
            <w:col w:w="2180"/>
          </w:cols>
          <w:pgMar w:left="240" w:top="220" w:right="239" w:bottom="1440" w:gutter="0" w:footer="0" w:header="0"/>
          <w:type w:val="continuous"/>
        </w:sectPr>
      </w:pPr>
    </w:p>
    <w:p>
      <w:pPr>
        <w:spacing w:after="0" w:line="3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2" w:lineRule="exact"/>
        <w:rPr>
          <w:sz w:val="24"/>
          <w:szCs w:val="24"/>
          <w:color w:val="auto"/>
        </w:rPr>
      </w:pPr>
    </w:p>
    <w:p>
      <w:pPr>
        <w:sectPr>
          <w:pgSz w:w="11900" w:h="16838" w:orient="portrait"/>
          <w:cols w:equalWidth="0" w:num="2">
            <w:col w:w="9180" w:space="220"/>
            <w:col w:w="2020"/>
          </w:cols>
          <w:pgMar w:left="240" w:top="220" w:right="239" w:bottom="1440" w:gutter="0" w:footer="0" w:header="0"/>
          <w:type w:val="continuous"/>
        </w:sectPr>
      </w:pPr>
    </w:p>
    <w:p>
      <w:pPr>
        <w:spacing w:after="0" w:line="5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483235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0"/>
          <w:szCs w:val="20"/>
          <w:color w:val="auto"/>
        </w:rPr>
      </w:pPr>
    </w:p>
    <w:p>
      <w:pPr>
        <w:ind w:left="220"/>
        <w:spacing w:after="0" w:line="207" w:lineRule="exact"/>
        <w:tabs>
          <w:tab w:leader="none" w:pos="2640" w:val="left"/>
          <w:tab w:leader="none" w:pos="4720" w:val="left"/>
          <w:tab w:leader="none" w:pos="67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177" w:lineRule="exact"/>
        <w:rPr>
          <w:sz w:val="20"/>
          <w:szCs w:val="20"/>
          <w:color w:val="auto"/>
        </w:rPr>
      </w:pPr>
    </w:p>
    <w:p>
      <w:pPr>
        <w:spacing w:after="0" w:line="207" w:lineRule="exact"/>
        <w:tabs>
          <w:tab w:leader="none" w:pos="89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0"/>
          <w:szCs w:val="20"/>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of the registrant held by non-affiliates as of October 31, 2016, the last business day of the registrant's most recently completed second fiscal quarter, was $14.6 million based on the closing sale price of the registrant's common stock on that date as reported on the NASDAQ Capital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July 10, 2017 was 12,573,265.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Portions of the Company’s definitive proxy statement to be filed with the Securities and Exchange Commission (“SEC”) for the Company’s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472440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60" w:type="dxa"/>
            <w:vAlign w:val="bottom"/>
            <w:gridSpan w:val="15"/>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gridSpan w:val="14"/>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720" w:type="dxa"/>
            <w:vAlign w:val="bottom"/>
            <w:gridSpan w:val="14"/>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gridSpan w:val="9"/>
          </w:tcPr>
          <w:p>
            <w:pPr>
              <w:jc w:val="center"/>
              <w:ind w:right="2980"/>
              <w:spacing w:after="0"/>
              <w:rPr>
                <w:rFonts w:ascii="Times New Roman" w:cs="Times New Roman" w:eastAsia="Times New Roman" w:hAnsi="Times New Roman"/>
                <w:sz w:val="18"/>
                <w:szCs w:val="18"/>
                <w:b w:val="1"/>
                <w:bCs w:val="1"/>
                <w:color w:val="0000EE"/>
                <w:w w:val="95"/>
              </w:rPr>
            </w:pPr>
            <w:hyperlink w:anchor="page5">
              <w:r>
                <w:rPr>
                  <w:rFonts w:ascii="Times New Roman" w:cs="Times New Roman" w:eastAsia="Times New Roman" w:hAnsi="Times New Roman"/>
                  <w:sz w:val="18"/>
                  <w:szCs w:val="18"/>
                  <w:b w:val="1"/>
                  <w:bCs w:val="1"/>
                  <w:color w:val="0000EE"/>
                  <w:w w:val="95"/>
                </w:rPr>
                <w:t>PART I</w:t>
              </w:r>
            </w:hyperlink>
          </w:p>
        </w:tc>
        <w:tc>
          <w:tcPr>
            <w:tcW w:w="19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500" w:type="dxa"/>
            <w:vAlign w:val="bottom"/>
            <w:gridSpan w:val="1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580" w:type="dxa"/>
            <w:vAlign w:val="bottom"/>
            <w:tcBorders>
              <w:top w:val="single" w:sz="8" w:color="0000EE"/>
            </w:tcBorders>
          </w:tcPr>
          <w:p>
            <w:pPr>
              <w:spacing w:after="0"/>
              <w:rPr>
                <w:sz w:val="17"/>
                <w:szCs w:val="17"/>
                <w:color w:val="auto"/>
              </w:rPr>
            </w:pPr>
          </w:p>
        </w:tc>
        <w:tc>
          <w:tcPr>
            <w:tcW w:w="2980" w:type="dxa"/>
            <w:vAlign w:val="bottom"/>
            <w:gridSpan w:val="8"/>
          </w:tcPr>
          <w:p>
            <w:pPr>
              <w:spacing w:after="0"/>
              <w:rPr>
                <w:sz w:val="17"/>
                <w:szCs w:val="17"/>
                <w:color w:val="auto"/>
              </w:rPr>
            </w:pPr>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Risk Factors</w:t>
              </w:r>
            </w:hyperlink>
          </w:p>
        </w:tc>
        <w:tc>
          <w:tcPr>
            <w:tcW w:w="7140" w:type="dxa"/>
            <w:vAlign w:val="bottom"/>
            <w:gridSpan w:val="21"/>
          </w:tcPr>
          <w:p>
            <w:pPr>
              <w:spacing w:after="0"/>
              <w:rPr>
                <w:sz w:val="17"/>
                <w:szCs w:val="17"/>
                <w:color w:val="auto"/>
              </w:rPr>
            </w:pPr>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Unresolved Staff Comments</w:t>
              </w:r>
            </w:hyperlink>
          </w:p>
        </w:tc>
        <w:tc>
          <w:tcPr>
            <w:tcW w:w="6000" w:type="dxa"/>
            <w:vAlign w:val="bottom"/>
            <w:gridSpan w:val="16"/>
          </w:tcPr>
          <w:p>
            <w:pPr>
              <w:spacing w:after="0"/>
              <w:rPr>
                <w:sz w:val="17"/>
                <w:szCs w:val="17"/>
                <w:color w:val="auto"/>
              </w:rPr>
            </w:pPr>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Properties</w:t>
              </w:r>
            </w:hyperlink>
          </w:p>
        </w:tc>
        <w:tc>
          <w:tcPr>
            <w:tcW w:w="7320" w:type="dxa"/>
            <w:vAlign w:val="bottom"/>
            <w:gridSpan w:val="22"/>
          </w:tcPr>
          <w:p>
            <w:pPr>
              <w:spacing w:after="0"/>
              <w:rPr>
                <w:sz w:val="17"/>
                <w:szCs w:val="17"/>
                <w:color w:val="auto"/>
              </w:rPr>
            </w:pPr>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060" w:type="dxa"/>
            <w:vAlign w:val="bottom"/>
            <w:gridSpan w:val="24"/>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Legal Proceedings</w:t>
              </w:r>
            </w:hyperlink>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9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060" w:type="dxa"/>
            <w:vAlign w:val="bottom"/>
            <w:gridSpan w:val="24"/>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Mine Safety Disclosures</w:t>
              </w:r>
            </w:hyperlink>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412"/>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Times New Roman" w:cs="Times New Roman" w:eastAsia="Times New Roman" w:hAnsi="Times New Roman"/>
                <w:sz w:val="18"/>
                <w:szCs w:val="18"/>
                <w:b w:val="1"/>
                <w:bCs w:val="1"/>
                <w:color w:val="0000EE"/>
                <w:w w:val="97"/>
              </w:rPr>
            </w:pPr>
            <w:hyperlink w:anchor="page40">
              <w:r>
                <w:rPr>
                  <w:rFonts w:ascii="Times New Roman" w:cs="Times New Roman" w:eastAsia="Times New Roman" w:hAnsi="Times New Roman"/>
                  <w:sz w:val="18"/>
                  <w:szCs w:val="18"/>
                  <w:b w:val="1"/>
                  <w:bCs w:val="1"/>
                  <w:color w:val="0000EE"/>
                  <w:w w:val="97"/>
                </w:rPr>
                <w:t>PART II</w:t>
              </w:r>
            </w:hyperlink>
          </w:p>
        </w:tc>
        <w:tc>
          <w:tcPr>
            <w:tcW w:w="2940" w:type="dxa"/>
            <w:vAlign w:val="bottom"/>
            <w:gridSpan w:val="7"/>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0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Selected Financial Data</w:t>
              </w:r>
            </w:hyperlink>
          </w:p>
        </w:tc>
        <w:tc>
          <w:tcPr>
            <w:tcW w:w="6340" w:type="dxa"/>
            <w:vAlign w:val="bottom"/>
            <w:gridSpan w:val="19"/>
          </w:tcPr>
          <w:p>
            <w:pPr>
              <w:spacing w:after="0"/>
              <w:rPr>
                <w:sz w:val="17"/>
                <w:szCs w:val="17"/>
                <w:color w:val="auto"/>
              </w:rPr>
            </w:pPr>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060" w:type="dxa"/>
            <w:vAlign w:val="bottom"/>
            <w:gridSpan w:val="24"/>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Quantitative and Qualitative Disclosures About Market Risk</w:t>
              </w:r>
            </w:hyperlink>
          </w:p>
        </w:tc>
        <w:tc>
          <w:tcPr>
            <w:tcW w:w="1620" w:type="dxa"/>
            <w:vAlign w:val="bottom"/>
            <w:gridSpan w:val="3"/>
          </w:tcPr>
          <w:p>
            <w:pPr>
              <w:spacing w:after="0"/>
              <w:rPr>
                <w:sz w:val="17"/>
                <w:szCs w:val="17"/>
                <w:color w:val="auto"/>
              </w:rPr>
            </w:pPr>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3700" w:type="dxa"/>
            <w:vAlign w:val="bottom"/>
            <w:gridSpan w:val="12"/>
          </w:tcPr>
          <w:p>
            <w:pPr>
              <w:spacing w:after="0"/>
              <w:rPr>
                <w:sz w:val="17"/>
                <w:szCs w:val="17"/>
                <w:color w:val="auto"/>
              </w:rPr>
            </w:pPr>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1540" w:type="dxa"/>
            <w:vAlign w:val="bottom"/>
            <w:gridSpan w:val="2"/>
          </w:tcPr>
          <w:p>
            <w:pPr>
              <w:spacing w:after="0"/>
              <w:rPr>
                <w:sz w:val="17"/>
                <w:szCs w:val="17"/>
                <w:color w:val="auto"/>
              </w:rPr>
            </w:pPr>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Controls and Procedures</w:t>
              </w:r>
            </w:hyperlink>
          </w:p>
        </w:tc>
        <w:tc>
          <w:tcPr>
            <w:tcW w:w="6280" w:type="dxa"/>
            <w:vAlign w:val="bottom"/>
            <w:gridSpan w:val="18"/>
          </w:tcPr>
          <w:p>
            <w:pPr>
              <w:spacing w:after="0"/>
              <w:rPr>
                <w:sz w:val="17"/>
                <w:szCs w:val="17"/>
                <w:color w:val="auto"/>
              </w:rPr>
            </w:pPr>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060" w:type="dxa"/>
            <w:vAlign w:val="bottom"/>
            <w:gridSpan w:val="24"/>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Other Information</w:t>
              </w:r>
            </w:hyperlink>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412"/>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12"/>
          </w:tcPr>
          <w:p>
            <w:pPr>
              <w:jc w:val="center"/>
              <w:ind w:right="2820"/>
              <w:spacing w:after="0"/>
              <w:rPr>
                <w:rFonts w:ascii="Times New Roman" w:cs="Times New Roman" w:eastAsia="Times New Roman" w:hAnsi="Times New Roman"/>
                <w:sz w:val="18"/>
                <w:szCs w:val="18"/>
                <w:b w:val="1"/>
                <w:bCs w:val="1"/>
                <w:color w:val="0000EE"/>
                <w:w w:val="96"/>
              </w:rPr>
            </w:pPr>
            <w:hyperlink w:anchor="page57">
              <w:r>
                <w:rPr>
                  <w:rFonts w:ascii="Times New Roman" w:cs="Times New Roman" w:eastAsia="Times New Roman" w:hAnsi="Times New Roman"/>
                  <w:sz w:val="18"/>
                  <w:szCs w:val="18"/>
                  <w:b w:val="1"/>
                  <w:bCs w:val="1"/>
                  <w:color w:val="0000EE"/>
                  <w:w w:val="96"/>
                </w:rPr>
                <w:t>PART III</w:t>
              </w:r>
            </w:hyperlink>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440" w:type="dxa"/>
            <w:vAlign w:val="bottom"/>
            <w:gridSpan w:val="13"/>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Directors, Executive Officers and Corporate Governance</w:t>
              </w:r>
            </w:hyperlink>
          </w:p>
        </w:tc>
        <w:tc>
          <w:tcPr>
            <w:tcW w:w="720" w:type="dxa"/>
            <w:vAlign w:val="bottom"/>
            <w:tcBorders>
              <w:top w:val="single" w:sz="8" w:color="0000EE"/>
            </w:tcBorders>
            <w:gridSpan w:val="6"/>
          </w:tcPr>
          <w:p>
            <w:pPr>
              <w:spacing w:after="0"/>
              <w:rPr>
                <w:sz w:val="17"/>
                <w:szCs w:val="17"/>
                <w:color w:val="auto"/>
              </w:rPr>
            </w:pPr>
          </w:p>
        </w:tc>
        <w:tc>
          <w:tcPr>
            <w:tcW w:w="2900" w:type="dxa"/>
            <w:vAlign w:val="bottom"/>
            <w:gridSpan w:val="5"/>
          </w:tcPr>
          <w:p>
            <w:pPr>
              <w:spacing w:after="0"/>
              <w:rPr>
                <w:sz w:val="17"/>
                <w:szCs w:val="17"/>
                <w:color w:val="auto"/>
              </w:rPr>
            </w:pPr>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Executive Compensation</w:t>
              </w:r>
            </w:hyperlink>
          </w:p>
        </w:tc>
        <w:tc>
          <w:tcPr>
            <w:tcW w:w="2280" w:type="dxa"/>
            <w:vAlign w:val="bottom"/>
            <w:tcBorders>
              <w:top w:val="single" w:sz="8" w:color="0000EE"/>
            </w:tcBorders>
            <w:gridSpan w:val="4"/>
          </w:tcPr>
          <w:p>
            <w:pPr>
              <w:spacing w:after="0"/>
              <w:rPr>
                <w:sz w:val="17"/>
                <w:szCs w:val="17"/>
                <w:color w:val="auto"/>
              </w:rPr>
            </w:pPr>
          </w:p>
        </w:tc>
        <w:tc>
          <w:tcPr>
            <w:tcW w:w="3960" w:type="dxa"/>
            <w:vAlign w:val="bottom"/>
            <w:gridSpan w:val="13"/>
          </w:tcPr>
          <w:p>
            <w:pPr>
              <w:spacing w:after="0"/>
              <w:rPr>
                <w:sz w:val="17"/>
                <w:szCs w:val="17"/>
                <w:color w:val="auto"/>
              </w:rPr>
            </w:pPr>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760" w:type="dxa"/>
            <w:vAlign w:val="bottom"/>
          </w:tcPr>
          <w:p>
            <w:pPr>
              <w:spacing w:after="0"/>
              <w:rPr>
                <w:sz w:val="17"/>
                <w:szCs w:val="17"/>
                <w:color w:val="auto"/>
              </w:rPr>
            </w:pPr>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Certain Relationships and Related Transactions, and Director Independence</w:t>
              </w:r>
            </w:hyperlink>
          </w:p>
        </w:tc>
        <w:tc>
          <w:tcPr>
            <w:tcW w:w="2600" w:type="dxa"/>
            <w:vAlign w:val="bottom"/>
            <w:gridSpan w:val="4"/>
          </w:tcPr>
          <w:p>
            <w:pPr>
              <w:spacing w:after="0"/>
              <w:rPr>
                <w:sz w:val="17"/>
                <w:szCs w:val="17"/>
                <w:color w:val="auto"/>
              </w:rPr>
            </w:pPr>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060" w:type="dxa"/>
            <w:vAlign w:val="bottom"/>
            <w:gridSpan w:val="24"/>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Principal Accountant Fees and Services</w:t>
              </w:r>
            </w:hyperlink>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412"/>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gridSpan w:val="11"/>
          </w:tcPr>
          <w:p>
            <w:pPr>
              <w:jc w:val="center"/>
              <w:ind w:right="2900"/>
              <w:spacing w:after="0"/>
              <w:rPr>
                <w:rFonts w:ascii="Times New Roman" w:cs="Times New Roman" w:eastAsia="Times New Roman" w:hAnsi="Times New Roman"/>
                <w:sz w:val="18"/>
                <w:szCs w:val="18"/>
                <w:b w:val="1"/>
                <w:bCs w:val="1"/>
                <w:color w:val="0000EE"/>
                <w:w w:val="97"/>
              </w:rPr>
            </w:pPr>
            <w:hyperlink w:anchor="page57">
              <w:r>
                <w:rPr>
                  <w:rFonts w:ascii="Times New Roman" w:cs="Times New Roman" w:eastAsia="Times New Roman" w:hAnsi="Times New Roman"/>
                  <w:sz w:val="18"/>
                  <w:szCs w:val="18"/>
                  <w:b w:val="1"/>
                  <w:bCs w:val="1"/>
                  <w:color w:val="0000EE"/>
                  <w:w w:val="97"/>
                </w:rPr>
                <w:t>PART IV</w:t>
              </w:r>
            </w:hyperlink>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4460" w:type="dxa"/>
            <w:vAlign w:val="bottom"/>
            <w:gridSpan w:val="14"/>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Exhibits, Financial Statement Schedules</w:t>
              </w:r>
            </w:hyperlink>
          </w:p>
        </w:tc>
        <w:tc>
          <w:tcPr>
            <w:tcW w:w="680" w:type="dxa"/>
            <w:vAlign w:val="bottom"/>
            <w:tcBorders>
              <w:top w:val="single" w:sz="8" w:color="0000EE"/>
            </w:tcBorders>
            <w:gridSpan w:val="4"/>
          </w:tcPr>
          <w:p>
            <w:pPr>
              <w:spacing w:after="0"/>
              <w:rPr>
                <w:sz w:val="17"/>
                <w:szCs w:val="17"/>
                <w:color w:val="auto"/>
              </w:rPr>
            </w:pPr>
          </w:p>
        </w:tc>
        <w:tc>
          <w:tcPr>
            <w:tcW w:w="2920" w:type="dxa"/>
            <w:vAlign w:val="bottom"/>
            <w:gridSpan w:val="6"/>
          </w:tcPr>
          <w:p>
            <w:pPr>
              <w:spacing w:after="0"/>
              <w:rPr>
                <w:sz w:val="17"/>
                <w:szCs w:val="17"/>
                <w:color w:val="auto"/>
              </w:rPr>
            </w:pPr>
          </w:p>
        </w:tc>
        <w:tc>
          <w:tcPr>
            <w:tcW w:w="2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PowerBuoy and the Ocean Power Technologies logo are trademarks of Ocean Power Technologies, Inc. All other trademarks appearing in this annual report are the property of their respective 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Annual Report may not occur as contemplated and actual results could differ materially from those anticipated or implied by the forward-looking statements.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fiscal year ends on April 30. References to fiscal 2017 are to the fiscal year ended April 30,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Reverse Stock Split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annual meeting of stockholders of Ocean Power Technologies, Inc. (the “Company,” “we” or “us”) on October 22, 2015, our stockholders approved a proposal to amend our Certificate of Incorporation to effect a reverse split of our common stock, par value $0.001 (“common stock”), at a ratio to be determined by the Company’s Board of Directors within a specific range and a reduction in the authorized number of shares of our common stock. On October 27, 2015, we filed a Certificate of Amendment to our Certificate of Incorporation to affect a one-for-10 reverse stock split of our common stock and to decrease the number of authorized shares of our Common Stock to 50,000,000 shares (the “Reverse Stock Split”). As of the effective date of the Reverse Stock Split, every 10 shares of issued and outstanding common stock were combined into one issued and outstanding share of common stock, without any change in the par value per share. No fractional shares were issued in connection with the Reverse Stock Split. Total cash payments made by the Company to stockholders in lieu of fractional shares were not material. The common stock began trading on a reverse stock split-adjusted basis on the NASDAQ Stock Market (“NASDAQ”) on October 29, 2015. On November 12, 2015, NASDAQ notified the Company that our Common Stock had regained compliance with the NASDAQ listed company closing bid price requirement. All share and per share data included in this report has been retroactively restated to reflect the Reverse Stock Split.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Nearly 70% of the earth’s surface is covered by water, with over 40% of the world’s population living within approximately 150 miles of a coast. Thousands of information gathering and/or power systems are deployed in the oceans today to increase our understanding of weather, climate change, biological processes, and marine mammal patterns and to support exploration and operations for industries such as oil and gas. Most of these systems are powered by battery, solar, wind, fuel cell, or fossil fuel generators that may be unreliable and expensive to operate while they also may be limited in their ability to deliver ample electric power. These current systems often necessitate significant tradeoffs in sensor accuracy, data processing and communications bandwidth and frequency in order to operate given limited available power. More persistent power systems requiring less maintenance, such as our systems, may have the ability to save costs over these current systems. Just as importantly, increases in available power may allow for better sensors, faster data sampling and higher frequency communication intervals up to real-time which could as a result improve scientific and economic returns.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Founded in 1984 and headquartered in Pennington, New Jersey, we believe we are the leader in ocean wave power conversion technology. Our PB3 PowerBuoy is our first fully commercial product which generates electricity by harnessing the renewable energy of ocean waves. In addition to our PB3 PowerBuoy, we continue to develop our PowerBuoy product line based on modular, ocean-going buoys, which we have been periodically ocean testing since 1997.</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PB3 PowerBuoy generates power for use in remote offshore locations, independent of a conventional power grid, and it incorporates a unique onboard power take-off (“PTO”) system, which incorporates both energy storage and energy management and control systems. The PB3 generates up to 3 kilowatts (“kW”)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(“kWh”) to meet specific application requirements. We continue to develop and test our new PowerBuoys, with the objective to incrementally scale up power production. We believe there is a substantial addressable market for the current capabilities of our PB3, which we believe could be utilized in a variety of applications.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leveraging earlier design aspects of our autonomous PowerBuoy, the PB3 has undergone extensive factory and in-ocean design validation testing. Currently, our engineering efforts are focused primarily on cost reductions and life extensions of the PB3, while also scaling our technologies to increase the energy output. Our marketing efforts are focused on applications in remote offshore locations that require reliable and persistent power and communications, either by supplying electric power to payloads that are integrated directly in or on our PowerBuoy or located in its vicinity, such as on the seabed and in the water column.</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our market research and publicly available data, we believe that multiple markets have a direct need for our PowerBuoys including oil and gas, ocean observing, defense and security, and communications. Depending on payload power requirements, sensor types and other considerations, we have found that our PowerBuoy could satisfy several application requirements within these markets. We believe that the PB3 persistently generates sufficient power to meet the requirements of many potential customer applications within our target markets.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fiscal 2002, government agencies have accounted for a significant portion of our revenues. These revenues were largely for the support of our development efforts relating to our technology. Today our goal is to generate the majority of our revenue from the sale or lease of our products, and sales of services to support our business operations. As we continue to develop and commercialize our products, we expect to have a net loss of cash from operating activities unless and until we achieve positive cash flow from the commercialization of our products and services. During fiscal 2016 and 2017, we continued work on projects with the U.S. Department of Energy (“DOE”), U.S. Department of Defense (“DOD”) and Mitsui Engineering and Shipbuilding Co., Ltd. (“MES”), while we continued to validate the reliability and power output of our PB3 PowerBuoy.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New Jersey in April 1984 and began commercial operations in 1994. On April 23, 2007, we reincorporated in Delaware. Our principal executive offices are located at 1590 Reed Road, Pennington, New Jersey 08534, and our telephone number is</w:t>
      </w:r>
    </w:p>
    <w:p>
      <w:pPr>
        <w:jc w:val="both"/>
        <w:ind w:firstLine="8"/>
        <w:spacing w:after="0" w:line="252" w:lineRule="auto"/>
        <w:tabs>
          <w:tab w:leader="none" w:pos="4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730-0400. In April 2017, we announced plans to relocate our office to a larger facility located in Monroe, New Jersey, which is scheduled for completion prior to the end of 2017. Our website address is www.oceanpowertechnologies.com. We make available free of charge on our website our Annual Reports on Form 10-K, Quarterly Reports on Form 10-Q, Current Reports on Form 8-K and all amendments to those reports as soon as reasonably practicable after such material is filed electronically with the SEC. The information on our website is not a part of this Annual Report. Our common stock has been listed on NASDAQ since April 24, 2007, the date on which we completed our initial public offering in the United States, and since July 2015, our common stock has been listed on the NASDAQ Capital Market. Our fiscal year begins on May 1 and ends on April 30. When we refer to a particular fiscal year, we are referring to the fiscal year ending on April 30 of that year. For example, fiscal 2017 refers to the fiscal year beginning on May 1, 2016 and ending on April 30, 2017. Other fiscal years follow similarly.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commercializing our PB3 PowerBuoy by targeting customers principally in four markets that require reliable and persistent power sources in remote offshore locations (as discussed in further detail below). We believe that our wave energy products and services, and our existing commercial relationships provide the following competitive advantages in our target markets.</w:t>
      </w:r>
    </w:p>
    <w:p>
      <w:pPr>
        <w:spacing w:after="0" w:line="174" w:lineRule="exact"/>
        <w:rPr>
          <w:sz w:val="20"/>
          <w:szCs w:val="20"/>
          <w:color w:val="auto"/>
        </w:rPr>
      </w:pPr>
    </w:p>
    <w:p>
      <w:pPr>
        <w:jc w:val="both"/>
        <w:ind w:left="340" w:hanging="332"/>
        <w:spacing w:after="0" w:line="267"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Numerous applications within multiple, major market segments. </w:t>
      </w:r>
      <w:r>
        <w:rPr>
          <w:rFonts w:ascii="Times New Roman" w:cs="Times New Roman" w:eastAsia="Times New Roman" w:hAnsi="Times New Roman"/>
          <w:sz w:val="18"/>
          <w:szCs w:val="18"/>
          <w:color w:val="auto"/>
        </w:rPr>
        <w:t>We have designed our PB3 PowerBuoy to address multiple offshore applications around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world. In particular, we are targeting customers with multiple applications within the oil and gas, defense and security, ocean observing, and communications markets.</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Considerable life-cycle cost savings over current solutions for many applications. </w:t>
      </w:r>
      <w:r>
        <w:rPr>
          <w:rFonts w:ascii="Times New Roman" w:cs="Times New Roman" w:eastAsia="Times New Roman" w:hAnsi="Times New Roman"/>
          <w:sz w:val="18"/>
          <w:szCs w:val="18"/>
          <w:color w:val="auto"/>
        </w:rPr>
        <w:t>Our PB3 PowerBuoy is designed to operate over extended intervals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required servicing, as compared to several current solutions which we found to require more servicing using offshore vessels. We believe that our PB3 PowerBuoy reduces costs over multi-year operations as compared with current solutions. These cost reductions are mostly due to reduced vessel and personnel servicing activities.</w:t>
      </w:r>
    </w:p>
    <w:p>
      <w:pPr>
        <w:spacing w:after="0" w:line="180" w:lineRule="exact"/>
        <w:rPr>
          <w:rFonts w:ascii="Times New Roman" w:cs="Times New Roman" w:eastAsia="Times New Roman" w:hAnsi="Times New Roman"/>
          <w:sz w:val="18"/>
          <w:szCs w:val="18"/>
          <w:i w:val="1"/>
          <w:iCs w:val="1"/>
          <w:color w:val="auto"/>
        </w:rPr>
      </w:pPr>
    </w:p>
    <w:p>
      <w:pPr>
        <w:jc w:val="both"/>
        <w:ind w:left="340" w:hanging="332"/>
        <w:spacing w:after="0" w:line="259" w:lineRule="auto"/>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Real-time data communications. </w:t>
      </w:r>
      <w:r>
        <w:rPr>
          <w:rFonts w:ascii="Times New Roman" w:cs="Times New Roman" w:eastAsia="Times New Roman" w:hAnsi="Times New Roman"/>
          <w:sz w:val="18"/>
          <w:szCs w:val="18"/>
          <w:color w:val="auto"/>
        </w:rPr>
        <w:t>Some current solutions with less available power than our PowerBuoy may have limited communication capabilities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able to communicate data only over shorter periods due to power limitations. Some current solutions may only make data accessible upon physical retrieval of the sensor. Our PowerBuoys can be equipped with a variety of communications equipment which enables the transmission of data on a more frequent basis as compared to current solutions. We believe that more frequent data communication could enable an end-user to more quickly and proactively make data-driven decisions which could result in economic advantages.</w:t>
      </w:r>
    </w:p>
    <w:p>
      <w:pPr>
        <w:spacing w:after="0" w:line="179" w:lineRule="exact"/>
        <w:rPr>
          <w:rFonts w:ascii="Times New Roman" w:cs="Times New Roman" w:eastAsia="Times New Roman" w:hAnsi="Times New Roman"/>
          <w:sz w:val="18"/>
          <w:szCs w:val="18"/>
          <w:i w:val="1"/>
          <w:iCs w:val="1"/>
          <w:color w:val="auto"/>
        </w:rPr>
      </w:pPr>
    </w:p>
    <w:p>
      <w:pPr>
        <w:jc w:val="both"/>
        <w:ind w:left="340" w:hanging="332"/>
        <w:spacing w:after="0" w:line="259"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power and persistence compared to certain current solutions. </w:t>
      </w:r>
      <w:r>
        <w:rPr>
          <w:rFonts w:ascii="Times New Roman" w:cs="Times New Roman" w:eastAsia="Times New Roman" w:hAnsi="Times New Roman"/>
          <w:sz w:val="18"/>
          <w:szCs w:val="18"/>
          <w:color w:val="auto"/>
        </w:rPr>
        <w:t>We have found that our PowerBuoy may provide substantially increased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persistence than certain existing systems such as battery and solar powered. We believe that this may allow additional sensors to be employed at the same site, a higher sensor data transmission rate to be achieved, extended operation and reduced downtime, and improved operational costs for the end-user. Each of these may contribute to accelerated operations through real-time decision making, and increased life-cycle cost savings by enabling these new capabilities.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Standard transportation and deployment. </w:t>
      </w:r>
      <w:r>
        <w:rPr>
          <w:rFonts w:ascii="Times New Roman" w:cs="Times New Roman" w:eastAsia="Times New Roman" w:hAnsi="Times New Roman"/>
          <w:sz w:val="18"/>
          <w:szCs w:val="18"/>
          <w:color w:val="auto"/>
        </w:rPr>
        <w:t>Our PB3 PowerBuoy does not require special handling or transportation, and instead uses conventional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and handling methods that are economical and readily available in standard marine operations. The PB3 can be packaged inside of a standard 40-foot shipping container which may result in lower global transportation and deployment costs than current solutions. Our PB3 PowerBuoy can be deployed using conventional vessels and conventional marine cranes and lifts.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Modular and scalable designs. </w:t>
      </w:r>
      <w:r>
        <w:rPr>
          <w:rFonts w:ascii="Times New Roman" w:cs="Times New Roman" w:eastAsia="Times New Roman" w:hAnsi="Times New Roman"/>
          <w:sz w:val="18"/>
          <w:szCs w:val="18"/>
          <w:color w:val="auto"/>
        </w:rPr>
        <w:t>Our PB3 PowerBuoy is designed with a modular ESS which allows us to tailor its configuration to specific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including expansion of energy storage capacity, potentially allowing for a more customized solution and potential cost savings for our customers. We believe that our PowerBuoys are scalable to higher power levels, and multiple PowerBuoys may also be installed in an array in order to achieve higher levels of aggregate power, although we have not yet demonstrated a PowerBuoy array.</w:t>
      </w:r>
    </w:p>
    <w:p>
      <w:pPr>
        <w:spacing w:after="0" w:line="180"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Flexible electrical, mechanical and communication interfaces for sensors. </w:t>
      </w:r>
      <w:r>
        <w:rPr>
          <w:rFonts w:ascii="Times New Roman" w:cs="Times New Roman" w:eastAsia="Times New Roman" w:hAnsi="Times New Roman"/>
          <w:sz w:val="18"/>
          <w:szCs w:val="18"/>
          <w:color w:val="auto"/>
        </w:rPr>
        <w:t>The PB3 PowerBuoy can be equipped with payloads, either mounted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PowerBuoy, or tethered to the PowerBuoy. The PB3 PowerBuoy has mechanical and electrical interfaces which allow for simplified integration of payloads, creating flexibility for the end-user.</w:t>
      </w:r>
    </w:p>
    <w:p>
      <w:pPr>
        <w:spacing w:after="0" w:line="173" w:lineRule="exact"/>
        <w:rPr>
          <w:rFonts w:ascii="Times New Roman" w:cs="Times New Roman" w:eastAsia="Times New Roman" w:hAnsi="Times New Roman"/>
          <w:sz w:val="18"/>
          <w:szCs w:val="18"/>
          <w:i w:val="1"/>
          <w:iCs w:val="1"/>
          <w:color w:val="auto"/>
        </w:rPr>
      </w:pPr>
    </w:p>
    <w:p>
      <w:pPr>
        <w:jc w:val="both"/>
        <w:ind w:left="340" w:hanging="332"/>
        <w:spacing w:after="0" w:line="267" w:lineRule="auto"/>
        <w:tabs>
          <w:tab w:leader="none" w:pos="3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Environmentally benign and aesthetically non-intrusive system design. </w:t>
      </w:r>
      <w:r>
        <w:rPr>
          <w:rFonts w:ascii="Times New Roman" w:cs="Times New Roman" w:eastAsia="Times New Roman" w:hAnsi="Times New Roman"/>
          <w:sz w:val="18"/>
          <w:szCs w:val="18"/>
          <w:color w:val="auto"/>
        </w:rPr>
        <w:t>We believe that our PB3 PowerBuoy does not present significant risks to marine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or emit significant levels of pollutants, and therefore has minimal environmental impact as compared to some other current solutions. We believe there is no significant audible impact and our system does not have a negative effect on marine life, as validated by the U.S. Navy and DOE.</w:t>
      </w:r>
    </w:p>
    <w:p>
      <w:pPr>
        <w:spacing w:after="0" w:line="173" w:lineRule="exact"/>
        <w:rPr>
          <w:rFonts w:ascii="Times New Roman" w:cs="Times New Roman" w:eastAsia="Times New Roman" w:hAnsi="Times New Roman"/>
          <w:sz w:val="18"/>
          <w:szCs w:val="18"/>
          <w:i w:val="1"/>
          <w:iCs w:val="1"/>
          <w:color w:val="auto"/>
        </w:rPr>
      </w:pPr>
    </w:p>
    <w:p>
      <w:pPr>
        <w:jc w:val="both"/>
        <w:ind w:left="340" w:hanging="332"/>
        <w:spacing w:after="0" w:line="254" w:lineRule="auto"/>
        <w:tabs>
          <w:tab w:leader="none" w:pos="3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Ocean and factory tested technology. </w:t>
      </w:r>
      <w:r>
        <w:rPr>
          <w:rFonts w:ascii="Times New Roman" w:cs="Times New Roman" w:eastAsia="Times New Roman" w:hAnsi="Times New Roman"/>
          <w:sz w:val="18"/>
          <w:szCs w:val="18"/>
          <w:color w:val="auto"/>
        </w:rPr>
        <w:t>Our PB3 PowerBuoy is designed to be durable, with a design goal of a three-year interval between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activities. The PB3 has survived hurricanes and tropical storms during harsh sea conditions while deployed in the ocean. Since 1997 we have conducted ocean tests to demonstrate the viability of our technology. In 2011, we conducted multiple ocean tests of the predecessor PB3 PowerBuoy under a contract with the U.S. Navy. More recently, we conducted multiple ocean tests of our current generation PB3 PowerBuoy, including our now commercial version. In 2015, we instituted factory-based PTO accelerated life testing which simulates continuous operations under extremely harsh conditions. During the 2017 fiscal year, we also implemented additional features to accommodate the feedback received from potential customers and end-users in support of further simplifying ocean deployments and increasing product application versatility. Further, we also focused on standardizing manufacturing and production testing procedures and worked closely with our supply base in order to ensure production repeatability. To date, we have achieved over 67 million cumulative strokes across our fleet of power takeoffs with no material failures in our commercial PTO design. This is equivalent to more than four cumulative years of continuous typical ocean operation for the markets which we are pursuing.</w:t>
      </w:r>
    </w:p>
    <w:p>
      <w:pPr>
        <w:spacing w:after="0" w:line="186" w:lineRule="exact"/>
        <w:rPr>
          <w:rFonts w:ascii="Times New Roman" w:cs="Times New Roman" w:eastAsia="Times New Roman" w:hAnsi="Times New Roman"/>
          <w:sz w:val="18"/>
          <w:szCs w:val="18"/>
          <w:i w:val="1"/>
          <w:iCs w:val="1"/>
          <w:color w:val="auto"/>
        </w:rPr>
      </w:pPr>
    </w:p>
    <w:p>
      <w:pPr>
        <w:jc w:val="both"/>
        <w:ind w:left="340" w:hanging="332"/>
        <w:spacing w:after="0" w:line="259" w:lineRule="auto"/>
        <w:tabs>
          <w:tab w:leader="none" w:pos="3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Efficient design in harnessing wave energy. </w:t>
      </w:r>
      <w:r>
        <w:rPr>
          <w:rFonts w:ascii="Times New Roman" w:cs="Times New Roman" w:eastAsia="Times New Roman" w:hAnsi="Times New Roman"/>
          <w:sz w:val="18"/>
          <w:szCs w:val="18"/>
          <w:color w:val="auto"/>
        </w:rPr>
        <w:t>We have designed and validated our PB3 PowerBuoy for maximized power generation in average ocean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wave conditions through optimized mechanical to electrical wave energy conversion. We have designed the onboard ESS to provide several days of continuous rated power during periods of low or no wave activity, depending on payload power consumption. The PB3 PowerBuoy is equipped with a variety of communication capabilities including satellite, cellular, and Wi-Fi that are capable of transmitting payload data in real time (e.g., sensors or equipment that require power and communications capabilities), subject to the limits of the service provider.</w:t>
      </w:r>
    </w:p>
    <w:p>
      <w:pPr>
        <w:spacing w:after="0" w:line="179" w:lineRule="exact"/>
        <w:rPr>
          <w:rFonts w:ascii="Times New Roman" w:cs="Times New Roman" w:eastAsia="Times New Roman" w:hAnsi="Times New Roman"/>
          <w:sz w:val="18"/>
          <w:szCs w:val="18"/>
          <w:i w:val="1"/>
          <w:iCs w:val="1"/>
          <w:color w:val="auto"/>
        </w:rPr>
      </w:pPr>
    </w:p>
    <w:p>
      <w:pPr>
        <w:jc w:val="both"/>
        <w:ind w:left="340" w:hanging="332"/>
        <w:spacing w:after="0" w:line="25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 commercial relationships enabled the development of our technology. </w:t>
      </w:r>
      <w:r>
        <w:rPr>
          <w:rFonts w:ascii="Times New Roman" w:cs="Times New Roman" w:eastAsia="Times New Roman" w:hAnsi="Times New Roman"/>
          <w:sz w:val="18"/>
          <w:szCs w:val="18"/>
          <w:color w:val="auto"/>
        </w:rPr>
        <w:t>Our prior and existing relationships with the U.S. Navy, DOE,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of Homeland Security and MES have allowed us to develop our PB3 PowerBuoy for a variety of needs in various industries. We believe these relationships have helped position us within the private sector in support of commercialization, which we believe enhances our market visibility and attractiveness to our prospective customers. For example, in 2011 our PowerBuoy provided persistent power to an integrated radar and sonar system, significantly extending the U.S. Navy’s surveillance range. We have also demonstrated persistent maritime vessel detection with the U.S. Department of Homeland Security by integrating a hydrophone onto our PowerBuoy and demonstrating enhanced maritime traffic detection. In each instance, the resulting data have informed our next design iterations to address critical operations and reliability improvements.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ind w:firstLine="746"/>
        <w:spacing w:after="0" w:line="282" w:lineRule="auto"/>
        <w:rPr>
          <w:sz w:val="20"/>
          <w:szCs w:val="20"/>
          <w:color w:val="auto"/>
        </w:rPr>
      </w:pPr>
      <w:r>
        <w:rPr>
          <w:rFonts w:ascii="Times New Roman" w:cs="Times New Roman" w:eastAsia="Times New Roman" w:hAnsi="Times New Roman"/>
          <w:sz w:val="18"/>
          <w:szCs w:val="18"/>
          <w:color w:val="auto"/>
        </w:rPr>
        <w:t>We continue to commercialize our PB3 PowerBuoy for use in remote offshore power and real-time data communications applications, and in order to achieve this goal, we are pursuing the following business objectives:</w:t>
      </w:r>
    </w:p>
    <w:p>
      <w:pPr>
        <w:spacing w:after="0" w:line="162" w:lineRule="exact"/>
        <w:rPr>
          <w:sz w:val="20"/>
          <w:szCs w:val="20"/>
          <w:color w:val="auto"/>
        </w:rPr>
      </w:pPr>
    </w:p>
    <w:p>
      <w:pPr>
        <w:jc w:val="both"/>
        <w:ind w:left="500" w:hanging="330"/>
        <w:spacing w:after="0" w:line="25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and/or lease PB3 PowerBuoys. We believe our PB3 PowerBuoy is well suited for many remote offshore applications. We have observed potential market demand for both PowerBuoy sales and leases within our selected markets, and we intend to sell and lease PB3 PowerBuoys to these markets. Additionally, we intend to provide services associated with product sales and leases such as maintenance, remote monitoring and diagnostic, application engineering, planning, training, and logistics support required for the PB3 PowerBuoy life-cycle. We continue to increase our commercial capabilities through new hires in marketing, sales, and application support, and through engagement of expert market consultants in various geographies.</w:t>
      </w:r>
    </w:p>
    <w:p>
      <w:pPr>
        <w:spacing w:after="0" w:line="185" w:lineRule="exact"/>
        <w:rPr>
          <w:rFonts w:ascii="Times New Roman" w:cs="Times New Roman" w:eastAsia="Times New Roman" w:hAnsi="Times New Roman"/>
          <w:sz w:val="18"/>
          <w:szCs w:val="18"/>
          <w:color w:val="auto"/>
        </w:rPr>
      </w:pPr>
    </w:p>
    <w:p>
      <w:pPr>
        <w:jc w:val="both"/>
        <w:ind w:left="500" w:hanging="330"/>
        <w:spacing w:after="0" w:line="267" w:lineRule="auto"/>
        <w:tabs>
          <w:tab w:leader="none" w:pos="50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Concentrate sales and marketing efforts in specific geographic markets. </w:t>
      </w:r>
      <w:r>
        <w:rPr>
          <w:rFonts w:ascii="Times New Roman" w:cs="Times New Roman" w:eastAsia="Times New Roman" w:hAnsi="Times New Roman"/>
          <w:sz w:val="18"/>
          <w:szCs w:val="18"/>
          <w:color w:val="auto"/>
        </w:rPr>
        <w:t>We are currently focusing our marketing efforts in North America, Europe,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Australia, and parts of Asia, including Japan. We believe that each of these areas has sizable end market opportunities, political and economic stability, and high levels of industrialization and economic development.</w:t>
      </w:r>
    </w:p>
    <w:p>
      <w:pPr>
        <w:spacing w:after="0" w:line="173" w:lineRule="exact"/>
        <w:rPr>
          <w:rFonts w:ascii="Times New Roman" w:cs="Times New Roman" w:eastAsia="Times New Roman" w:hAnsi="Times New Roman"/>
          <w:sz w:val="18"/>
          <w:szCs w:val="18"/>
          <w:i w:val="1"/>
          <w:iCs w:val="1"/>
          <w:color w:val="auto"/>
        </w:rPr>
      </w:pPr>
    </w:p>
    <w:p>
      <w:pPr>
        <w:jc w:val="both"/>
        <w:ind w:left="500" w:hanging="330"/>
        <w:spacing w:after="0" w:line="267" w:lineRule="auto"/>
        <w:tabs>
          <w:tab w:leader="none" w:pos="50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Expand our relationships in key market areas through strategic partnerships and collaborations. </w:t>
      </w:r>
      <w:r>
        <w:rPr>
          <w:rFonts w:ascii="Times New Roman" w:cs="Times New Roman" w:eastAsia="Times New Roman" w:hAnsi="Times New Roman"/>
          <w:sz w:val="18"/>
          <w:szCs w:val="18"/>
          <w:color w:val="auto"/>
        </w:rPr>
        <w:t>We believe that strategic partners are an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commercializing a new product. Partnerships and collaborations can be used to improve the development of overall integrated solutions, to create new market channels, to expand commercial know-how and geographic footprint, and to bolster our product delivery capabilities.</w:t>
      </w:r>
    </w:p>
    <w:p>
      <w:pPr>
        <w:spacing w:after="0" w:line="227" w:lineRule="exact"/>
        <w:rPr>
          <w:rFonts w:ascii="Times New Roman" w:cs="Times New Roman" w:eastAsia="Times New Roman" w:hAnsi="Times New Roman"/>
          <w:sz w:val="18"/>
          <w:szCs w:val="18"/>
          <w:i w:val="1"/>
          <w:iCs w:val="1"/>
          <w:color w:val="auto"/>
        </w:rPr>
      </w:pPr>
    </w:p>
    <w:p>
      <w:pPr>
        <w:jc w:val="both"/>
        <w:ind w:left="820" w:hanging="326"/>
        <w:spacing w:after="0" w:line="256" w:lineRule="auto"/>
        <w:tabs>
          <w:tab w:leader="none" w:pos="820" w:val="left"/>
        </w:tabs>
        <w:numPr>
          <w:ilvl w:val="1"/>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Commercial collaborations. </w:t>
      </w:r>
      <w:r>
        <w:rPr>
          <w:rFonts w:ascii="Times New Roman" w:cs="Times New Roman" w:eastAsia="Times New Roman" w:hAnsi="Times New Roman"/>
          <w:sz w:val="18"/>
          <w:szCs w:val="18"/>
          <w:color w:val="auto"/>
        </w:rPr>
        <w:t>Commercial collaborations. We believe that an important element of our business strategy is to collaborate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to leverage our combined expertise, market presence and access, and core competences across key markets. We have formed such a relationship with several well-known groups, including MES in Japan, the National Data Buoy Center (“NDBC”), the Wildlife Conservation Society (“WCS”), Gardline Environmental (an international and multi-disciplinary marine service company), Sonalysts (with expertise in subsea and surface communications, systems integration, and big-data management), and HAI Technologies (an innovative company focusing on bringing new capabilities to the oil and gas industry). We continue to seek other opportunities to collaborate with application experts from within our selected markets.</w:t>
      </w:r>
    </w:p>
    <w:p>
      <w:pPr>
        <w:spacing w:after="0" w:line="237" w:lineRule="exact"/>
        <w:rPr>
          <w:rFonts w:ascii="MS PGothic" w:cs="MS PGothic" w:eastAsia="MS PGothic" w:hAnsi="MS PGothic"/>
          <w:sz w:val="18"/>
          <w:szCs w:val="18"/>
          <w:color w:val="auto"/>
        </w:rPr>
      </w:pPr>
    </w:p>
    <w:p>
      <w:pPr>
        <w:jc w:val="both"/>
        <w:ind w:left="820" w:hanging="326"/>
        <w:spacing w:after="0" w:line="259" w:lineRule="auto"/>
        <w:tabs>
          <w:tab w:leader="none" w:pos="820" w:val="left"/>
        </w:tabs>
        <w:numPr>
          <w:ilvl w:val="1"/>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Outsourcing of fabrication, deployment and service support. </w:t>
      </w:r>
      <w:r>
        <w:rPr>
          <w:rFonts w:ascii="Times New Roman" w:cs="Times New Roman" w:eastAsia="Times New Roman" w:hAnsi="Times New Roman"/>
          <w:sz w:val="18"/>
          <w:szCs w:val="18"/>
          <w:color w:val="auto"/>
        </w:rPr>
        <w:t>We outsource all fabrication, anchoring, mooring, cabling supply, and in most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deployment of our PowerBuoy in order to minimize our capital requirements as we scale our business. Our PTO is a proprietary subsystem and is assembled and tested at our facility. We believe this distributed manufacturing and assembly approach enables us to focus on our core competencies ensure a cost effective product by leveraging a larger more established supply base. We also continue to seek strategic partnerships with regard to servicing of our PB3 PowerBuoy.</w:t>
      </w:r>
    </w:p>
    <w:p>
      <w:pPr>
        <w:spacing w:after="0" w:line="179" w:lineRule="exact"/>
        <w:rPr>
          <w:rFonts w:ascii="MS PGothic" w:cs="MS PGothic" w:eastAsia="MS PGothic" w:hAnsi="MS PGothic"/>
          <w:sz w:val="18"/>
          <w:szCs w:val="18"/>
          <w:color w:val="auto"/>
        </w:rPr>
      </w:pPr>
    </w:p>
    <w:p>
      <w:pPr>
        <w:jc w:val="both"/>
        <w:ind w:left="500" w:right="20" w:hanging="330"/>
        <w:spacing w:after="0" w:line="261" w:lineRule="auto"/>
        <w:tabs>
          <w:tab w:leader="none" w:pos="50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PB3 cost reduction and PowerBuoy product development. </w:t>
      </w:r>
      <w:r>
        <w:rPr>
          <w:rFonts w:ascii="Times New Roman" w:cs="Times New Roman" w:eastAsia="Times New Roman" w:hAnsi="Times New Roman"/>
          <w:sz w:val="18"/>
          <w:szCs w:val="18"/>
          <w:color w:val="auto"/>
        </w:rPr>
        <w:t>Our engineering efforts are focused on customer application development for PB3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reduction of our PB3 PowerBuoy and improving the energy output, reliability, maintenance interval and expected operating life of our PowerBuoys. We continue to optimize manufacturability of our designs with a focus on cost competitiveness, and we believe that we will be able to address new and different applications by developing new products that increase energy output.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National Oceanographic and Atmospheric Administration (“NOAA”) Ocean Enterprise Report for 2016 estimated that the annual market for what NOAA describes as the “Ocean Enterprise” is $8.5 billion. The report addressed businesses involved in the for-profit and not-for-profit businesses that support ocean measurement, observation and forecasting. Among the market sectors included in the report are oil and gas, ocean observing and security and defense sectors. We believe that this report addresses only a segment of the potential market opportunities that we are targeting in general.</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Oil and Gas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the offshore oil and gas industry is undergoing a significant transformation. In light of industry consolidation due to relatively low oil prices, the industry continues to invest in new technologies that enable cost savings as well as the digitization of operations. The industry encompasses more than 10,000 offshore sites, including exploration, production, reservoir management, and sites pending decommissioning based on information from the U.S. Bureau of Safety and Environmental Enforcement and industry organizations and publications. We believe that opportunities to implement one or more PB3 PowerBuoys exist at a large number of these sites to provide power in applications that are not currently possible, or to displace current power solutions.</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Ocean Observing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Ocean observing provides environmental intelligence to the entire ocean enterprise, which supports ocean measurement, observation and forecasting, and is an important provider of information to maritime commerce and the entire “blue economy.” Maritime commerce and the scientific community depend on information from areas such as meteorology, climate change, ocean seismometry currents, and biological processes in order to inform operations and development. These groups often require a power and communications solution in remote offshore locations. According to NOAA’s 2016 Ocean Enterprise report, the total U.S. available ocean observing market from 2017 through 2021 for ocean based systems infrastructure is projected to be $2.0 billion.</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Security and Defense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PB3 PowerBuoy is uniquely positioned to be used to provide power and communications for multiple applications within the security and defense market. The PB3’s ability to power multiple payloads may be an attractive feature for defense and security, as their systems can be easily integrated into other PowerBuoy applications allowing their operation to be concealed. An example application for domestic and international defense departments and defense contractors includes forward deployed energy and communications outposts (which is a current U.S. Department of Defense program), both above and below sea surface. Other example applications include early detection and warning systems, remote sensing stations, high frequency radar, sonar, electro-optical and infrared sensors for maritime security, network communications systems, and unmanned underwater vehicle docking stations. According to a 2014 Frost and Sullivan report, market expenditures for global security reached $29.0 billion in 2012 and are projected to reach $56.5 billion in 2022. Maritime security expenditures were approximately 45% of the global security market.</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Communications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opportunities also exist in other markets such as communications. The addition of near shore and offshore cellular and Wi-Fi platforms with reliable and persistent power could open new market opportunities for telecommunications carriers by displacing a portion of the maritime satellite communications market, while potentially decreasing communications costs for the marine, offshore oil and gas, and airline industries. As an example, according to a 2015 Frost &amp; Sullivan Oil &amp; Gas Satellite Communications market report, the estimated 2020 annual spend on satellite communications in the oil and gas market is projected to be $459 million. According to an industry research paper titled “Prospects for Maritime Satellite Communications”, in 2015 the global maritime satellite communications market has already reached close to 338,000 terminals, with $1.7 billion in revenue at the satellite communications service provider level. The report also notes that the value of the maritime satellite communications market is expected to continue to grow over the next decade, with a 10-year compound annual growth rate of 5% in terminals and revenue, primarily due to the ever-increasing need for maritime data communications.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Implementation Strategy</w:t>
      </w:r>
    </w:p>
    <w:p>
      <w:pPr>
        <w:spacing w:after="0" w:line="229" w:lineRule="exact"/>
        <w:rPr>
          <w:sz w:val="20"/>
          <w:szCs w:val="20"/>
          <w:color w:val="auto"/>
        </w:rPr>
      </w:pPr>
    </w:p>
    <w:p>
      <w:pPr>
        <w:jc w:val="both"/>
        <w:ind w:firstLine="513"/>
        <w:spacing w:after="0" w:line="269" w:lineRule="auto"/>
        <w:rPr>
          <w:sz w:val="20"/>
          <w:szCs w:val="20"/>
          <w:color w:val="auto"/>
        </w:rPr>
      </w:pPr>
      <w:r>
        <w:rPr>
          <w:rFonts w:ascii="Times New Roman" w:cs="Times New Roman" w:eastAsia="Times New Roman" w:hAnsi="Times New Roman"/>
          <w:sz w:val="18"/>
          <w:szCs w:val="18"/>
          <w:color w:val="auto"/>
        </w:rPr>
        <w:t>We have made significant progress in redesigning and validating our commercial-ready PB3 PowerBuoy for use in remote offshore applications. Since 2015, we have brought the PB3 from initial concept to a full scale design. We have performed multiple prototype iterations. During this time, we have conducted a number of in-ocean tests in combination with our facility-based accelerated life testing in order to validate our commercial-ready PB3 PowerBuoy and to prepare for low rate initial production. Recently, we announced that we are relocating our corporate headquarters in the second half of calendar year 2017. We believe that this will allow us to expand our manufacturing capabilities and to move toward higher volume PowerBuoy production. Likewise, we have made progress in marketing our PB3 PowerBuoy, as evidenced by additional requests for proposals.</w:t>
      </w:r>
    </w:p>
    <w:p>
      <w:pPr>
        <w:spacing w:after="0" w:line="175" w:lineRule="exact"/>
        <w:rPr>
          <w:sz w:val="20"/>
          <w:szCs w:val="20"/>
          <w:color w:val="auto"/>
        </w:rPr>
      </w:pPr>
    </w:p>
    <w:p>
      <w:pPr>
        <w:jc w:val="both"/>
        <w:ind w:firstLine="513"/>
        <w:spacing w:after="0" w:line="261" w:lineRule="auto"/>
        <w:rPr>
          <w:sz w:val="20"/>
          <w:szCs w:val="20"/>
          <w:color w:val="auto"/>
        </w:rPr>
      </w:pPr>
      <w:r>
        <w:rPr>
          <w:rFonts w:ascii="Times New Roman" w:cs="Times New Roman" w:eastAsia="Times New Roman" w:hAnsi="Times New Roman"/>
          <w:sz w:val="18"/>
          <w:szCs w:val="18"/>
          <w:color w:val="auto"/>
        </w:rPr>
        <w:t>Since 2015, we have had initial introductions or meetings with nearly 200 companies and organizations within our target markets. A large proportion of these engagements (approximately 75%) were U.S.-based, while the remaining engagements occurred in Europe, Australia, and parts of Asia including Japan. One-third of all engagements have transitioned from initial introductions to advanced, confidential discussions around specific customer applications. Many of these discussions occur at the executive, decision-making level, as well as the implementation level.</w:t>
      </w:r>
    </w:p>
    <w:p>
      <w:pPr>
        <w:spacing w:after="0" w:line="180" w:lineRule="exact"/>
        <w:rPr>
          <w:sz w:val="20"/>
          <w:szCs w:val="20"/>
          <w:color w:val="auto"/>
        </w:rPr>
      </w:pPr>
    </w:p>
    <w:p>
      <w:pPr>
        <w:jc w:val="both"/>
        <w:ind w:firstLine="513"/>
        <w:spacing w:after="0" w:line="274" w:lineRule="auto"/>
        <w:rPr>
          <w:sz w:val="20"/>
          <w:szCs w:val="20"/>
          <w:color w:val="auto"/>
        </w:rPr>
      </w:pPr>
      <w:r>
        <w:rPr>
          <w:rFonts w:ascii="Times New Roman" w:cs="Times New Roman" w:eastAsia="Times New Roman" w:hAnsi="Times New Roman"/>
          <w:sz w:val="18"/>
          <w:szCs w:val="18"/>
          <w:color w:val="auto"/>
        </w:rPr>
        <w:t>As previously noted, several of these customer application discussions have resulted in requests for proposals. Many proposal requests are for projects where our PB3 PowerBuoy is part of a larger solution demonstration, and typically include the potential lease or sale of one or more PB3 PowerBuoys, as</w:t>
      </w:r>
    </w:p>
    <w:p>
      <w:pPr>
        <w:jc w:val="both"/>
        <w:spacing w:after="0" w:line="266" w:lineRule="auto"/>
        <w:rPr>
          <w:sz w:val="20"/>
          <w:szCs w:val="20"/>
          <w:color w:val="auto"/>
        </w:rPr>
      </w:pPr>
      <w:r>
        <w:rPr>
          <w:rFonts w:ascii="Times New Roman" w:cs="Times New Roman" w:eastAsia="Times New Roman" w:hAnsi="Times New Roman"/>
          <w:sz w:val="18"/>
          <w:szCs w:val="18"/>
          <w:color w:val="auto"/>
        </w:rPr>
        <w:t>well as required services and maintenance support. Demonstration projects are a necessary step toward broad solution deployment and revenues associated with specific applications and typically last from three months to more than one year. During the demonstration project specification, negotiation and evaluation period, we are often subject to the prospective customer’s vendor qualification process, which entails substantial due diligence of our company and capabilities, and may include negotiation of standard terms and conditions. Many proposals contain provisions which would mandate the sale or lease of PB3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PowerBuoys upon successful conclusion of the demonstration project.</w:t>
      </w:r>
    </w:p>
    <w:p>
      <w:pPr>
        <w:spacing w:after="0" w:line="239" w:lineRule="exact"/>
        <w:rPr>
          <w:sz w:val="20"/>
          <w:szCs w:val="20"/>
          <w:color w:val="auto"/>
        </w:rPr>
      </w:pPr>
    </w:p>
    <w:p>
      <w:pPr>
        <w:jc w:val="both"/>
        <w:ind w:firstLine="513"/>
        <w:spacing w:after="0" w:line="256" w:lineRule="auto"/>
        <w:rPr>
          <w:sz w:val="20"/>
          <w:szCs w:val="20"/>
          <w:color w:val="auto"/>
        </w:rPr>
      </w:pPr>
      <w:r>
        <w:rPr>
          <w:rFonts w:ascii="Times New Roman" w:cs="Times New Roman" w:eastAsia="Times New Roman" w:hAnsi="Times New Roman"/>
          <w:sz w:val="18"/>
          <w:szCs w:val="18"/>
          <w:color w:val="auto"/>
        </w:rPr>
        <w:t>We believe this is an accurate depiction of the overall sales cycle for new technology in each of our target markets, including the PB3 PowerBuoy. However, cycle times for each step of the sales cycle will vary depending on several customer factors, including, but not limited to, technical evaluation, project priorities, funding approval process, and alignment of new technology integration with the customer’s broader operational strategy. We believe that the resulting evidence of potential demand, vis-à-vis specific application proposal requests, is indicative of significant progress in our commercialization strategy over the prior two years. We believe that we have the potential for growth as a result of our positioning for higher volume production of our PB3 PowerBuoys and the initial indications of demand for our PB3 PowerBuoy in multiple customer applications.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Technologies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development and history of our current PowerBuoy product and our technologies.</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Wave Energy</w:t>
      </w:r>
    </w:p>
    <w:p>
      <w:pPr>
        <w:spacing w:after="0" w:line="229" w:lineRule="exact"/>
        <w:rPr>
          <w:sz w:val="20"/>
          <w:szCs w:val="20"/>
          <w:color w:val="auto"/>
        </w:rPr>
      </w:pPr>
    </w:p>
    <w:p>
      <w:pPr>
        <w:jc w:val="both"/>
        <w:ind w:firstLine="513"/>
        <w:spacing w:after="0" w:line="258" w:lineRule="auto"/>
        <w:rPr>
          <w:sz w:val="20"/>
          <w:szCs w:val="20"/>
          <w:color w:val="auto"/>
        </w:rPr>
      </w:pPr>
      <w:r>
        <w:rPr>
          <w:rFonts w:ascii="Times New Roman" w:cs="Times New Roman" w:eastAsia="Times New Roman" w:hAnsi="Times New Roman"/>
          <w:sz w:val="18"/>
          <w:szCs w:val="18"/>
          <w:color w:val="auto"/>
        </w:rPr>
        <w:t>The energy contained in ocean waves is a form of renewable energy that can be harnessed to generate electricity. Ocean waves are created when wind moves across the ocean surface. The interaction between the wind and the ocean surface causes energy to be exchanged. At first, small waves occur on the ocean surface. As this process continues, the waves become larger and the distance between the top of the waves becomes longer. Wave size, and the amount of kinetic wave energy, depends on wind speed, the duration the wind blows across the waves and the distance covered. The vertical motion of the waves moves the float component of our PowerBuoy, creating mechanical energy which our proprietary technologies convert into usable electricity.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there are the following potential benefits to using wave energy for electricity generation, compared to existing incumbent solutions.</w:t>
      </w:r>
    </w:p>
    <w:p>
      <w:pPr>
        <w:spacing w:after="0" w:line="223" w:lineRule="exact"/>
        <w:rPr>
          <w:sz w:val="20"/>
          <w:szCs w:val="20"/>
          <w:color w:val="auto"/>
        </w:rPr>
      </w:pPr>
    </w:p>
    <w:p>
      <w:pPr>
        <w:jc w:val="both"/>
        <w:ind w:left="660" w:hanging="328"/>
        <w:spacing w:after="0" w:line="259"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Scalability within a small site area. </w:t>
      </w:r>
      <w:r>
        <w:rPr>
          <w:rFonts w:ascii="Times New Roman" w:cs="Times New Roman" w:eastAsia="Times New Roman" w:hAnsi="Times New Roman"/>
          <w:sz w:val="18"/>
          <w:szCs w:val="18"/>
          <w:color w:val="auto"/>
        </w:rPr>
        <w:t>Due to the dense energy in ocean waves, we believe that multiple PowerBuoys may be aggregated in an array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occupy a reasonably small area to supply electricity to larger payloads. We believe the aggregation of a larger number of appropriately sized PowerBuoys could offer end users a variety of advantages in availability, reliability and scalability. To date, we have not deployed an array of PowerBuoys to test and validate our hypothesis, and we cannot assure that a PowerBuoy array would generate the energy required to meet the needs of prospective customers.</w:t>
      </w:r>
    </w:p>
    <w:p>
      <w:pPr>
        <w:spacing w:after="0" w:line="179"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Predictability. </w:t>
      </w:r>
      <w:r>
        <w:rPr>
          <w:rFonts w:ascii="Times New Roman" w:cs="Times New Roman" w:eastAsia="Times New Roman" w:hAnsi="Times New Roman"/>
          <w:sz w:val="18"/>
          <w:szCs w:val="18"/>
          <w:color w:val="auto"/>
        </w:rPr>
        <w:t>The generation of power from wave energy can be forecasted several days in advance. Wave energy can be calculated with a high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degree of accuracy based on satellite images and meteorological data, even when the wave is hundreds of miles away and days from reaching a PowerBuoy. Therefore, we believe end-users relying on PowerBuoys for power may be able to plan their logistics, payload scheduling and other operational activities based on such data and proactively, although we have not tested this theory.</w:t>
      </w:r>
    </w:p>
    <w:p>
      <w:pPr>
        <w:spacing w:after="0" w:line="180"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Constant source of energy. </w:t>
      </w:r>
      <w:r>
        <w:rPr>
          <w:rFonts w:ascii="Times New Roman" w:cs="Times New Roman" w:eastAsia="Times New Roman" w:hAnsi="Times New Roman"/>
          <w:sz w:val="18"/>
          <w:szCs w:val="18"/>
          <w:color w:val="auto"/>
        </w:rPr>
        <w:t>The annual flow of waves at certain specific sites can be relatively constant and defined with relatively high accuracy.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our studies and analyses of various sites of interest, we believe that, at some point in the future, we will be able to deploy our PowerBuoys in locations where the waves could produce usable electricity for the majority of all hours during a year.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Methods for generating electricity from wave energy can be divided into two general categories: onshore systems and offshore systems. Our PowerBuoys are the offshore type. Many offshore systems, including our PowerBuoy, utilize a floatation device to harness wave energy. The heaving or pitching of the floatation device due to the force of the waves creates mechanical energy, which is converted into electricity by various technologies. Onshore and near shore systems are often located on a shore cliff or a breakwater, or a short distance at sea from the shore line, and typically must concentrate the wave energy before using it to drive an electrical generator. Although maintenance costs of onshore systems may be less than those associated with offshore systems, we believe there are a variety of disadvantages to the former. As waves approach the shore, their energy decreases, therefore, onshore and near shore wave power stations are not capable of exploiting the same amount of energy produced by waves in deeper water. In addition, suitable sites for onshore and near shore systems are limited and potential environmental and aesthetic issues may impede development of these systems due to wave power station size and proximity of communities.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principal product is our PB3 PowerBuoy, which is designed to generate power for use independent of the power grid in remote offshore locations. It consists of a main hull structure surrounded by a floating buoy-like device. The hull is loosely moored to the seabed so that floating buoy can freely move up and down in response to the rising and falling of the waves. The PTO device that includes an electrical generator, a power electronics system, our control system, and our ESS are sealed within the hull. As ocean waves pass the PowerBuoy, the mechanical stroke action created by the rising and falling of the waves is converted into rotational mechanical energy by the PTO, which in turn, drives the electrical generator. The power electronics system then conditions the electrical output which is collected within an ESS. The operation of the PowerBuoy is controlled by our customized, proprietary control system.</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control system uses sensors and an onboard computer to continuously monitor the PowerBuoy subsystems as well as the characteristics of the waves which interact with the PowerBuoy. The control system collects data from the sensors and the payloads, and uses proprietary algorithms to electronically adjust the performance of the PowerBuoy. We believe that this ability to optimize and manage the electric power output of the PowerBuoy is a significant advantage of our technology.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large storm waves, the control system automatically locks the PowerBuoy and electricity generation is suspended. However, the load center (either the on-board payload or that in the vicinity of the PowerBuoy) may continue to receive power from the on-board ESS. When wave heights return to normal operating conditions, the control system automatically unlocks the PowerBuoy and electricity generation and ESS replenishment recommence. This safety feature helps to prevent the PowerBuoy from being damaged by storm wave impacts.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2016, we announced a rebranding of our PowerBuoy systems as part of our commercialization efforts and to closely align our PowerBuoy products with the perceived best practices of analogous industries based on power generation and on-board energy storage capabilities. Under our new naming conventions, our current PowerBuoy is referred to as the “PB3,” corresponding to “PowerBuoy with a peak power generating rating of three kilowatts.” References to the “APB350” on our website, and in our SEC filings including this Annual Report refers to earlier prototype PowerBuoys containing earlier generation PTOs and other earlier technologies.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PB3 has undergone design iterations from our immediate prior design focusing on improving its reliability and survivability in the anticipated operating ocean environment, and will continue to undergo further enhancements through customary product life cycle management. The PB3-A1 was an initial prototype that has now undergone in-ocean and accelerated life testing, and we believe that the PB3 achieved a maturity level for use by early adopters in fiscal 2017. We continue the process of commercialization of our product and we cannot assure you that we will be successful in our efforts to do so. We believe that the PB3 will generate and store sufficient power to address some application requirements in our target markets. Our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continue to explore opportunities in these target markets, and we have not yet developed any integrated solutions and product offerings in these potential markets. We believe that by increasing the energy output of our PowerBuoys we may be able to address larger segments of our target markets. By improving our design and manufacturing, we also seek to reduce the cost of our PowerBuoys through further design iterations and manufacturing ramp-up. In so doing, we seek to improve customer value, displace more incumbent solutions, and become a viable power source for additional applications in our target market segments.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team has a broad range of experience in mechanical engineering, electrical engineering, hydrodynamics and systems engineering. We have engaged in extensive efforts to develop the PowerBuoy, improve PowerBuoy efficiency, reliability and power output, and to improve manufacturability while reducing cost and complexity. Our efforts have been focused recently on optimizing the size of our PowerBuoys in order to balance customer cost (both capital and operating expenses) with power output of our PowerBuoys. Such efforts include in recent years reducing overall product size and weight by considering the use of materials other than steel for the external structure of our PowerBuoys. Other recent efforts included the development of scalable, higher efficiency, lower cost, higher reliability and less customized PTO systems, and the use of higher energy density and lower weight energy storage technologies. We continue to seek to increase the capabilities of our PowerBuoy systems by designing flexible interfaces and rendering them sensor and payload agnostic.</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Other areas of focus have included the development and implementation of accelerated testing regimens and techniques known as accelerated life testing. Such methods accelerate failures in a laboratory environment, as compared to more lengthy and expensive full scale ocean deployments during normal use and extreme conditions. This testing allows us to quantify the life characteristics of critical components and subsystems which would normally require several years of operation in ocean conditions to achieve similar levels of wear and tear. Accelerated life testing is used successfully in other industries such as automotive and aerospace, and is a critical enabler for rapid product and technology development and maturation. We believe that the combination of laboratory and ocean test regimens coupled with carefully planned PowerBuoy ocean tests will help us to improve our effectiveness in commercializing our products.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our intent to fund the majority of our future research and development expenses with sources of external funding, including cost sharing obligations under customer contracts. However, we cannot assure you that we will be successful in our efforts to secure additional contracts. If we are unable to obtain external funding, we may curtail our research and development expenses or reduce the scope of our operations as necessary to lower our operating costs.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Deployments</w:t>
      </w:r>
    </w:p>
    <w:p>
      <w:pPr>
        <w:spacing w:after="0" w:line="229"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18"/>
          <w:szCs w:val="18"/>
          <w:color w:val="auto"/>
        </w:rPr>
        <w:t>We continue to receive important feedback from in-ocean trial deployments of our PowerBuoys, as is customary in the marine industry for new vessels and products prior to final acceptance by their customers. If we are able to increase PowerBuoy production, we anticipate that the need for in-ocean trials of our mature products will diminish. Deployment sites are selected based on minimum ocean depth, appropriate wave activity for power generation requirements of associated deployment payloads, and proximity to end-user operations. The PB3 can be transported over land to the deployment port using standard 40 foot trailers. Once at port, the PB3 can be lifted into the water or onboard a vessel using a readily available crane of appropriate capacity. The PB3 may then be towed to site using a standard vessel (if the location is within an appropriate distance from the port), or the PB3 may be carried aboard a vessel to its offshore location, and craned into the water at site. The PB3 is then attached to the mooring system, which is installed during a separate operation, after which a brief commissioning process places the PB3 into operation. Recent deployments include the PB3-A1 in August and October of 2015, and again in June and July of 2016 which was the final validation of the PB3 prior to the MES deployment in Japan.</w:t>
      </w:r>
    </w:p>
    <w:p>
      <w:pPr>
        <w:spacing w:after="0" w:line="187" w:lineRule="exact"/>
        <w:rPr>
          <w:sz w:val="20"/>
          <w:szCs w:val="20"/>
          <w:color w:val="auto"/>
        </w:rPr>
      </w:pPr>
    </w:p>
    <w:p>
      <w:pPr>
        <w:jc w:val="both"/>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Insurance. </w:t>
      </w:r>
      <w:r>
        <w:rPr>
          <w:rFonts w:ascii="Times New Roman" w:cs="Times New Roman" w:eastAsia="Times New Roman" w:hAnsi="Times New Roman"/>
          <w:sz w:val="18"/>
          <w:szCs w:val="18"/>
          <w:color w:val="auto"/>
        </w:rPr>
        <w:t>We currently have a property loss and liability insurance policy underwritten by Lloyd's Underwriters that covers the deployment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storage of our PowerBuoys.</w:t>
      </w:r>
    </w:p>
    <w:p>
      <w:pPr>
        <w:spacing w:after="0" w:line="158"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Site Approval. </w:t>
      </w:r>
      <w:r>
        <w:rPr>
          <w:rFonts w:ascii="Times New Roman" w:cs="Times New Roman" w:eastAsia="Times New Roman" w:hAnsi="Times New Roman"/>
          <w:sz w:val="18"/>
          <w:szCs w:val="18"/>
          <w:color w:val="auto"/>
        </w:rPr>
        <w:t>In the U.S., federal agencies regulate the siting of long-term renewable energy projects and related-uses located on the outer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continental shelf (“OCS”), which is generally more than three miles offshore. OCS projects longer than one-year in duration are regulated by the U.S. Bureau of Ocean Energy Management (“BOEM”). For projects located within three miles of the U.S. shore regardless of duration, the adjacent state would be responsible for issuing a lease and other required authorizations for the location of the project. In either case, an assessment of the potential environmental impact of the project would be conducted in addition to other requirements. Generally, the same process applies to foreign sites where site approval is contingent on meeting both national and local regulatory and environmental requirements. In connection with issuing permits or leases enabling project use, the respective government agency often requires site restoration or other activities at the conclusion of the permit or lease period.</w:t>
      </w:r>
    </w:p>
    <w:p>
      <w:pPr>
        <w:spacing w:after="0" w:line="183"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Environmental Approval and Compliance. </w:t>
      </w:r>
      <w:r>
        <w:rPr>
          <w:rFonts w:ascii="Times New Roman" w:cs="Times New Roman" w:eastAsia="Times New Roman" w:hAnsi="Times New Roman"/>
          <w:sz w:val="18"/>
          <w:szCs w:val="18"/>
          <w:color w:val="auto"/>
        </w:rPr>
        <w:t>We are subject to various foreign, federal, state and local environmental protection and health and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and regulations governing, among other things: the generation, storage, handling, use and transportation of hazardous materials; the emission and discharge of hazardous materials into the ground, air or water; and the health and safety of our employees. In addition, in the U.S., the construction and operation of PowerBuoys offshore would require permits and approvals from the U.S. Coast Guard, the U.S. Army Corps of Engineers and other governmental authorities. These required permits and approvals evaluate, among other things, whether a project is in the public interest and ensure that the project would not create a hazard to navigation. Other foreign and international laws may require similar approvals. We provide you with additional information under “Regulation” below.</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Current Customers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shows the percentage of our revenue we derived from significant customers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440" w:type="dxa"/>
            <w:vAlign w:val="bottom"/>
            <w:gridSpan w:val="3"/>
          </w:tcPr>
          <w:p>
            <w:pPr>
              <w:spacing w:after="0"/>
              <w:rPr>
                <w:sz w:val="18"/>
                <w:szCs w:val="18"/>
                <w:color w:val="auto"/>
              </w:rPr>
            </w:pPr>
          </w:p>
        </w:tc>
        <w:tc>
          <w:tcPr>
            <w:tcW w:w="168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Mitsui Engineering &amp; Shipbuilding</w:t>
            </w:r>
          </w:p>
        </w:tc>
        <w:tc>
          <w:tcPr>
            <w:tcW w:w="4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U.S. Department of Defense Office of Naval Research</w:t>
            </w:r>
          </w:p>
        </w:tc>
        <w:tc>
          <w:tcPr>
            <w:tcW w:w="4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Department of Energy</w:t>
            </w:r>
          </w:p>
        </w:tc>
        <w:tc>
          <w:tcPr>
            <w:tcW w:w="4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EU (WavePort Project)</w:t>
            </w:r>
          </w:p>
        </w:tc>
        <w:tc>
          <w:tcPr>
            <w:tcW w:w="266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46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70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1"/>
                <w:szCs w:val="21"/>
                <w:color w:val="auto"/>
              </w:rPr>
            </w:pPr>
          </w:p>
        </w:tc>
      </w:tr>
      <w:tr>
        <w:trPr>
          <w:trHeight w:val="710"/>
        </w:trPr>
        <w:tc>
          <w:tcPr>
            <w:tcW w:w="180" w:type="dxa"/>
            <w:vAlign w:val="bottom"/>
          </w:tcPr>
          <w:p>
            <w:pPr>
              <w:spacing w:after="0"/>
              <w:rPr>
                <w:sz w:val="24"/>
                <w:szCs w:val="24"/>
                <w:color w:val="auto"/>
              </w:rPr>
            </w:pPr>
          </w:p>
        </w:tc>
        <w:tc>
          <w:tcPr>
            <w:tcW w:w="4700" w:type="dxa"/>
            <w:vAlign w:val="bottom"/>
            <w:tcBorders>
              <w:top w:val="single" w:sz="8" w:color="CCEEFF"/>
            </w:tcBorders>
          </w:tcPr>
          <w:p>
            <w:pPr>
              <w:spacing w:after="0"/>
              <w:rPr>
                <w:sz w:val="24"/>
                <w:szCs w:val="24"/>
                <w:color w:val="auto"/>
              </w:rPr>
            </w:pPr>
          </w:p>
        </w:tc>
        <w:tc>
          <w:tcPr>
            <w:tcW w:w="2660" w:type="dxa"/>
            <w:vAlign w:val="bottom"/>
            <w:tcBorders>
              <w:top w:val="single" w:sz="8" w:color="CCEEFF"/>
            </w:tcBorders>
          </w:tcPr>
          <w:p>
            <w:pPr>
              <w:jc w:val="right"/>
              <w:ind w:right="1690"/>
              <w:spacing w:after="0"/>
              <w:rPr>
                <w:sz w:val="20"/>
                <w:szCs w:val="20"/>
                <w:color w:val="auto"/>
              </w:rPr>
            </w:pPr>
            <w:r>
              <w:rPr>
                <w:rFonts w:ascii="Times New Roman" w:cs="Times New Roman" w:eastAsia="Times New Roman" w:hAnsi="Times New Roman"/>
                <w:sz w:val="18"/>
                <w:szCs w:val="18"/>
                <w:color w:val="auto"/>
              </w:rPr>
              <w:t>9</w:t>
            </w:r>
          </w:p>
        </w:tc>
        <w:tc>
          <w:tcPr>
            <w:tcW w:w="15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60" w:type="dxa"/>
            <w:vAlign w:val="bottom"/>
          </w:tcPr>
          <w:p>
            <w:pPr>
              <w:spacing w:after="0"/>
              <w:rPr>
                <w:sz w:val="24"/>
                <w:szCs w:val="24"/>
                <w:color w:val="auto"/>
              </w:rPr>
            </w:pPr>
          </w:p>
        </w:tc>
      </w:tr>
      <w:tr>
        <w:trPr>
          <w:trHeight w:val="105"/>
        </w:trPr>
        <w:tc>
          <w:tcPr>
            <w:tcW w:w="1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61"/>
        </w:trPr>
        <w:tc>
          <w:tcPr>
            <w:tcW w:w="180" w:type="dxa"/>
            <w:vAlign w:val="bottom"/>
            <w:shd w:val="clear" w:color="auto" w:fill="808080"/>
          </w:tcPr>
          <w:p>
            <w:pPr>
              <w:spacing w:after="0"/>
              <w:rPr>
                <w:sz w:val="5"/>
                <w:szCs w:val="5"/>
                <w:color w:val="auto"/>
              </w:rPr>
            </w:pPr>
          </w:p>
        </w:tc>
        <w:tc>
          <w:tcPr>
            <w:tcW w:w="4700" w:type="dxa"/>
            <w:vAlign w:val="bottom"/>
            <w:shd w:val="clear" w:color="auto" w:fill="808080"/>
          </w:tcPr>
          <w:p>
            <w:pPr>
              <w:spacing w:after="0"/>
              <w:rPr>
                <w:sz w:val="5"/>
                <w:szCs w:val="5"/>
                <w:color w:val="auto"/>
              </w:rPr>
            </w:pPr>
          </w:p>
        </w:tc>
        <w:tc>
          <w:tcPr>
            <w:tcW w:w="266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2" w:right="19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have two revenue producing contracts; In May 2016 we entered into a contract with MES totaling nearly $1.0 million, a portion of which was performed in fiscal 2016 as agreed under a letter of intent signed in March 2016. The contract with MES includes certain engineering and other services, and a six-month lease of our PB3 PowerBuoy off the coast of Japan, which commenced in March 2017, and extends through August 2017. MES has the right to cancel all or any separable part of the MES contract for convenience upon 30 days written notice to us, and the contract contains other customary terms and conditions.</w:t>
      </w:r>
    </w:p>
    <w:p>
      <w:pPr>
        <w:spacing w:after="0" w:line="184" w:lineRule="exact"/>
        <w:rPr>
          <w:sz w:val="20"/>
          <w:szCs w:val="20"/>
          <w:color w:val="auto"/>
        </w:rPr>
      </w:pPr>
    </w:p>
    <w:p>
      <w:pPr>
        <w:jc w:val="both"/>
        <w:ind w:left="140" w:firstLine="513"/>
        <w:spacing w:after="0" w:line="255" w:lineRule="auto"/>
        <w:rPr>
          <w:sz w:val="20"/>
          <w:szCs w:val="20"/>
          <w:color w:val="auto"/>
        </w:rPr>
      </w:pPr>
      <w:r>
        <w:rPr>
          <w:rFonts w:ascii="Times New Roman" w:cs="Times New Roman" w:eastAsia="Times New Roman" w:hAnsi="Times New Roman"/>
          <w:sz w:val="18"/>
          <w:szCs w:val="18"/>
          <w:color w:val="auto"/>
        </w:rPr>
        <w:t>In September 2016, we entered into a contract with the U.S. Department of Defense Office of Naval Research (“ONR”) totaling approximately $0.2 million to carry out the first phase of a project which focuses on the initial concept design and development of a mass-on-spring PTO-based PowerBuoy leveraging a number of OPT patents covering such a technology. If successful, this device is expected to be able to respond to the unique set of requirements expected in various military marine applications. Overall, progress was made on the project whereby design and analysis tasks as well as a portion of the test were completed and documented. The Company requested a no-cost extension to ONR in order to address some “infant mortality” findings on the life test portion of the testing effort associated with implementing improved sealing elements and improving test fixture alignment and the completion of the actual test.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order to achieve success in commercializing our products, we must expand our customer base and obtain commercial contracts to lease or sell our PowerBuoy and related services to customers. Our potential customer base for our PowerBuoys includes various public and private entities, and agencies that require remote offshore power. To date, substantially all of our revenue producing contracts have been with a small number of customers under contracts to fund a portion of the costs of our operational efforts to develop and improve our technology, validate our product through ocean and laboratory testing, and business development activities with potential commercial customers. Our goal in the future is that an increased portion of our revenues will be from the lease or sale of our products and related maintenance and other services. Our significant customers and contracts to date are summarized below.</w:t>
      </w:r>
    </w:p>
    <w:p>
      <w:pPr>
        <w:spacing w:after="0" w:line="188" w:lineRule="exact"/>
        <w:rPr>
          <w:sz w:val="20"/>
          <w:szCs w:val="20"/>
          <w:color w:val="auto"/>
        </w:rPr>
      </w:pPr>
    </w:p>
    <w:p>
      <w:pPr>
        <w:jc w:val="both"/>
        <w:ind w:left="980" w:hanging="324"/>
        <w:spacing w:after="0" w:line="254"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worked with MES (from 2010 to current) to develop several PowerBuoy projects in Japan. Historically, our agreements with MES have provided for MES to reimburse us for specific costs associated with research, development and deployment of our PowerBuoy product. In March 2016, we entered into a letter of intent (“LOI”) with MES to conduct funded pre-work tasks and to negotiate a definitive agreement that would allow for the lease of the PB3 PowerBuoy for a project off the coast of Kozushima Island, Japan following a planned stage gate review. Stage-gate reviews are used in product development to gather key information needed to advance the project to the next gate or decision point. This process is a generally accepted industry practice and has been utilized by other customers such as the DOE. A final contract was negotiated and finalized with MES in May 2016 that included engineering and logistics support, and the lease of our PB3 PowerBuoy for a 6-month period, its ocean deployment, associated data collection and monitoring of its performance. Upon the completion of the engineering pre-work and a successful stage gate review, the PB3 was shipped to Japan and has been deployed off Kozushima Island since April 17, 2017.</w:t>
      </w:r>
    </w:p>
    <w:p>
      <w:pPr>
        <w:spacing w:after="0" w:line="18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worked with the DOE (2008 to current) and the U.K. government’s Technology Strategy Board (2010 to 2014) under contracts to help fund technology improvements to increase the power output of our prototype PowerBuoys. Two DOE contracts concluded in fiscal 2016.</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2016, we entered into a contract with ONR to carry out the first phase of a project which focuses on the initial concept design and development of a mass-on-spring PTO-based PowerBuoy leveraging a number of OPT patents covering such a technology.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Relationships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have developed strategic relationships with companies seeking to validate our PowerBuoy as a source of energy for specific applications. These strategic relationships generally require us to provide services and/or products to, or in conjunction with, our strategic partners, seeking to jointly develop an application. We generally bear our own costs associated with the performance of these strategic arrangements and these relationships generally do not generate any revenues for us. Our current strategic relationships are described below.</w:t>
      </w:r>
    </w:p>
    <w:p>
      <w:pPr>
        <w:spacing w:after="0" w:line="180" w:lineRule="exact"/>
        <w:rPr>
          <w:sz w:val="20"/>
          <w:szCs w:val="20"/>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2015, we entered into a memorandum of understanding (“MOU”) with Gardline Environmental to jointly develop and market innovative metocean monitoring and maritime security systems for prospective customers in the oil and gas, ocean observing, and security and defense markets. We have successfully completed phase one of the MOU and are currently working with Gardline Environmental to advance to the next phase.</w:t>
      </w:r>
    </w:p>
    <w:p>
      <w:pPr>
        <w:spacing w:after="0" w:line="180"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we entered into a cooperative research and development agreement (“CRADA”) with the NDBC to conduct ocean demonstrations of its innovative Self-Contained Ocean Observing Payload (“SCOOP”) monitoring system integrated into our PB3-A1 PowerBuoy. NDBC operates a large network of buoys and stations which provide critical meteorological and oceanic observations that are utilized by government, industry, and academia throughout the world. Under the CRADA, an initial ocean demonstration was to be conducted off the coast of New Jersey. We integrated the SCOOP onto our PB3 PowerBuoy and in June 2016 we deployed the system off of the coast of New Jersey. Site-specific measurements of meteorological and ocean conditions, as well as system performance and maintenance data collection, were carried out. The SCOOP was powered by the PB3, and provided metocean data to OPT and to NDBC. The deployment proceeded for approximately three months and met all project objectives. We are now in discussions with the NDBC around next steps.</w:t>
      </w:r>
    </w:p>
    <w:p>
      <w:pPr>
        <w:spacing w:after="0" w:line="18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2016, we entered into a Memorandum of Agreement (“MOA”) with WCS to explore the use of our PowerBuoys in conjunction with ocean life monitoring sensors to collect ocean mammal migration data. The MOA includes the exploration and assessment of the use of the PB3 as an integration platform to provide power and communications to sensors that monitor marine life migrations. An initial effort consisting of a battery powered sensor mounted to the PB3-A1 was deployed off of the coast of New Jersey which sought to establish a baseline acoustic survey. The deployment proceeded for approximately three months and met all project objectives. We are now in discussions with WCS around next steps.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2016, we entered into a Joint Marketing Agreement with Sonalysts, Inc. to explore and pursue mutual opportunities in defense and oil and gas applications. The agreement includes the exploration and assessment of the use of the PB3 as a platform to provide power and communications for these markets. Founded in 1973, Sonalysts is a multi-disciplinary engineering and technical services firm with tremendous competency and expertise as a systems integrator developing and supporting mission critical systems for the U.S. Navy Submarine Force. Such applications include real-world mission and tactical analyses and electronic warfare, imaging and combat control systems. Sonalysts’ core strengths also include developing and delivering interactive, computer-based training solutions, operations analysis, human systems integration solutions, and weather and aviation information processing and streaming systems. Additionally, Sonalysts maintains core technology and expertise in undersea wireless communications and in autonomous undersea systems analysis which are available to a variety of defense and commercial customers. Sonalysts’ wXstation® software and Dispatch Weather Client (DWC) integrated with OPT’s PB3 PowerBuoy, have the potential to form the base technology in support of future commercial and defense unmanned undersea system’s power and communication requirements. We believe that bringing the unique capabilities and expertise of our two companies together will enable the autonomous undersea vehicle infrastructure in these two critically important business sectors.</w:t>
      </w:r>
    </w:p>
    <w:p>
      <w:pPr>
        <w:spacing w:after="0" w:line="190"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2017, we entered into a Joint Application Development and Marketing Agreement with HAI Technologies to pursue mutual opportunities. The initial focus of the agreement is on offshore oil and gas subsea chemical injection systems where persistent power and real-time data communications are critical. HAI has experience in a variety of technologies and applications in the offshore oil and gas industry including subsea chemical systems. Chemical injection techniques are used to mitigate the diminishing effects of buildup in piping and pumping systems used in subsea oil production operations. HAI has developed an innovative, compact and modular concept which moves the chemical injection system closer to the production field. We believe HAI Technologies’ advanced chemical injection solutions, combined with OPT’s PB3 PowerBuoy, creates a unique opportunity to pair two distinctive offshore technologies creating new methods to deal with long distance and remote offshore field developments.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Historic Projects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relationships and projects during recent years include, but are not limited to, the following:</w:t>
      </w:r>
    </w:p>
    <w:p>
      <w:pPr>
        <w:spacing w:after="0" w:line="22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U.S. Navy and Department of Homeland Security.</w:t>
      </w:r>
    </w:p>
    <w:p>
      <w:pPr>
        <w:spacing w:after="0" w:line="227" w:lineRule="exact"/>
        <w:rPr>
          <w:sz w:val="20"/>
          <w:szCs w:val="20"/>
          <w:color w:val="auto"/>
        </w:rPr>
      </w:pPr>
    </w:p>
    <w:p>
      <w:pPr>
        <w:jc w:val="both"/>
        <w:ind w:left="1460" w:hanging="318"/>
        <w:spacing w:after="0" w:line="266" w:lineRule="auto"/>
        <w:tabs>
          <w:tab w:leader="none" w:pos="14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2009 to 2011, we ocean-tested our utility-scale PowerBuoy at the U.S. Marine Corps Base, Hawaii at Kaneohe Bay. The PowerBuoy was launched under our program with the U.S. Navy for ocean testing and demonstration of a prior iteration of our PowerBuoy, including connection to the Oahu power grid.</w:t>
      </w:r>
    </w:p>
    <w:p>
      <w:pPr>
        <w:spacing w:after="0" w:line="176" w:lineRule="exact"/>
        <w:rPr>
          <w:rFonts w:ascii="Times New Roman" w:cs="Times New Roman" w:eastAsia="Times New Roman" w:hAnsi="Times New Roman"/>
          <w:sz w:val="18"/>
          <w:szCs w:val="18"/>
          <w:color w:val="auto"/>
        </w:rPr>
      </w:pPr>
    </w:p>
    <w:p>
      <w:pPr>
        <w:ind w:left="1560" w:right="20" w:hanging="418"/>
        <w:spacing w:after="0" w:line="282" w:lineRule="auto"/>
        <w:tabs>
          <w:tab w:leader="none" w:pos="15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2007 to 2013, we worked on two separate contracts to fabricate and deploy two autonomous PowerBuoys, which were subsequently deemed obsolete, as an alternate power source for the U.S. Navy's Deep Water Active Detection System (“DWADS”).</w:t>
      </w:r>
    </w:p>
    <w:p>
      <w:pPr>
        <w:spacing w:after="0" w:line="161" w:lineRule="exact"/>
        <w:rPr>
          <w:rFonts w:ascii="Times New Roman" w:cs="Times New Roman" w:eastAsia="Times New Roman" w:hAnsi="Times New Roman"/>
          <w:sz w:val="18"/>
          <w:szCs w:val="18"/>
          <w:color w:val="auto"/>
        </w:rPr>
      </w:pPr>
    </w:p>
    <w:p>
      <w:pPr>
        <w:jc w:val="both"/>
        <w:ind w:left="1560" w:hanging="418"/>
        <w:spacing w:after="0" w:line="254" w:lineRule="auto"/>
        <w:tabs>
          <w:tab w:leader="none" w:pos="15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2009 and 2010, we were awarded $2.4 million and $2.75 million, respectively, from the U.S. Navy to develop a Littoral Expeditionary Autonomous PowerBuoy (“LEAP”) prototype. The LEAP contract was developed to enhance the U.S. Navy's territorial protection capability by providing potential persistent power at sea for port maritime surveillance in the near coast, harbor, piers and offshore areas. During the LEAP contract, we designed, built and deployed in 2011 a PowerBuoy structure incorporating a new PTO system. The system was deployed by a U.S. Coast Guard vessel and was ocean-tested approximately 20 miles off of the coast of New Jersey. It was integrated with a Rutgers University-operated land-based radar network that provided ocean current mapping data for the National Oceanographic and Atmospheric Administration (“NOAA”) and U.S. Coast Guard Search and Rescue (“SAR”) operations. The ocean test of the LEAP vessel detection system demonstrated dual-use capability of the radar network and helped to verify our technology as a potential persistent power source for systems requiring remote power at sea. During the ocean testing under these contracts, our PowerBuoy withstood the high storm waves of Hurricane Irene which occurred in August 2011.</w:t>
      </w:r>
    </w:p>
    <w:p>
      <w:pPr>
        <w:spacing w:after="0" w:line="186" w:lineRule="exact"/>
        <w:rPr>
          <w:rFonts w:ascii="Times New Roman" w:cs="Times New Roman" w:eastAsia="Times New Roman" w:hAnsi="Times New Roman"/>
          <w:sz w:val="18"/>
          <w:szCs w:val="18"/>
          <w:color w:val="auto"/>
        </w:rPr>
      </w:pPr>
    </w:p>
    <w:p>
      <w:pPr>
        <w:jc w:val="both"/>
        <w:ind w:left="1560" w:hanging="418"/>
        <w:spacing w:after="0" w:line="261" w:lineRule="auto"/>
        <w:tabs>
          <w:tab w:leader="none" w:pos="15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2012, we executed a CRADA with the U.S. Department of Homeland Security to collaborate and demonstrate persistent maritime vessel detection. The vessel detection ocean demonstration in 2013 utilized the same PowerBuoy under the LEAP contract with additional sensors. This additional deployment provided critical data which informed our next design iteration, and which incorporated major modifications to address critical operations and reliability improvements. This project concluded in 2013.</w:t>
      </w:r>
    </w:p>
    <w:p>
      <w:pPr>
        <w:spacing w:after="0" w:line="17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Lockheed Martin</w:t>
      </w:r>
      <w:r>
        <w:rPr>
          <w:rFonts w:ascii="Times New Roman" w:cs="Times New Roman" w:eastAsia="Times New Roman" w:hAnsi="Times New Roman"/>
          <w:sz w:val="18"/>
          <w:szCs w:val="18"/>
          <w:color w:val="auto"/>
        </w:rPr>
        <w:t>. From 2004 to 2014, we had several project teaming agreements and license agreements with Lockheed Martin.</w:t>
      </w:r>
    </w:p>
    <w:p>
      <w:pPr>
        <w:spacing w:after="0" w:line="225" w:lineRule="exact"/>
        <w:rPr>
          <w:rFonts w:ascii="Times New Roman" w:cs="Times New Roman" w:eastAsia="Times New Roman" w:hAnsi="Times New Roman"/>
          <w:sz w:val="18"/>
          <w:szCs w:val="18"/>
          <w:i w:val="1"/>
          <w:iCs w:val="1"/>
          <w:color w:val="auto"/>
        </w:rPr>
      </w:pPr>
    </w:p>
    <w:p>
      <w:pPr>
        <w:jc w:val="both"/>
        <w:ind w:left="660" w:hanging="328"/>
        <w:spacing w:after="0" w:line="253" w:lineRule="auto"/>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Australia. </w:t>
      </w:r>
      <w:r>
        <w:rPr>
          <w:rFonts w:ascii="Times New Roman" w:cs="Times New Roman" w:eastAsia="Times New Roman" w:hAnsi="Times New Roman"/>
          <w:sz w:val="18"/>
          <w:szCs w:val="18"/>
          <w:color w:val="auto"/>
        </w:rPr>
        <w:t>In 2008, we announced a Joint Development Agreement with Leighton Contractors Pty. Ltd. (“Leighton”) for the development of wave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projects off the coast of Australia. In 2009, Leighton formed Victorian Wave Partners Pty Ltd (“VWP”), a special purpose company for the development of a wave power project off the coast of Victoria, Australia. In 2010, VWP and the Commonwealth of Australia entered into an Energy Demonstration Program Funding Deed (“Funding Deed”), wherein VWP was awarded an A$66.5 million (approximately US$62 million) grant for the wave power project. However, receipt of funds under the grant was subject to certain terms, including achievement of future significant external funding milestones. The grant was expected to be used towards the A$232 million proposed cost of building and deploying a wave power station off the coast of Australia (the “Project”). In March 2012, our Australian subsidiary Ocean Power Technologies (Australasia) Pty. Ltd acquired 100% ownership of VWP from Leighton. In January 2014, VWP signed a Deed of Variation with the Australian Renewable Energy Agency (“ARENA”) that amended the Funding Deed, and, in March 2014, received the initial portion of the grant from ARENA in the amount of approximately A$5.6 million (approximately US$5.2 million) (the “Initial Funding”). The Initial Funding was subject to claw-back provisions if certain contractual requirements, including performance criteria, were not satisfied. In light of the claw-back provisions, we determined to classify the Initial Funding as an advance payment, hold the funds as restricted cash and defer recognition of the funds as revenue. In July 2014, the VWP Board of Directors determined that the project contemplated by the Funding Deed was no longer commercially viable and terminated the Funding Deed. The Initial Funding was returned to ARENA. We do not currently have any projects in Australia.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56"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Japan. </w:t>
      </w:r>
      <w:r>
        <w:rPr>
          <w:rFonts w:ascii="Times New Roman" w:cs="Times New Roman" w:eastAsia="Times New Roman" w:hAnsi="Times New Roman"/>
          <w:sz w:val="18"/>
          <w:szCs w:val="18"/>
          <w:color w:val="auto"/>
        </w:rPr>
        <w:t>In fiscal 2014, 2015 and 2016, we worked with MES under several contracts to enhance our PowerBuoy technology for Japanese sea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for both utility scale and autonomous applications. Under these contracts and leveraging prior work with MES, we analyzed methods to maximize buoy power capture, performed modeling and wave tank testing, evaluated novel mooring strategies and conducted design reviews. Currently, the utility scale effort with MES has been suspended and our current efforts with MES are focused on autonomous applications. We billed and were paid for all eligible costs incurred under the previous utility scale project with MES in fiscal 2015. Our revenue recorded in fiscal 2016 and 2017 reflect the total amount paid on these MES contracts. See above under “—Current Customers” for a description of our current contract with MES.</w:t>
      </w:r>
    </w:p>
    <w:p>
      <w:pPr>
        <w:spacing w:after="0" w:line="183" w:lineRule="exact"/>
        <w:rPr>
          <w:rFonts w:ascii="Times New Roman" w:cs="Times New Roman" w:eastAsia="Times New Roman" w:hAnsi="Times New Roman"/>
          <w:sz w:val="18"/>
          <w:szCs w:val="18"/>
          <w:i w:val="1"/>
          <w:iCs w:val="1"/>
          <w:color w:val="auto"/>
        </w:rPr>
      </w:pPr>
    </w:p>
    <w:p>
      <w:pPr>
        <w:jc w:val="both"/>
        <w:ind w:left="660" w:hanging="328"/>
        <w:spacing w:after="0" w:line="254"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Reedsport, Oregon Project. </w:t>
      </w:r>
      <w:r>
        <w:rPr>
          <w:rFonts w:ascii="Times New Roman" w:cs="Times New Roman" w:eastAsia="Times New Roman" w:hAnsi="Times New Roman"/>
          <w:sz w:val="18"/>
          <w:szCs w:val="18"/>
          <w:color w:val="auto"/>
        </w:rPr>
        <w:t>We obtained a permit in 2007 from the Federal Regulatory Commission (“FERC”) for a multi-stage wave power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 the coast of Reedsport, Oregon. In addition, we received two cost-sharing contracts with the DOE for approximately $4.4 million to construct and deploy a single PowerBuoy off the coast of Reedsport. We subsequently obtained a license from FERC in August 2012 that authorized installation and operation of a 10-buoy grid connected wave energy array (the “License”). Due to the complexity of the FERC regulations for the single buoy, higher than anticipated project costs, unanticipated technical risks, and uncertainty surrounding permitting, we made the decision not to proceed with the project. Accordingly, we announced in March 2014 our surrender of the permit for one phase of the project and announced in April 2014 that we were taking the steps necessary to close out this project with the DOE. In May 2014, we filed an application to surrender the FERC permit for the remaining phases. In August 2014, in cooperation with the State of Oregon Department of State Lands, we removed anchoring and mooring equipment from the seabed off of the coast of Oregon. In fiscal 2016, we dispositioned the PowerBuoy. In late fiscal 2016 and early fiscal 2017, we disposed of the remaining anchoring and mooring equipment through a local entity and by June 2017 the project was closed out.</w:t>
      </w:r>
    </w:p>
    <w:p>
      <w:pPr>
        <w:spacing w:after="0" w:line="186" w:lineRule="exact"/>
        <w:rPr>
          <w:rFonts w:ascii="Times New Roman" w:cs="Times New Roman" w:eastAsia="Times New Roman" w:hAnsi="Times New Roman"/>
          <w:sz w:val="18"/>
          <w:szCs w:val="18"/>
          <w:i w:val="1"/>
          <w:iCs w:val="1"/>
          <w:color w:val="auto"/>
        </w:rPr>
      </w:pPr>
    </w:p>
    <w:p>
      <w:pPr>
        <w:jc w:val="both"/>
        <w:ind w:left="660" w:hanging="328"/>
        <w:spacing w:after="0" w:line="254"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EU WavePort Project. </w:t>
      </w:r>
      <w:r>
        <w:rPr>
          <w:rFonts w:ascii="Times New Roman" w:cs="Times New Roman" w:eastAsia="Times New Roman" w:hAnsi="Times New Roman"/>
          <w:sz w:val="18"/>
          <w:szCs w:val="18"/>
          <w:color w:val="auto"/>
        </w:rPr>
        <w:t>In 2010, we were awarded €2.2 million under the European Commission's Seventh Framework Programme (“FP7”)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European Commission's Directorate (“EC”) responsible for new and renewable sources of energy, energy efficiency and innovation. This grant was part of a total award of €4.5 million to a consortium of companies, including us, to deliver a PowerBuoy wave energy device, referred to as the PB40 (a legacy utility scale buoy), under a project entitled WavePort. We commenced work under this grant in fiscal 2012, and this cost-sharing contract expired on July 31, 2014. Due to a variety of factors, in October 2014, we shipped the PB40 back to New Jersey in order to undertake to deploy it off of the coast of New Jersey using our own funding. The legacy utility scale buoy was deployed in July 2015 and retrieved in August 2015, due to failure of a component part. We do not intend to redeploy the PB40. Following a project audit, final payment under the WavePort Project was received and recognized as revenue in fiscal 2016. Subsequently, the Company proceeded with the deployment site remediation to meet the terms of its deployment permit requirements. The site remediation was completed on May 18, 2017.</w:t>
      </w:r>
    </w:p>
    <w:p>
      <w:pPr>
        <w:spacing w:after="0" w:line="189" w:lineRule="exact"/>
        <w:rPr>
          <w:rFonts w:ascii="Times New Roman" w:cs="Times New Roman" w:eastAsia="Times New Roman" w:hAnsi="Times New Roman"/>
          <w:sz w:val="18"/>
          <w:szCs w:val="18"/>
          <w:i w:val="1"/>
          <w:iCs w:val="1"/>
          <w:color w:val="auto"/>
        </w:rPr>
      </w:pPr>
    </w:p>
    <w:p>
      <w:pPr>
        <w:jc w:val="both"/>
        <w:ind w:left="660" w:hanging="328"/>
        <w:spacing w:after="0" w:line="255"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PowerBuoy Development Projects. </w:t>
      </w:r>
      <w:r>
        <w:rPr>
          <w:rFonts w:ascii="Times New Roman" w:cs="Times New Roman" w:eastAsia="Times New Roman" w:hAnsi="Times New Roman"/>
          <w:sz w:val="18"/>
          <w:szCs w:val="18"/>
          <w:color w:val="auto"/>
        </w:rPr>
        <w:t>In April 2010, we received a $1.5 million award from the DOE for a feasibility study of a PowerBuoy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produce up to 500kW of power (referred to as the “PB500”). In fiscal 2011, we received additional awards totaling $4.7 million for the PB500 structure and PTO optimization study, $2.3 million from the U.K. Government’s Technology Strategy Board and $2.4 million from the DOE. In fiscal 2014, upon completion of the concept design and associated trade studies that included detailed mechanical analyses, manufacturability and overall projected performance, the study concluded that a PB500 would not be technically feasible or economically viable. In March 2015, we successfully completed a stage gate review and a review of project deliverables with the DOE where advancements related to PTO design aspects such as reliability, cost take out, manufacturability and scalability were reviewed. Following a stage gate review, the project was successfully completed in fiscal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engage in two types of manufacturing activities: 1) the manufacturing of the high value-added PTO components for systems control, power generation and conversion, and energy storage for each PowerBuoy; and 2) contracting with outside companies for the fabrication of the buoy structure, mooring system, and cabling.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core in-house manufacturing activity is the assembly, final systems integration and testing of the PTO and its components, which is conducted at our New Jersey facility. The power generation system consists of electro-mechanical components, and the control modules include the critical electrical and electronic systems that convert the mechanical energy into usable electricity. The sensors and control systems use sophisticated technology to optimize the performance of the PowerBuoy in response to changing operating conditions and payload power demand. We maintain a portfolio of patents, including those that cover our power generation, power conversion and control technologies.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purchase the remaining components and materials for each PowerBuoy from various vendors. We provide specifications to each vendor, and they are responsible for performing quality analysis and quality control over the course of construction, subject to our review of the quality and test procedure results. After the vendor completes the testing of the buoy structure, it is transported to our facility for final integration of the PTO. After each vendor completes testing of the remaining components, they are transported ready-to-install to the project site. We do not believe that we are dependent on any single vendor for manufacturing the components of and materials for our PowerBuoy, and we believe that there are many available manufacturers for our component parts if a particular manufacturing partner should become unavailable or expensive. However, we have only manufactured our PowerBuoys in limited quantities for use in development and testing and have limited commercial manufacturing experience, and our work with our vendors has not included work on multiple orders on time-critical deadlines. Moreover, we do not have long-term contracts with our third-party manufacturers or vendors. In order to be successful in our efforts to commercialize our PowerBuoys, we will need to secure stable relationships with a variety of manufacturers and vendors that can supply component parts and materials for our PowerBuoy products.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April 2017, we announced that we will be relocating our corporate headquarters and manufacturing operations from Pennington, New Jersey to Monroe, New Jersey. Our new facility will offer approximately 56,000 square feet of manufacturing and office space, which is more than double the size of our current facility. This larger space will support our increased operational needs, and also will allow for our anticipated growth over the next several years. We believe this new facility will enable us to implement world class assembly and testing processes, emphasizing product quality and employee safety, while significantly improving our ability to increase product throughput. We believe that our decision to relocate our operations is integral to our overall business growth strategy.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enhance our marketing capabilities across our target markets and we have begun actively marketing our PowerBuoys. We currently use a direct sales force consisting of employees and industry expert consultants. Because our PowerBuoys use technology which is not yet considered mature by our target markets, we expect that the customer decision process could require us to spend substantial time educating end-users and stakeholders, which may result in a lengthy sales cycle.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market our PowerBuoys to companies and entities requiring remote offshore power and communications; for example, oil and gas companies for potential applications such as remote sensing, trace heating, or autonomous site monitoring, power and communications for remotely operated vehicles or autonomous underwater vehicle charging stations. We also see opportunities for security and defense applications using active sensors such as high frequency radar and acoustic systems with significant processing and communications requirements.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we continue to seek to enter into strategic relationships to develop application solutions with commercial and military sensor and equipment manufacturers, where we might grant licenses to manufacture, market or operate PowerBuoys or PowerBuoy subsystems.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April 30, 2017, our backlog was $0.3 million. This backlog includes amounts remaining to be paid under the MES and ONR contracts. Our backlog can include both funded amounts, which are unfilled firm orders for our products and services for which funding has been both authorized and appropriated by the customer (U.S. Congress, in the case of U.S. Government agencies), and unfunded amounts, which are unfilled firm orders for which funding has not been appropriated. If any of our contracts were to be terminated, our backlog would be reduced by the expected value of the remaining terms of such contract. Our backlog was fully funded at April 30, 2017.</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compete with other providers of in-ocean autonomous power sources, including battery, solar and fossil-fuel power sources, where many of the providers are substantially larger than OPT and may have access to greater financial resources. Incumbent sources of in-ocean power may also represent established and reliable power sources and may have already gained customer acceptance. Our ability to compete successfully for business from applications seeking in-ocean power will depend on our ability to produce and store energy reliably and at a total cost that is competitive with or lower than that of other sources, and on the on-going reliability of our product and customer perception of our company. Our ability to compete effectively may be adversely affected by our current need for additional financing and our future customers’ concerns about our long-term viability.</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may eventually compete against other renewable wave generated power providers. As of April 2017, there were more than nearly 300 companies, some with institutional funding, listed in the DOE’s Marine and Hydrokinetic (“MHK”) Technology Database. This DOE database provides up-to-date information on marine and hydrokinetic renewable energy technologies and companies, both in the U.S. and around the world. Many of these companies are located in the U.K., continental Europe, Japan, Israel, the U.S. and Australia, and many of those companies are pursuing the utility, grid-connected energy market. The MHK industry is both highly competitive and continually evolving as participants strive to differentiate themselves by promoting their specific technology focusing on cost and efficiency. The companies are subdivided by implementation: wave power, current power, tidal and ocean thermal energy conversion. Within wave power, the technologies are classified as point absorber, oscillating wave column, overtopping device, attenuator and oscillating wave surge converter. Our PowerBuoy wave energy converter is classified as a point absorber.</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vast majority of the companies in the DOE’s database are small, start-up type companies with a small number of employees and in early stage development that do not have our in-ocean validation experience. Only a few of these companies have conducted testing similar to us, such as accelerated life testing and extensive wave tank testing on reduced scale models of their devices. We believe our in-ocean experience is critical in proving the reliability, survivability and performance of any wave energy system, which we believe our future customers will require before adopting any wave generated energy solution. We believe our experience gained through full scale in-ocean deployments, coupled with other types of factory and laboratory testing, and our resulting understanding of risks and failure modes provides us with an advantage compared to potential wave energy competitors.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analysis of the DOE database indicates that approximately 20 wave energy technologies were selected for further evaluation by the DOE, primarily based on company financial capability, type of system and potential to compete in autonomous (non-grid connected) markets. Of these, there are three companies that we believe may have the technical capability and financial viability to compete in the offshore autonomous power market; however, their technologies are still in early stage development with limited ocean testing. We believe that none of these technologies are at the maturity level of our current PB3 PowerBuoy, and because of this we believe that we continue to maintain a first mover advantage.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technology differentiates us from other providers of wave energy conversion technologies. As a result, our success depends in part on our ability to obtain and maintain proprietary protection for our products, technology and know-how, to operate without infringing upon the proprietary rights of others and to prevent others from infringing upon our proprietary rights. Our policy is to seek to protect our proprietary position by, among other methods, filing U.S. and foreign patent applications related to our proprietary technology, inventions and improvements that are important to the development of our business. We also rely on trade secrets, know-how, and continuing technological innovation and may rely on licensing opportunities to develop and maintain our proprietary position.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2017, we have been issued 63 U.S. patents, of which 49 are active and 14 have expired. Outside of the U.S. we have been issued 169 patents across twelve countries with 31 of the active U.S. patents having at least one corresponding issued foreign patent. We have filed for 7 additional U.S. patents and 2 of the U.S. patents applications have corresponding foreign patent applications. Our patent portfolio includes patents and patent applications with claims directed to:</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design;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conversion;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anchoring and mooring;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 farm architecture.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expiration dates for our issued U.S. patents range from 2018 to 2032. We do not consider any single patent or patent application that we hold to be material to our business. The patent positions of companies like ours are generally uncertain and involve complex legal and factual questions. Our ability to maintain and solidify our proprietary position for our technology will depend on our success in continuing to obtain effective patent claims and enforcing those claims once granted. In addition, certain technologies that we developed with U.S. federal government funding are subject to certain government rights as described in "Risk Factors — Risks Related to Intellectual Property."</w:t>
      </w:r>
    </w:p>
    <w:p>
      <w:pPr>
        <w:spacing w:after="0" w:line="184"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18"/>
          <w:szCs w:val="18"/>
          <w:color w:val="auto"/>
        </w:rPr>
        <w:t>We use trademarks on nearly all of our products and believe that having distinctive marks is an important factor in marketing our products. We have registered our PB-Vue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OPTMicrobuoy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CellBuoy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PowerTower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Making Waves in Power</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u w:val="single" w:color="auto"/>
          <w:color w:val="auto"/>
        </w:rPr>
        <w:t>OPT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marks in the United States. Trademark ownership is generally of indefinite duration when marks are properly maintained in commercial use.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PowerBuoys are subject to regulation in the U.S. and in foreign jurisdictions concerning, among other areas, site approval and environmental approval and compliance. In order to encourage the adoption of offshore power solutions, many governments offer subsidies and other financial incentives and have mandated renewable energy targets which some of our customers may be able to leverage. However, these subsidies, incentives and targets may not be applicable to our technology and therefore may not be available to our customers.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renewable energy industry has also been subject to increasing regulation. As the renewable energy industry continues to evolve and as the wave energy industry continues to evolve, we anticipate that wave energy technology and our PowerBuoys and their deployment will be subject to increased oversight and regulation in accordance with international, national and local regulations relating to safety, sites, and environmental protection.</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Site Approval, Environmental Approval and Compliance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present additional information regarding the regulatory requirements relating to our in-ocean deployments above, under “Product and Technologies – Deployments.”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Subsidies and Incentives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Renewable energy subsidies and incentives are generally applicable only to electric generation and supply to the utility grid. However, our autonomous applications may permit a customer to reduce its carbon emissions, which our potential customers may be able to publicize in their environmental stewardship reports.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April 30, 2017, we had 29 full-time employees and one part-time employee. Of these employees, 28 are located in the United States and 1 is located in the United Kingdom. We believe that our future success will depend in part on our continued ability to attract, hire and retain qualified personnel. None of our employees are represented by a labor union, and we believe our employee relations are good.</w:t>
      </w:r>
    </w:p>
    <w:p>
      <w:pPr>
        <w:spacing w:after="0" w:line="3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following risk factors together with the other information contained in this Annual Report on Form 10-K, and in prior reports pursuant to the Securities Exchange Act of 1934, as amended. If any of the following risks actually occur, they may materially harm our business and our financial condition and results of operations. In this event, the market price of our common stock could decline and your investment could be lost.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auditors have raised substantial doubts as to our ability to continue as a going concern.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assuming we will continue as a going concern. We have experienced substantial and recurring losses from operations, which losses have caused an accumulated deficit of $187.4 million at April 30, 2017. We generated revenues of only $0.8 million in fiscal 2017, and $0.7 million in fiscal 2016. At April 30, 2017, we had approximately $8.4 million in cash on hand. Based on the Company’s cash and cash equivalents and marketable securities balances as of April 30, 2017, and including the proceeds received from our May 2017 financing transaction in which we received aggregate net proceeds to us of approximately $7.2 million, the Company believes that it will be able to finance its capital requirements and operations into the quarter ending July 31, 2018.</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continue to experience operating losses and currently have two revenue producing contracts. The first is an agreement with MES (the “MES Agreement”) to, among other things, lease and deploy our PB3 PowerBuoy off Kozushima Island, Japan and to provide certain engineering and other services. The total value of the lease and other services to be provided by us under the MES Agreement is $1.0 million. The term of the lease commenced in March 2017, and the term of the MES Agreement extends through August 2017. The second contract is with ONR totaling approximately $0.2 million to carry out the first phase of a project which focuses on the initial concept design and development of a mass-on-spring PTO-based PowerBuoy leveraging a number of OPT patents covering such a technology. During fiscal 2017, our net burn rate (cash used in operations less cash generated by operations) including product development spending was approximately $900,000 per month.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left="140" w:firstLine="572"/>
        <w:spacing w:after="0" w:line="253" w:lineRule="auto"/>
        <w:rPr>
          <w:sz w:val="20"/>
          <w:szCs w:val="20"/>
          <w:color w:val="auto"/>
        </w:rPr>
      </w:pPr>
      <w:r>
        <w:rPr>
          <w:rFonts w:ascii="Times New Roman" w:cs="Times New Roman" w:eastAsia="Times New Roman" w:hAnsi="Times New Roman"/>
          <w:sz w:val="18"/>
          <w:szCs w:val="18"/>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$12.3 million in fiscal 2018 including product development spending of more than $5.5 million. However, we may choose to reduce our operating expenses through personnel reductions, and reductions in our research and development and other operating costs during fiscal year 2018,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raise sufficient capital to continue to operate 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funded our business operations through sales of equity securities. We do not know whether we will be able to secure additional funding or, if secured, whether the terms will be favorable to us or our investors. Our ability to obtain additional funding will be subject to a number of factors, including market conditions, our operating performance, pending litigation and investor sentiment. These factors may make additional funding unavailability, or the timing, dollar amount, and terms and conditions of additional funding unattractive.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issue additional securities to raise capital, our existing stockholders could experience dilution or may be subordinated to any rights, preferences or privileges granted to the new security holders. In particular, any new securities issued could have rights senior to those associated with our common stock and could contain covenants that would restrict our operations. Should the financing we require to sustain our working capital needs be unavailable or prohibitively expensive when we require it, our business, operating results, financial condition and prospects could be materially and adversely affected and we may be unable to continue our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maintain profitability and positive cash flow.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we began operations in 1994, including net losses of $9.5 million and $13.1 million in fiscal 2017 and 2016, respectively. As of April 30, 2017, we had an accumulated deficit of $187.4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know whether we will be able to successfully commercialize our PowerBuoys, or whether we can achieve profitability. There is significant uncertainty about our ability to successfully commercialize our PowerBuoys in our targeted markets. Even if we do achieve commercialization of our PowerBuoy and become profitable, we may not be able to achieve or, if achieved, sustain profitability on a quarterly or annual basis.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fluctuate from quarter to quarter, which may make it difficult to predict our future performance.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financial results may fluctuate as a result of a number of factors, many of which are outside of our control. For these reasons, comparing our financial results on a period-to-period basis may not be meaningful, and our past results should not be relied on as an indication of our future performance. Our future quarterly and annual expenses as a percentage of our revenues may be significantly different from those we have recorded in the past or which we expect for the future. Our financial results in some quarters may fall below expectations. Any of these events could cause our stock price to fall. Each of the risk factors listed in this "Risk Factors" section, including the following factors, may adversely affect our business, financial condition and results of operations:</w:t>
      </w:r>
    </w:p>
    <w:p>
      <w:pPr>
        <w:spacing w:after="0" w:line="18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permitting or acquiring necessary regulatory consents;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timing of contract awards and determinations of work scope;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funding for or deployment of wave energy projects;</w:t>
      </w:r>
    </w:p>
    <w:p>
      <w:pPr>
        <w:spacing w:after="0" w:line="22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estimates relating to wave energy project completion, which under percentage-of-completion accounting principles could lead to significant fluctuations in revenue or to changes in the timing of our recognition of revenue from</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projects;</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meeting, or the failure to meet, specified contractual milestones or other performance criteria under project contracts or in completing project contracts that could delay or prevent the recognition of revenue that would otherwise be earned;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made by parties with whom we have commercial relationships not to proceed with anticipated projects;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length of our sales cycle;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in our manufacturing processes.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translation and transaction risk may adversely affect our business,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reporting currency is the U.S. dollar, and we conduct our business and incur costs in the local currency of most countries in which we operate. As a result, we are subject to currency translation risk. A large percentage of our revenues may be generated outside the United States and denominated in foreign currencies in the future. Changes in exchange rates between foreign currencies and the U.S. dollar could affect our revenues and cost of revenues, and could result in exchange losses. In addition, we incur currency transaction risk whenever one of our operating subsidiaries enters into either a purchase or sale transaction using a different currency from our reporting currency. We cannot accurately predict the impact of future exchange rate fluctuations on our results of operations. Currently, we do not engage in any exchange rate hedging activities and, as a result, any volatility in currency exchange rates may have an immediate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Growth Of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for substantially all of our revenues. The loss of, or a significant reduction in revenues from, any of these customers could significantly reduce our revenues and harm our operating results.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Historically, a small number of customers have provided substantially all of our revenues and we expect that such concentration will continue for the foreseeable future. These revenues have been generated under development and cost reimbursement agreements rather than commercial contracts. MES accounted for 80% of our revenues and ONR accounted for 20% during fiscal 2017. In fiscal 2016, revenues from MES accounted for 14% of our revenues, EU accounted for 58%, and the DOE accounted for 28%. Our existing contracts with the DOE were completed in fiscal 2016. In order to receive future funding from the DOE, we are required to enter into additional contracts with the DOE, which would require appropriation by the U.S. Congress. Additional funding for projects may not be approved or we may not be able to negotiate future agreements on acceptable terms, if at all.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currently have a small number of customers and contracts, problems with a single contract would adversely affect our business, financial condition and results of operations.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customer’s payment default, or the loss of a customer as a result of competition, creditworthiness, our failure to perform, our inability to negotiate extensions or replacements of contracts, or otherwise, would adversely affect our business, financial condition and results of operations. We cannot assure you that we will be successful in our efforts to secure additional commercial customers, or additional revenue-generating contracts.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Wave energy technology may not gain broad commercial acceptance and, therefore, our revenues may not increase and we may be unable to achieve and, even if achieved, sustain profitability.</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Wave energy technology is at an early stage of development, and the extent to which wave energy power generation will be commercially viable is uncertain. Many factors may affect the commercial acceptance of wave energy technology, including the following:</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reliability and cost-effectiveness of wave energy technology compared to conventional sources and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economic and market conditions, such as increases or decreases in the prices of oil and other fossil fuels;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and profitable applications requiring the type of remote electric power provided by our autonomous wave energy systems.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wave energy technology does not gain broad commercial acceptance, it is unlikely that we will be able to commercialize our PowerBuoy and our business will be materially harmed, in which case, we may curtail or cease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sufficient demand for our PowerBuoys does not develop or takes longer to develop than we anticipate, our revenue generation will be limited, and it is unlikely that we will be able to achieve and, if achieved, then sustain profitability.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if wave energy technology achieves broad commercial acceptance, our PowerBuoys may not prove to be a commercially viable technology for generating electricity from ocean waves. We have invested a significant portion of our time and financial resources since our inception in the development of our PowerBuoys, but have not yet achieved successful commercialization of our PowerBuoys. As we seek to manufacture, market, sell and deploy our PowerBuoys in greater quantities, we may encounter unforeseen hurdles that would limit the commercial viability of our PowerBuoys, including unanticipated manufacturing, deployment, operating, maintenance and other costs. Our target customers and we may also encounter technical obstacles to deploying, operating and maintaining PowerBuoys.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demand for our PowerBuoys fails to develop sufficiently, it is unlikely that we will be able to grow our business or generate sufficient revenues to achieve and then sustain profitability. In addition, demand for PowerBuoys in our presently targeted markets, including coastal North America, Europe, Australia and Japan, may not develop or may develop to a lesser extent than we anticipate.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are not successful in commercializing our PowerBuoy, or are significantly delayed in doing so, our business, financial condition and results of operations will be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management and other qualified personnel, we may not be able to achieve our business objectives.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on the skills, experience and efforts of our senior management and other key product development, manufacturing, and sales and marketing employees. We have limited financial resources and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Implementation of our business plans will be highly dependent upon our ability to hire and retain senior executives as well as talented staff in various fields of expertise.</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January 2015, we hired a new President and Chief Executive Officer. In September 2016, we hired a new Chief Financial Officer. Following the resignation of a Director in March 2016, we added two new Directors in May 2016 for a total of six Directors.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Changes in senior management are inherently disruptive, and efforts to implement any new strategic or operating goals may not succeed in the absence of a long-term management team. Changes to strategic or operating goals with the appointment of new executives may themselves prove to be disruptive. Periods of transition in senior management leadership are often difficult as the new executives gain detailed knowledge of our operations and due to cultural differences that may result from changes in strategy and style. Without consistent and experienced leadership, customers, employees, creditors, stockholders and others may lose confidence in us.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be successful, we need to retain key personnel. Qualified individuals, including engineers and project managers, are in high demand, and we may incur significant costs to attract and retain them. With the exception of our President and Chief Executive Officer, all of our officers and other employees are at-will employees, which means they can terminate their employment relationship with us at any time, and their knowledge of our business and industry would be difficult to replace. If we lose the services of key personnel, or do not hire or retain other personnel for key positions, our business, results of operations and stock price could be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growth, this could adversely affect our business and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scope of our operations to date has been limited, and we do not have experience operating on the scale that we believe may be necessary to achieve profitable operations. Our current personnel, facilities, systems and internal procedures and controls may not be adequate to support future growth. This factor, when combined with the technical complexity of some of our development efforts, may result in our inability to meet certain customer expectations or deadlines and could result in the amendment to, or termination of, customer contracts or relationships. To realize our desired growth, we may need to add sales, marketing and engineering offices in our existing and/or additional locations, which may include areas such as Australia, Japan, and continental Europe, and which may result in additional organizational complexity.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manage the expansion of our operations, we may be required to improve our operational and financial systems, procedures and controls, increase our manufacturing capacity and throughput and expand, train and manage our employee base, which may need to increase significantly if we are to be able to fulfill our current manufacturing and growth plans. Our management may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1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negotiate and enter into service contracts with our customers on terms that are acceptable to us, our ability to diversify our revenue stream will be impaired.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important element of our business strategy is to enter into service contracts with our customers under which we would be paid fees for services related to the maintenance and operation of the PowerBuoys purchased from us. In addition, we may offer to lease PowerBuoys, sell power generated by PowerBuoys or sell data gathered by sensors on our PowerBuoys. Even if customers purchase or lease our PowerBuoys, they may not enter into service contracts with us. We may not be able to negotiate service, power sale or other contracts that provide us with any additional profit opportunities. Even if we successfully negotiate and enter into such service contracts, our customers may terminate them prematurely or they may not be profitable for a variety of reasons, including the presence of unforeseen hurdles or costs. In addition, if we were unable to perform adequately under such service contracts our efforts to successfully market the PowerBuoys could be impaired. Any one of these outcomes could have a material adverse effect on our business, financial condition and results of operations.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5" w:name="page26"/>
    <w:bookmarkEnd w:id="2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Since our PowerBuoys can only be deployed in certain geographic locations, our ability to grow our business could be adversely affected.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PowerBuoys are designed for use offshore, but not all offshore areas worldwide have appropriate natural resources for our PowerBuoys to harness wave energy. Seasonal and local variations, water depth and the effect of particular locations of islands and other geographical features may limit our ability to deploy our PowerBuoys in certain coastal areas. If we are unable to identify and deploy PowerBuoys at sufficient sites with appropriate natural resources to permit our PowerBuoys to capture wave energy, our ability to grow our business could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third parties to supply or manufacture components of our products or to deploy our systems timely or properly could adversely affect our business, financial condition and results of operations.</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been and expect to continue to be highly dependent on third parties to supply or manufacture components of our PowerBuoys. If, for any reason, our third-party manufacturers or vendors are not willing or able to provide us with components or supplies in a timely fashion, or at all, our ability to manufacture and sell many of our products could be impaired.</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do not have long-term contracts with our third-party manufacturers or vendors. If we do not develop ongoing relationships with vendors located in different regions, we may not be successful at controlling unit costs as our manufacturing volume increases. We may not be able to negotiate new arrangements with these third parties on acceptable terms, or at all.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rely on third parties, under our oversight, for the deployment and mooring of our PowerBuoys. We have utilized several different deployment methods, including towing the PowerBuoy to the deployment location and transporting the PowerBuoy to the deployment location by barge or ocean workboat. If these third parties do not properly deploy our systems, cannot effectively deploy the PowerBuoy on a large, commercial scale, or otherwise do not perform adequately, or if we fail to recruit and retain third parties to deploy our systems in particular geographic areas, our business, financial condition and results of operations could be adversely affected.</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investments in joint ventures could be adversely affected by our lack of sole decision-making authority, our reliance on a co-venture’s financial condition and disputes between us and our co-venture partners.</w:t>
      </w:r>
    </w:p>
    <w:p>
      <w:pPr>
        <w:spacing w:after="0" w:line="159" w:lineRule="exact"/>
        <w:rPr>
          <w:sz w:val="20"/>
          <w:szCs w:val="20"/>
          <w:color w:val="auto"/>
        </w:rPr>
      </w:pPr>
    </w:p>
    <w:p>
      <w:pPr>
        <w:jc w:val="both"/>
        <w:ind w:firstLine="713"/>
        <w:spacing w:after="0" w:line="254" w:lineRule="auto"/>
        <w:rPr>
          <w:sz w:val="20"/>
          <w:szCs w:val="20"/>
          <w:color w:val="auto"/>
        </w:rPr>
      </w:pPr>
      <w:r>
        <w:rPr>
          <w:rFonts w:ascii="Times New Roman" w:cs="Times New Roman" w:eastAsia="Times New Roman" w:hAnsi="Times New Roman"/>
          <w:sz w:val="18"/>
          <w:szCs w:val="18"/>
          <w:color w:val="auto"/>
        </w:rPr>
        <w:t>It is part of our strategy that we may co-invest with third parties through joint ventures or by acquiring non-controlling interests in special purpose entities. In these situations, we may not be in a position to exercise sole decision-making authority regarding the joint venture. Our co-ventures may have economic or other business interests or goals that may not be consistent with our own and may be in a position to take actions that are contrary to our policies or objectives. Additionally, investments in joint ventures involve risks that would not be present were a third party not involved, including the possibility that our co-ventures might become bankrupt or fail to fund their share of required capital contributions. Disputes between us and our co-venture partners may result in litigation or arbitration that would increase our expenses and prevent our officers and/or directors from focusing their time and effort on our business. In addition, we may not be able to identify appropriate strategic partners, or successfully negotiate, finance or operate any joint ventures or other collaborative projects to advance this aspect of our strategy. Consequently, both the entrance into a joint venture itself, or the failure to identify appropriate potential opportunities, could materially and adversely affect our business, financial condition and results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6" w:name="page27"/>
    <w:bookmarkEnd w:id="2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targeted markets are highly competitive. We compete against incumbent solutions already being utilized by our customers and potential customers. If we are unable to compete effectively, we may be unable to increase our revenues and achieve or maintain profitability.</w:t>
      </w:r>
    </w:p>
    <w:p>
      <w:pPr>
        <w:spacing w:after="0" w:line="15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our targeted markets, which are highly competitive, we compete against incumbent power solutions already being utilized by our customers and potential customers. If we are unable to demonstrate to our customers and our potential customers that our PowerBuoy is cost competitive to their existing alternative power solutions, or if it takes us longer to do so than we anticipate, we may be unable to expand our business, maintain our competitive position, satisfy our contractual obligations, continue to commercialize our PowerBuoy, or become profitable. In addition, if the cost associated with these development efforts exceeds our projections, our results of operations could be materially and adversely affected.</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competition may arise from other companies manufacturing similar products, developing different products that produce energy more efficiently than our products, or making improvements to traditional energy-producing methods or technologies, any of which could make our products less attractive or render them obsolete. If we are not successful in manufacturing systems that generate competitively priced power, we may not be able to respond effectively to competitive pressures from other renewable energy technologies or improvements to existing technologies.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respond effectively to such competitive forces, our business, financial condition and results of operations could be adversely affected. Our targeted markets are subject to their own inherent risks, and if those risks should materialize then our business, financial condition and results of operations could be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market and plan to market our products in multiple international markets. If we are unable to manage our international operations effectively, our business, financial condition and results of operations could be adversely affected.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market and plan to market our products in multiple global regions, including Europe, Australia, North America and parts of Asia, and we are therefore subject to risks associated with having international operations. Revenues from customers who are based outside of the U.S. accounted for 80% of our revenues in fiscal 2017 and 72% of our revenues in fiscal 2016. Risks inherent in international operations include, but are not limited to, the following:</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political conditions in the countries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adverse changes in foreign laws or regulatory requirements, including those with respect to renewable energy, environmental protection, permitting, export duties and quotas;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barriers such as export requirements, tariffs, taxes and other restrictions and expenses, which could increase the prices of our PowerBuoys and make us less competitive in some countries;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may affect demand for our PowerBuoys and may adversely affect our profitability in U.S. dollars to the extent the price of our PowerBuoys and cost of raw materials and labor are denominated in a foreign currency;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with staffing and managing widespread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of, and costs relating to compliance with, the different commercial and legal requirements of the overseas markets in which we offer and sell our PowerBuoys;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maintain or enforce intellectual property rights;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agreements in foreign legal systems.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 The current economic environment, particularly the macroeconomic pressures in certain European countries, may increase these risks.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our contracts with our customers will generally include cancellation for convenience clauses that permit our customers to terminate the contract for their convenience; if a customer were to terminate its contract with us for convenience, this could materially adversely affect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that our contracts with our customers will be structured as capital equipment contracts or capital equipment leases, and could include a cancellation for convenience clause, which we believe is relatively standard in these types of contracts. Cancellation for convenience clauses allow the customer to cancel the contract or lease at their option without cause prior to defined points in time, generally subject to a reasonable notice period. Our agreement with MES includes a cancellation for convenience clause. If MES or any of our future customers were to cancel their contracts with us for convenience, such cancellation could adversely affect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Commercialization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development costs are substantial and may increase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product development costs primarily relate to our efforts to increase the output, durability and commercial viability of our PowerBuoy. Our product development costs were $5.0 million and $7.1 million in fiscal 2017 and 2016, respectively. It is our goal to fund the majority of our product development expenses, including cost sharing obligations under some of our customer contracts, over the next several years with sources of external funding, but we do not currently have any such committed sources of funding, and we may not be able to secure any such funding in the future. If we are unable to obtain external funding, our operations may be materially and adversely affected, and we may be required to curtail our product development expenses, among other consequences.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only manufactured a limited number of PowerBuoys and to date we have not produced PowerBuoys in any significant quantity or for commercial production. Our PowerBuoys have been used for testing and development and may not have a sufficient operating history to confirm how they will perform over their estimated useful life.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began developing and testing wave energy technology over 15 years ago. However, to date, we have only manufactured a limited number of PowerBuoys for use in ocean testing and development. The longest continuous in-ocean deployment of our PowerBuoy was from December 2009 to January 2012 and was an earlier iteration of our PowerBuoy. As a result, our PowerBuoys may not have a sufficient operating history to confirm how they will perform over their estimated useful life. Our technology may not yet have demonstrated that our engineering and test results can be duplicated in volume or in commercial production. We have conducted and plan to continue to conduct practical testing of our PowerBuoy. If our PowerBuoy ultimately proves ineffective or unfeasible, we may not be able to engage in commercial production of our products or we may become liable to our customers for quantities we are obligated but are unable to produce. If our PowerBuoys perform below expectations, we could lose customers and face substantial repair and replacement expenses which could in turn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numerous accident and safety risks and hazards, including extreme environmental hazards, which are inherent in offshore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Portions of our operations are subject to hazards and risks inherent in the building, testing, deploying and maintenance of our PowerBuoys. These hazards and risks could result in personal injuries, loss of life, liberation of a PowerBuoy from its mooring due to extreme environmental conditions and damage caused by its drifting, and other damages which may include damage to our properties, including our PowerBuoy, and the properties of others and other consequential damages, and could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 covered by insurance could materially and adversely affect our business and financial results and, even if fully covered by insurance, could materially and adversely affect our business due to the impact on our reputation for safety. In addition, the risks inherent in our business are such that we cannot assure that we will be able to maintain adequate insurance in the future at reasonable rates.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8" w:name="page29"/>
    <w:bookmarkEnd w:id="2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ind w:right="20" w:firstLine="5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our strategic partners may not be successful, and we may not be successful in establishing additional relationships, either of which could adversely affect our ability to commercialize our products and services.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important element of our business strategy is to enter into application development agreements and strategic alliances with companies committed to providing products and services which require in-ocean energy sources. Generally, these types of relationships obligate us to provide certain services or perform certain tasks in connection with the relationship with the alliance partner, and we are generally responsible for paying the costs we incur relating to such services or tasks. These relationships generally are not expected to provide us with any revenues or sources of financing. We currently have strategic arrangements with WCS, Gardline and NDBC. If we are unable to reach agreements with additional suitable alliance partners, we may fail to meet our business objectives for the commercialization of our PowerBuoys.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are able to find, negotiate and enter into these relationships, such arrangements may be conditional upon our receipt of additional funding. There can be no assurance that we will receive such additional funding. In addition, strategic relationships may not be successful, and we may be unable to sell and market our PowerBuoys to these companies and their affiliates and customers in the future, or growth opportunities may not materialize, any of which could adversely affect our business, financial condition and results of operations.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experience. If we are unable to increase our manufacturing capacity in a cost-effective manner, our business will be materially harmed.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plan to manufacture key components of our PowerBuoys, including the PTO advanced control and generation systems, while outsourcing the manufacturing for other components of our PowerBuoys, including the structure itself. However, we have only manufactured our PowerBuoys in limited quantities for use in development and testing and have limited commercial manufacturing experience, and our work with our vendors has not included work on multiple orders on time-critical deadlines. Our future success depends on our ability to significantly increase both our manufacturing capacity and production throughput in a cost-effective and efficient manner, and to manage multiple vendors with several orders on specific deadlines. In order to meet our growth objectives, we will need to increase our engineering, contract management, and manufacturing staff. There is intense competition for hiring qualified technical and engineering personnel, and we have limited funding available to retain such additional staff. Therefore, we may not be able to hire a sufficient number of qualified personnel to allow us to meet our growth objectives.</w:t>
      </w:r>
    </w:p>
    <w:p>
      <w:pPr>
        <w:spacing w:after="0" w:line="18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may be unable to develop efficient, low-cost manufacturing capabilities and processes that enable us to meet the quality, price, engineering, design and production standards or production volumes necessary to successfully commercialize our PowerBuoys.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Problems with the quality or performance of our PowerBuoys would adversely affect our business, financial condition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agreements with customers will generally include guarantees with respect to the quality and performance of our PowerBuoys. Because of the limited operating history of our PowerBuoys, we have been required to make analytical assumptions regarding the durability, reliability and performance of the systems, and we may not be able to predict whether and to what extent we may be required to perform under the guarantees that we expect to give our customers. Our assumptions could prove to be materially different from the actual performance of our PowerBuoys, causing us to incur substantial expense to repair or replace defective systems in the future. We will bear the risk of claims long after we have sold our PowerBuoys and recognized revenue. Moreover, any widespread product failures could adversely affect our business, financial condition and results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9" w:name="page30"/>
    <w:bookmarkEnd w:id="2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deployed a wave power array of two or more PowerBuoys in a single geographic location. If we are unable to successfully deploy a multiple-system wave power array, our capability to generate revenues may be limited, and we may be unable to achieve and then maintain profitability.</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yet deployed a wave power array of two or more PowerBuoys. Whether we are able to do so is contingent upon, among other things, our ability to manufacture and produce multiple PowerBuoys in a short period of time, receipt of required governmental permits, obtaining adequate financing, successful array design and implementation and, finally, successful deployment and connection of the PowerBuoys.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yet conducted ocean testing or otherwise installed in the ocean a multiple-system wave power array. In particular, unlike single-system wave power arrays, multiple-system wave power arrays may require the use of an underwater substation to connect the power transmission cables from, and collect the electricity generated by, each PowerBuoy in the array. We have not yet deployed an underwater substation connected to multiple PowerBuoys. In addition, unanticipated issues may arise with the logistics and mechanics of deploying and maintaining multiple PowerBuoys at a single site and the additional equipment associated with these multiple system wave power arrays.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development and deployment of an array of PowerBuoys could require us to incur significant expenses for preliminary engineering, permitting and other expenses before we can determine whether a project is feasible, economically attractive or capable of being financed. We may be unsuccessful in accomplishing any of these tasks or doing so on a timely basis.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in our selected markets depends in part on our ability to achieve cost savings over existing and incumbent solutions. If we are unable to achieve cost savings relating to our PowerBuoy, the commercial prospects for our PowerBuoy may be adversely affected.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goal is to commercialize our PowerBuoy. Our success in meeting this objective depends, in part, on our ability to provide energy to our prospective customers at a cost savings over existing and incumbent power solutions already being utilized by our customers and potential customers. We have experienced problems and delays in the development and deployment of our PowerBuoy in the past, and could experience similar delays or other difficulties in the future. If we are unable to demonstrate to our prospective customers that our PowerBuoy is cost competitive with existing alternative power sources, or if it takes us longer to do so than we anticipate, we may be unable to continue our business, achieve commercialization of our PowerBuoy, achieve a competitive position, satisfy our contractual obligations, or become profitable. In addition, if the costs associated with these development efforts exceed our projections, our results of operations will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depends in part upon our ability to obtain protection in the U.S. and other countries for our products by establishing and maintaining intellectual property rights relating to or incorporated into our technology and products. We own a variety of patents and patent applications in the U.S.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infringers and we do not know what the cost to do so would be. Our pending and future patent applications may not issue as patents or, if issued, may not issue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U.S. and other countries may diminish the value of our intellectual property or narrow the scope of our patent protection, which could in turn adversely affect our business, financial condition and results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0" w:name="page31"/>
    <w:bookmarkEnd w:id="3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patented technology, we rely upon unpatented proprietary technology, processes and know-how, particularly with respect to our PowerBuoy control and electricity generating systems. We generally seek to protect this information in part by confidentiality agreements with our employees, consultants and third parties. These agreements may be breached, and we may not have adequate remedies for any such breach. In addition, our trade secrets may otherwise become known or be independently developed by competitors.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Foreign laws may not afford us sufficient protections for our intellectual property, and we may not be able to obtain patent protection outside of the United States.</w:t>
      </w:r>
    </w:p>
    <w:p>
      <w:pPr>
        <w:spacing w:after="0" w:line="159" w:lineRule="exact"/>
        <w:rPr>
          <w:sz w:val="20"/>
          <w:szCs w:val="20"/>
          <w:color w:val="auto"/>
        </w:rPr>
      </w:pPr>
    </w:p>
    <w:p>
      <w:pPr>
        <w:jc w:val="both"/>
        <w:ind w:firstLine="713"/>
        <w:spacing w:after="0" w:line="256" w:lineRule="auto"/>
        <w:rPr>
          <w:sz w:val="20"/>
          <w:szCs w:val="20"/>
          <w:color w:val="auto"/>
        </w:rPr>
      </w:pPr>
      <w:r>
        <w:rPr>
          <w:rFonts w:ascii="Times New Roman" w:cs="Times New Roman" w:eastAsia="Times New Roman" w:hAnsi="Times New Roman"/>
          <w:sz w:val="18"/>
          <w:szCs w:val="18"/>
          <w:color w:val="auto"/>
        </w:rPr>
        <w:t>Intellectual property rights protection continues to present significant challenges to foreign businesses in many countries around the world. The body of law is often relatively undeveloped compared to the commercial law in the United States and only limited protection of intellectual property may be available in those jurisdictions. Although we have taken precautions to protect our intellectual property, any local design or manufacture of products that we undertake in a foreign jurisdiction could subject us to an increased risk that unauthorized parties will be able to copy or otherwise obtain or use our intellectual property, which could harm our business. We may also have limited legal recourse in the event we encounter patent or trademark infringement. If we are unable to manage our intellectual property rights, our business and operating results may be seriously harmed.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infringe or are alleged to have infringed upon intellectual property rights of third parties, our business, financial condition and results of operations could be adversely affected.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products or use of our trademarks may infringe, or be claimed to infringe, upon patents, patent applications or trademarks under which we do not hold licenses or other rights. Third parties may own or control these patents, patent applications or trademarks in the United States and abroad. From time to time, we receive correspondence from third parties offering to license patents to us. Correspondence of this nature might be used to establish that we received notice of certain patents in the event of subsequent patent infringement litigation. Third parties could bring claims against us that would cause us to incur substantial expenses and, if successfully asserted against us, could cause us to pay substantial damages. Further, if a patent or trademark infringement suit were brought against us, we could be forced to stop or delay manufacturing or sales of the product or component that is the subject of the suit.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patent or trademark infringement claims, or in order to avoid potential claims, we may choose or be required to seek a license from the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or trademark infringement claims, we are unable to enter into licenses on acceptable terms. This could significantly and adversely affect our business, financial condition and results of operations.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infringement claims against us, we may become a party to other types of patent or trademark litigation and other proceedings, including proceedings declared by the U.S. Patent and Trademark Office and proceedings in the European Patent Office, regarding intellectual property rights with respect to our products and technology. The cost to us of any patent or trademark litigation or other proceeding, even if resolved in our favor, could be substantial. In addition, if we were to license our intellectual property to others, we may be required to indemnify our licensee if the licensed intellectual property is found to be infringing on a third party’s rights. Some of our competitors may be able to sustain the costs of such litigation or proceedings more effectively than we can because of their greater financial resources.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1" w:name="page32"/>
    <w:bookmarkEnd w:id="3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governmental entities could negatively affect our intellectual property rights, and our ability to commercialize our products could be impaired.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agreements with government agencies in large part fund the research and development of our PowerBuoy. When new technologies are developed with U.S.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and U.S. government funding must be disclosed in any resulting patent applications; our rights in such inventions will normally be subject to government license rights, periodic post-contract utilization reporting, foreign manufacturing restrictions and march-in rights.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also may limit when and how we can deploy our technology developed under those contracts. Foreign governments with which we contract to provide funding for our research and development may seek similar rights.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Compliance Matters</w:t>
      </w:r>
    </w:p>
    <w:p>
      <w:pPr>
        <w:spacing w:after="0" w:line="225" w:lineRule="exact"/>
        <w:rPr>
          <w:sz w:val="20"/>
          <w:szCs w:val="20"/>
          <w:color w:val="auto"/>
        </w:rPr>
      </w:pPr>
    </w:p>
    <w:p>
      <w:pPr>
        <w:jc w:val="both"/>
        <w:ind w:firstLine="5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ineligible for or are otherwise unable to replace our contract with U.S. or foreign governments, our business, financial condition and results of operations could be adversely affected.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Historically we have derived a significant portion of our revenue from U.S. federal government contracts, which are subject to special funding restrictions, regulatory requirements and eligibility standards and which the government may terminate at any time or determine not to extend after their scheduled expiration. During fiscal 2017 and fiscal 2016, we derived 20% and 28%, respectively, of our total revenue from contracts with the U.S. federal government and 80% and 72%, respectively, from contracts with foreign entities. We may not be successful in securing any additional contracts with the U.S. federal government in the future. Any such contracts are dependent on, among other things, appropriate funding by the U.S. Congress. If we are unable to replace these contracts, our business, financial condition and our results of operations could be adversely affected.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Government contracts are also subject to contractual and regulatory requirements that may increase our costs of doing business and could expose us to substantial contractual damages, civil fines and criminal penalties for noncompliance. These requirements include business ethics, equal employment opportunity, environmental, foreign purchasing, most-favored pricing and accounting provisions, among others. Payments that we receive under government contracts are subject to audit and potential refunds after the final contract payment is received.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all necessary regulatory permits and approvals, it could be possible we will not be able to implement our planned projects or business plan.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Offshore deployment of our PowerBuoy is heavily regulated. Each of our deployments is subject to multiple permitting and approval requirements. We are dependent on state, federal and regional government agencies for such permits and approvals. Due to the unique nature of in-ocean power generation and the associated potential for environmental hazards of PowerBuoy deployment, we expect our projects to receive close scrutiny by permitting agencies, approval authorities and the public, which could result in substantial delay in the permitting process. Successful challenges by any parties opposed to our deployments could result in increased costs, or in the denial of necessary permits and approvals.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obtain necessary permits and approvals in connection with any or all of our projects, those projects would not be implemented and our business, financial condition and results of operations would be adversely affected. Further, we cannot assure you that we have been or will be at all times in complete compliance with all such permits and approvals. If we violate or fail to comply with these permits and approvals, we could be fined or otherwise sanctioned by regulators.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2" w:name="page33"/>
    <w:bookmarkEnd w:id="3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we are unable to satisfy regulatory requirements relating to internal control over financial reporting, or if our internal controls are not effective, our business and financial results may suffer.</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reasonable assurance with respect to our financial reports and to effectively prevent fraud.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as a result of the United Kingdom’s decision to end its membership in the European Union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decision of the United Kingdom (U.K.) to exit from the European Union (E.U.) (generally referred to as “BREXIT”) could cause disruptions to and create uncertainty surrounding our business, including affecting our relationships with existing and potential customers, suppliers and employees. The effects of BREXIT will depend on any agreements the U.K. makes to retain access to E.U. markets either during a transitional period or more permanently. The measures could potentially disrupt some of our target markets and jurisdictions in which we operate, and adversely change tax benefits or liabilities in these or other jurisdictions. In addition, BREXIT could lead to legal uncertainty and potentially divergent national laws and regulations as the U.K. determines which E.U. laws to replace or replicate. BREXIT also may create global economic uncertainty, which may cause our customers and potential customers to monitor their costs and reduce their budgets for our products and services. Any of these effects of BREXIT, among others, could materially adversely affect our business, business opportunities, results of operations, financial condition and cash flows.</w:t>
      </w:r>
    </w:p>
    <w:p>
      <w:pPr>
        <w:spacing w:after="0" w:line="1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Business activities conducted by our third-party contractors and us involve the use of hazardous materials, which require compliance with environmental and occupational safety laws regulating the use of such materials. If we violate these laws, we could be subject to significant fines, liabilities or other adverse consequences.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manufacturing operations, particularly some of the activities undertaken by our third-party suppliers and manufacturers, involve the controlled use of hazardous materials. Accordingly, our third-party contractors and we are subject to foreign, federal, state and local laws governing the protection of the environment and human health and safety, including those relating to the use, handling and disposal of these materials. We cannot completely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Environmental laws and regulations are complex, change frequently and have tended to become more stringent over time. While we have budgeted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3" w:name="page34"/>
    <w:bookmarkEnd w:id="3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the subject of pending and threatened securities and other litigation, which is costly and time-consuming to defend, and if decided against us, could require us to pay substantial judgments or settlements. We may be the subject of future securities or other litigation, which could adversely affect our company, our business and our liquidity.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our former Chief Executive Officer, Charles Dunleavy, were named as defendants in the Securities Class Action as discussed in Part I, Item 3 of this Annual Report under the heading “Legal Proceedings” and in Note 15, “Commitments and Contingencies,” in Notes to the Consolidated Financial Statements. On May 5, 2016, the parties entered into a Stipulation and Agreement of Class Settlement (“Stipulation”) in which they agreed to a settlement of the consolidated securities class action lawsuits, subject to Court approval. The Stipulation provides, among other things, for a settlement payment by or on behalf of the Company of $3.0 million in cash, of which the Company would pay $0.5 million and the Company’s insurer would pay $2.5 million, and the issuance by the Company of 380,000 shares (valued at $0.6 million on the date the Stipulation was signed by the parties) of its Common Stock to the class members. The Stipulation also provided for mutual releases. The amounts agreed in the Stipulation, including the amount to be contributed by our insurance carrier, were reflected in the Company’s Consolidated Financial Statements as of April 30, 2016. In July 2016, the Company paid the $0.5 million portion of the settlement and the remaining balance of $2.5 million was paid by the Company’s insurer in August 2016. On November 14, 2016, the Court held its previously scheduled Settlement Hearing to consider whether to grant final approval of the settlement, and on November 15, 2016, the Court issued its Final Judgment approving the settlement and dismissing the proceeding with prejudice. The 380,000 shares of common stock were issued on November 22, 2016. The time to file an appeal from the Final Judgment has expired without any appeal being filed.</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the subject of certain other pending and threatened litigation, some of which arises, in part, from the securities offering that we conducted in April 2014 and other activities. This litigation is costly and time consuming to defend and may distract our management from the daily operations of our business. We may be the subject of additional future securities litigation, which could adversely affect our company, our business and our liquidity. Although we maintain directors’ and officers’ insurance coverage, we cannot assure you that this insurance coverage will be sufficient to cover the substantial fees of lawyers and other professionals advisors relating to these pending lawsuits or any future litigation, our obligations to indemnify our officers and directors who may become parties to such pending and future actions, or the amount of any judgments or settlements that we may be obligated to pay in connection with these lawsuits. In addition, these actions have caused our insurance premiums and retention amounts to increase, and we may be subject to additional increases in the future or be subjected to other changes in our insurance coverages. Further, given the volatility of the market price of our Common Stock, we may be subject to further class action securities and other litigation. Accordingly, we have incurred and may continue to incur substantial legal expenses, judgments and/or settlements relating to pending, threatened and future litigation and our management’s time and attention may be diverted from the operation of our business, which could materially and adversely affect the Company.</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pending SEC investigation that has caused us to incur significant costs and expenses and has diverted our management time, and could have a material adverse effect on our business, financial condition, results of operations, cash flow and our ability to raise capital in the future.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received two subpoenas from the SEC arising out of public disclosures related to a now-terminated agreement between VWP and ARENA, and related to our April 4, 2014 public offering. We have provided information to the SEC in response to those subpoenas, and we continue to respond and cooperate with the SEC in this investigation. We have incurred and expect to continue to incur significant professional fees and other costs related to the SEC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 If the SEC were to conclude that enforcement action is appropriate, we could be required to pay civil penalties and fines, and the SEC could impose other sanctions against us or against our current and former officers and directors. In addition, our Board of Directors, management and employees may expend a substantial amount of time on the SEC investigation, diverting resources and attention that would otherwise be directed toward our operations and implementation of our business strategy, all of which could materially adversely affect our business, financial condition, results of operations or cash flows.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4" w:name="page35"/>
    <w:bookmarkEnd w:id="3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and may become the target of additional securities litigation, which is costly and time-consuming to defend.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past, companies that experience significant volatility in the market price of their publicly-traded securities have become subject to class action securities litigation. Our stock price has been volatile, and class action securities litigation and derivative lawsuits have been filed against us and it is possible that additional lawsuits could be brought against us in the future. The results of complex legal proceedings are difficult to predict. These lawsuits assert types of claims that, if resolved against us, could give rise to substantial damages, and an unfavorable outcome or settlement of these lawsuits, or any future lawsuits, could have a material adverse effect on our business, financial condition, results of operations and/or stock price. Even if these lawsuits, or any future lawsuits, are not resolved against us, the costs of defending such lawsuits may be material to our business and our operations. Moreover, these lawsuits may divert our management’s attention from the operation of our business. For more information on our legal proceedings, see Item 3 “Legal Proceedings” of this Annual Report and Note 15 “Commitments and Contingencies – Litigation” in the accompanying consolidated financial statements for the fiscal year ended April 30, 2017.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issue additional shares of our equity securities in the future, our stockholders may experience substantial dilution in the value of their investment or their ownership interest.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currently authorizes us to issue up to 50,000,000 shares of our Common Stock and to issue and designate the rights of, without stockholder approval, up to 5,000,000 shares of preferred stock. In the future, in order to raise additional capital, we may offer additional shares of our Common Stock or other securities convertible into or exchangeable for our Common Stock at prices that may not be the same as the price per share paid by other investors, and dilution to our stockholders in the value of their investment and their ownership and voting interest in the Company could result. We may sell shares or other securities in any other offering at a price per share that is less than the price per share paid by existing investors, and investors purchasing shares or other securities in the future could have rights superior to existing stockholders.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have a significant number of stock options and warrants outstanding. To the extent that outstanding stock options or warrants have been or may be exercised or other shares issued, current stockholders and future investors who have purchased our Common Stock will experience further dilution. In addition, we may choose to raise additional capital due to market conditions or strategic considerations even if we believe we have sufficient funds for our current or future operating plans. To the extent that we issue new securities, or raise additional capital through the sale of equity or convertible debt securities, the issuance of these securities could result in further dilution to our stockholders or result in downward pressure on the price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our stock price has been volatile and this is likely to continue; purchasers of our Common Stock could incur substantial losses as a result.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significantly, and we expect that this will continue. Purchasers of our Common Stock could incur substantial losses relating to their investment in our stock as a result. For the fiscal year ended April 30, 2017, the 52-week high and low prices for our Common Stock was $15.65 and $1.33, respectively. Also,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18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business or with respect to our projects;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5" w:name="page36"/>
    <w:bookmarkEnd w:id="3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or annual 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660" w:right="12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conventional and renewable energy industries and issuance of new or changed securities analysts' reports or recommendations;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Common Stock or changes in financial estimates by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the financial estimates of analysts who follow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our company and of our targeted markets;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delay or prevent attempts by our stockholders to change our management and hinder efforts to acquire a controlling interest in us.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our reincorporation in Delaware in April 2007, provisions of our certificate of incorporation and bylaws may discourage, delay or prevent a merger, acquisition or other change in control that stockholders may consider favorable, including transactions in which our stockholders might otherwise receive a premium for their shares. These provisions may also prevent or frustrate attempts by our stockholders to replace or remove our management. These provisions include:</w:t>
      </w:r>
    </w:p>
    <w:p>
      <w:pPr>
        <w:spacing w:after="0" w:line="18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 or to call special meetings;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176" w:lineRule="exact"/>
        <w:rPr>
          <w:sz w:val="20"/>
          <w:szCs w:val="20"/>
          <w:color w:val="auto"/>
        </w:rPr>
      </w:pPr>
    </w:p>
    <w:p>
      <w:pPr>
        <w:jc w:val="both"/>
        <w:ind w:left="140" w:firstLine="556"/>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at least 75% of our shares of capital stock entitled to vote is necessary to amend or repeal the above provisions of our certificate of incorporation. In addition, absent the approval of our Board of Directors, our bylaws may only be amended or repealed by the affirmative vote of the holders of at least 75% of our shares of capital stock entitled to vote.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prohibits a publicly held Delaware corporation from engaging in a business combination with an interested stockholder, which is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fail to cover us, or do not publish research or publish unfavorable or inaccurate research about our business, our stock price and trading volume could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may publish about us, our business or our industry from time to time. If one or more of these analysts cease coverage of our company or fail to publish reports on us regularly, we could lose visibility in the financial markets, which in turn could cause the price or trading volume of our Common Stock to decline. Moreover, if one or more of the analysts who cover our company downgrade our Common Stock or release a negative report, or if our operating results do not meet analyst expectations, the price of our Common Stock could decline.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6" w:name="page37"/>
    <w:bookmarkEnd w:id="3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cash dividends on our Common Stock, and we do not anticipate paying any cash dividends in the foreseeable future.</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PROPERTIES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corporate headquarters are currently located in Pennington, New Jersey, where we occupy approximately 22,000 square feet under a lease expiring on December 31, 2017. We use these facilities for administration, research and development, as well as assembly and testing of the generators and control models for our PowerBuoy systems. On March 31, 2017, we signed a new 7 year lease for approximately 56,000 square feet in Monroe Township, New Jersey that will be used as warehouse/production space and Company’s principal offices and corporate headquarters. The Company expects to relocate to the new location by the end of 2017.</w:t>
      </w:r>
    </w:p>
    <w:p>
      <w:pPr>
        <w:spacing w:after="0" w:line="1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Litigation and Demands</w:t>
      </w:r>
    </w:p>
    <w:p>
      <w:pPr>
        <w:spacing w:after="0" w:line="229" w:lineRule="exact"/>
        <w:rPr>
          <w:sz w:val="20"/>
          <w:szCs w:val="20"/>
          <w:color w:val="auto"/>
        </w:rPr>
      </w:pPr>
    </w:p>
    <w:p>
      <w:pPr>
        <w:jc w:val="both"/>
        <w:ind w:firstLine="700"/>
        <w:spacing w:after="0" w:line="266" w:lineRule="auto"/>
        <w:rPr>
          <w:sz w:val="20"/>
          <w:szCs w:val="20"/>
          <w:color w:val="auto"/>
        </w:rPr>
      </w:pPr>
      <w:r>
        <w:rPr>
          <w:rFonts w:ascii="Times New Roman" w:cs="Times New Roman" w:eastAsia="Times New Roman" w:hAnsi="Times New Roman"/>
          <w:sz w:val="18"/>
          <w:szCs w:val="18"/>
          <w:color w:val="auto"/>
        </w:rPr>
        <w:t xml:space="preserve">The Company and its former Chief Executive Officer Charles Dunleavy were named as defendants in consolidated securities class action lawsuits that were pending in the United States District Court for the District of New Jersey captioned </w:t>
      </w:r>
      <w:r>
        <w:rPr>
          <w:rFonts w:ascii="Times New Roman" w:cs="Times New Roman" w:eastAsia="Times New Roman" w:hAnsi="Times New Roman"/>
          <w:sz w:val="18"/>
          <w:szCs w:val="18"/>
          <w:i w:val="1"/>
          <w:iCs w:val="1"/>
          <w:color w:val="auto"/>
        </w:rPr>
        <w:t>In Re: Ocean Power Technologies, Inc. Securities Litigation,</w:t>
      </w:r>
      <w:r>
        <w:rPr>
          <w:rFonts w:ascii="Times New Roman" w:cs="Times New Roman" w:eastAsia="Times New Roman" w:hAnsi="Times New Roman"/>
          <w:sz w:val="18"/>
          <w:szCs w:val="18"/>
          <w:color w:val="auto"/>
        </w:rPr>
        <w:t xml:space="preserve"> Civil Action No. 14-3799 (FLW) (LHG).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5, 2016, the parties entered into a Stipulation and Agreement of Class Settlement (“Stipulation”) in which they agreed to a settlement of the consolidated securities class action lawsuits, subject to Court approval. The Stipulation provides, among other things, for a settlement payment by or on behalf of the Company of $3.0 million in cash, of which the Company would pay $0.5 million and the Company’s insurer would pay $2.5 million, and the issuance by the Company of 380,000 shares (valued at $0.6 million on the date the Stipulation was signed by the parties) of its Common Stock to the class members. The Stipulation also provided for mutual releases. The amounts agreed in the Stipulation, including the amount to be contributed by our insurance carrier, were reflected in the Company’s Consolidated Financial Statements as of April 30, 2016. In July 2016, the Company paid the $0.5 million portion of the settlement and the remaining balance of $2.5 million was paid by the Company’s insurer in August 2016. On November 14, 2016, the Court held its previously scheduled Settlement Hearing to consider whether to grant final approval of the settlement, and on November 15, 2016, the Court issued its Final Judgment approving the settlement and dismissing the proceeding with prejudice. The 380,000 shares of common stock were issued on November 22, 2016. The time to file an appeal from the Final Judgment has expired without any appeal being filed.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and certain of its current and former directors and officers are defendants in a derivative lawsuit filed on March 18, 2015 in the United States District Court for the District of New Jersey captioned </w:t>
      </w:r>
      <w:r>
        <w:rPr>
          <w:rFonts w:ascii="Times New Roman" w:cs="Times New Roman" w:eastAsia="Times New Roman" w:hAnsi="Times New Roman"/>
          <w:sz w:val="18"/>
          <w:szCs w:val="18"/>
          <w:i w:val="1"/>
          <w:iCs w:val="1"/>
          <w:color w:val="auto"/>
        </w:rPr>
        <w:t>Labare v. Dunleavy, et. al.,</w:t>
      </w:r>
      <w:r>
        <w:rPr>
          <w:rFonts w:ascii="Times New Roman" w:cs="Times New Roman" w:eastAsia="Times New Roman" w:hAnsi="Times New Roman"/>
          <w:sz w:val="18"/>
          <w:szCs w:val="18"/>
          <w:color w:val="auto"/>
        </w:rPr>
        <w:t xml:space="preserve"> Case No. 3:15-cv-01980-FLW-LHG. The derivative complaint alleges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7" w:name="page38"/>
    <w:bookmarkEnd w:id="3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July 10, 2015, a second derivative lawsuit, captioned </w:t>
      </w:r>
      <w:r>
        <w:rPr>
          <w:rFonts w:ascii="Times New Roman" w:cs="Times New Roman" w:eastAsia="Times New Roman" w:hAnsi="Times New Roman"/>
          <w:sz w:val="18"/>
          <w:szCs w:val="18"/>
          <w:i w:val="1"/>
          <w:iCs w:val="1"/>
          <w:color w:val="auto"/>
        </w:rPr>
        <w:t>Rywolt v. Dunleavy, et al., Case No. 3:15-cv-05469</w:t>
      </w:r>
      <w:r>
        <w:rPr>
          <w:rFonts w:ascii="Times New Roman" w:cs="Times New Roman" w:eastAsia="Times New Roman" w:hAnsi="Times New Roman"/>
          <w:sz w:val="18"/>
          <w:szCs w:val="18"/>
          <w:color w:val="auto"/>
        </w:rPr>
        <w:t xml:space="preserve">,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Times New Roman" w:cs="Times New Roman" w:eastAsia="Times New Roman" w:hAnsi="Times New Roman"/>
          <w:sz w:val="18"/>
          <w:szCs w:val="18"/>
          <w:i w:val="1"/>
          <w:iCs w:val="1"/>
          <w:color w:val="auto"/>
        </w:rPr>
        <w:t>Rywolt</w:t>
      </w:r>
      <w:r>
        <w:rPr>
          <w:rFonts w:ascii="Times New Roman" w:cs="Times New Roman" w:eastAsia="Times New Roman" w:hAnsi="Times New Roman"/>
          <w:sz w:val="18"/>
          <w:szCs w:val="18"/>
          <w:color w:val="auto"/>
        </w:rPr>
        <w:t xml:space="preserve"> complaint also seeks unspecified monetary damages and other relief. On February 8, 2016, the Court issued an order consolidating the </w:t>
      </w:r>
      <w:r>
        <w:rPr>
          <w:rFonts w:ascii="Times New Roman" w:cs="Times New Roman" w:eastAsia="Times New Roman" w:hAnsi="Times New Roman"/>
          <w:sz w:val="18"/>
          <w:szCs w:val="18"/>
          <w:i w:val="1"/>
          <w:iCs w:val="1"/>
          <w:color w:val="auto"/>
        </w:rPr>
        <w:t>Labare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Rywolt</w:t>
      </w:r>
      <w:r>
        <w:rPr>
          <w:rFonts w:ascii="Times New Roman" w:cs="Times New Roman" w:eastAsia="Times New Roman" w:hAnsi="Times New Roman"/>
          <w:sz w:val="18"/>
          <w:szCs w:val="18"/>
          <w:color w:val="auto"/>
        </w:rPr>
        <w:t xml:space="preserve"> actions, appointing co-lead plaintiffs and lead counsel, and ordering a consolidated amended complaint to be filed within 30 days of the order. On March 9, 2016, the co-lead plaintiffs filed an amended complaint consolidating their claims and seeking unspecified monetary damages and other relief.</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April 21, 2016, a third derivative lawsuit, captioned </w:t>
      </w:r>
      <w:r>
        <w:rPr>
          <w:rFonts w:ascii="Times New Roman" w:cs="Times New Roman" w:eastAsia="Times New Roman" w:hAnsi="Times New Roman"/>
          <w:sz w:val="18"/>
          <w:szCs w:val="18"/>
          <w:i w:val="1"/>
          <w:iCs w:val="1"/>
          <w:color w:val="auto"/>
        </w:rPr>
        <w:t>LaCalamito v. Dunleavy, et al.</w:t>
      </w:r>
      <w:r>
        <w:rPr>
          <w:rFonts w:ascii="Times New Roman" w:cs="Times New Roman" w:eastAsia="Times New Roman" w:hAnsi="Times New Roman"/>
          <w:sz w:val="18"/>
          <w:szCs w:val="18"/>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Times New Roman" w:cs="Times New Roman" w:eastAsia="Times New Roman" w:hAnsi="Times New Roman"/>
          <w:sz w:val="18"/>
          <w:szCs w:val="18"/>
          <w:i w:val="1"/>
          <w:iCs w:val="1"/>
          <w:color w:val="auto"/>
        </w:rPr>
        <w:t>LaCalamito</w:t>
      </w:r>
      <w:r>
        <w:rPr>
          <w:rFonts w:ascii="Times New Roman" w:cs="Times New Roman" w:eastAsia="Times New Roman" w:hAnsi="Times New Roman"/>
          <w:sz w:val="18"/>
          <w:szCs w:val="18"/>
          <w:color w:val="auto"/>
        </w:rPr>
        <w:t xml:space="preserve"> complaint seeks unspecified monetary damages and other relief. The Company has not been formally served and has not yet responded to the complaint.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June 9, 2016, a fourth derivative lawsuit, captioned </w:t>
      </w:r>
      <w:r>
        <w:rPr>
          <w:rFonts w:ascii="Times New Roman" w:cs="Times New Roman" w:eastAsia="Times New Roman" w:hAnsi="Times New Roman"/>
          <w:sz w:val="18"/>
          <w:szCs w:val="18"/>
          <w:i w:val="1"/>
          <w:iCs w:val="1"/>
          <w:color w:val="auto"/>
        </w:rPr>
        <w:t>Pucillo v. Dunleavy, et al.</w:t>
      </w:r>
      <w:r>
        <w:rPr>
          <w:rFonts w:ascii="Times New Roman" w:cs="Times New Roman" w:eastAsia="Times New Roman" w:hAnsi="Times New Roman"/>
          <w:sz w:val="18"/>
          <w:szCs w:val="18"/>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Times New Roman" w:cs="Times New Roman" w:eastAsia="Times New Roman" w:hAnsi="Times New Roman"/>
          <w:sz w:val="18"/>
          <w:szCs w:val="18"/>
          <w:i w:val="1"/>
          <w:iCs w:val="1"/>
          <w:color w:val="auto"/>
        </w:rPr>
        <w:t>Pucillo</w:t>
      </w:r>
      <w:r>
        <w:rPr>
          <w:rFonts w:ascii="Times New Roman" w:cs="Times New Roman" w:eastAsia="Times New Roman" w:hAnsi="Times New Roman"/>
          <w:sz w:val="18"/>
          <w:szCs w:val="18"/>
          <w:color w:val="auto"/>
        </w:rPr>
        <w:t xml:space="preserve"> complaint seeks unspecified monetary damages and other relief. On August 2, 2016, the parties in the </w:t>
      </w:r>
      <w:r>
        <w:rPr>
          <w:rFonts w:ascii="Times New Roman" w:cs="Times New Roman" w:eastAsia="Times New Roman" w:hAnsi="Times New Roman"/>
          <w:sz w:val="18"/>
          <w:szCs w:val="18"/>
          <w:i w:val="1"/>
          <w:iCs w:val="1"/>
          <w:color w:val="auto"/>
        </w:rPr>
        <w:t>Pucillo</w:t>
      </w:r>
      <w:r>
        <w:rPr>
          <w:rFonts w:ascii="Times New Roman" w:cs="Times New Roman" w:eastAsia="Times New Roman" w:hAnsi="Times New Roman"/>
          <w:sz w:val="18"/>
          <w:szCs w:val="18"/>
          <w:color w:val="auto"/>
        </w:rPr>
        <w:t xml:space="preserve"> lawsuit filed a Stipulation and Proposed Order pursuant to which: (i) the defendants agreed to accept service of the </w:t>
      </w:r>
      <w:r>
        <w:rPr>
          <w:rFonts w:ascii="Times New Roman" w:cs="Times New Roman" w:eastAsia="Times New Roman" w:hAnsi="Times New Roman"/>
          <w:sz w:val="18"/>
          <w:szCs w:val="18"/>
          <w:i w:val="1"/>
          <w:iCs w:val="1"/>
          <w:color w:val="auto"/>
        </w:rPr>
        <w:t>Pucillo</w:t>
      </w:r>
      <w:r>
        <w:rPr>
          <w:rFonts w:ascii="Times New Roman" w:cs="Times New Roman" w:eastAsia="Times New Roman" w:hAnsi="Times New Roman"/>
          <w:sz w:val="18"/>
          <w:szCs w:val="18"/>
          <w:color w:val="auto"/>
        </w:rPr>
        <w:t xml:space="preserve"> complaint; (ii) the parties agreed to stay the </w:t>
      </w:r>
      <w:r>
        <w:rPr>
          <w:rFonts w:ascii="Times New Roman" w:cs="Times New Roman" w:eastAsia="Times New Roman" w:hAnsi="Times New Roman"/>
          <w:sz w:val="18"/>
          <w:szCs w:val="18"/>
          <w:i w:val="1"/>
          <w:iCs w:val="1"/>
          <w:color w:val="auto"/>
        </w:rPr>
        <w:t>Pucillo</w:t>
      </w:r>
      <w:r>
        <w:rPr>
          <w:rFonts w:ascii="Times New Roman" w:cs="Times New Roman" w:eastAsia="Times New Roman" w:hAnsi="Times New Roman"/>
          <w:sz w:val="18"/>
          <w:szCs w:val="18"/>
          <w:color w:val="auto"/>
        </w:rPr>
        <w:t xml:space="preserve"> action pending the filing and resolution of a motion to consolidate the </w:t>
      </w:r>
      <w:r>
        <w:rPr>
          <w:rFonts w:ascii="Times New Roman" w:cs="Times New Roman" w:eastAsia="Times New Roman" w:hAnsi="Times New Roman"/>
          <w:sz w:val="18"/>
          <w:szCs w:val="18"/>
          <w:i w:val="1"/>
          <w:iCs w:val="1"/>
          <w:color w:val="auto"/>
        </w:rPr>
        <w:t>Pucillo</w:t>
      </w:r>
      <w:r>
        <w:rPr>
          <w:rFonts w:ascii="Times New Roman" w:cs="Times New Roman" w:eastAsia="Times New Roman" w:hAnsi="Times New Roman"/>
          <w:sz w:val="18"/>
          <w:szCs w:val="18"/>
          <w:color w:val="auto"/>
        </w:rPr>
        <w:t xml:space="preserve"> action with the </w:t>
      </w:r>
      <w:r>
        <w:rPr>
          <w:rFonts w:ascii="Times New Roman" w:cs="Times New Roman" w:eastAsia="Times New Roman" w:hAnsi="Times New Roman"/>
          <w:sz w:val="18"/>
          <w:szCs w:val="18"/>
          <w:i w:val="1"/>
          <w:iCs w:val="1"/>
          <w:color w:val="auto"/>
        </w:rPr>
        <w:t>Labar</w:t>
      </w:r>
      <w:r>
        <w:rPr>
          <w:rFonts w:ascii="Times New Roman" w:cs="Times New Roman" w:eastAsia="Times New Roman" w:hAnsi="Times New Roman"/>
          <w:sz w:val="18"/>
          <w:szCs w:val="18"/>
          <w:color w:val="auto"/>
        </w:rPr>
        <w:t xml:space="preserve">e and </w:t>
      </w:r>
      <w:r>
        <w:rPr>
          <w:rFonts w:ascii="Times New Roman" w:cs="Times New Roman" w:eastAsia="Times New Roman" w:hAnsi="Times New Roman"/>
          <w:sz w:val="18"/>
          <w:szCs w:val="18"/>
          <w:i w:val="1"/>
          <w:iCs w:val="1"/>
          <w:color w:val="auto"/>
        </w:rPr>
        <w:t>Rywolt</w:t>
      </w:r>
      <w:r>
        <w:rPr>
          <w:rFonts w:ascii="Times New Roman" w:cs="Times New Roman" w:eastAsia="Times New Roman" w:hAnsi="Times New Roman"/>
          <w:sz w:val="18"/>
          <w:szCs w:val="18"/>
          <w:color w:val="auto"/>
        </w:rPr>
        <w:t xml:space="preserve"> actions; and (iii) the parties agreed that the defendants shall not be required to respond to the </w:t>
      </w:r>
      <w:r>
        <w:rPr>
          <w:rFonts w:ascii="Times New Roman" w:cs="Times New Roman" w:eastAsia="Times New Roman" w:hAnsi="Times New Roman"/>
          <w:sz w:val="18"/>
          <w:szCs w:val="18"/>
          <w:i w:val="1"/>
          <w:iCs w:val="1"/>
          <w:color w:val="auto"/>
        </w:rPr>
        <w:t xml:space="preserve">Pucillo </w:t>
      </w:r>
      <w:r>
        <w:rPr>
          <w:rFonts w:ascii="Times New Roman" w:cs="Times New Roman" w:eastAsia="Times New Roman" w:hAnsi="Times New Roman"/>
          <w:sz w:val="18"/>
          <w:szCs w:val="18"/>
          <w:color w:val="auto"/>
        </w:rPr>
        <w:t>complaint during the pendency of the stay. The Court approved the Stipulation on August 3, 2016.</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25, 2016, the Court approved and entered a Stipulation and Order that, among other things, (i) consolidated the four derivative actions;</w:t>
      </w:r>
    </w:p>
    <w:p>
      <w:pPr>
        <w:spacing w:after="0" w:line="27" w:lineRule="exact"/>
        <w:rPr>
          <w:sz w:val="20"/>
          <w:szCs w:val="20"/>
          <w:color w:val="auto"/>
        </w:rPr>
      </w:pPr>
    </w:p>
    <w:p>
      <w:pPr>
        <w:jc w:val="both"/>
        <w:ind w:firstLine="8"/>
        <w:spacing w:after="0" w:line="255" w:lineRule="auto"/>
        <w:tabs>
          <w:tab w:leader="none" w:pos="2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identified plaintiff </w:t>
      </w:r>
      <w:r>
        <w:rPr>
          <w:rFonts w:ascii="Times New Roman" w:cs="Times New Roman" w:eastAsia="Times New Roman" w:hAnsi="Times New Roman"/>
          <w:sz w:val="18"/>
          <w:szCs w:val="18"/>
          <w:i w:val="1"/>
          <w:iCs w:val="1"/>
          <w:color w:val="auto"/>
        </w:rPr>
        <w:t>Pucillo</w:t>
      </w:r>
      <w:r>
        <w:rPr>
          <w:rFonts w:ascii="Times New Roman" w:cs="Times New Roman" w:eastAsia="Times New Roman" w:hAnsi="Times New Roman"/>
          <w:sz w:val="18"/>
          <w:szCs w:val="18"/>
          <w:color w:val="auto"/>
        </w:rPr>
        <w:t xml:space="preserve"> as the lead plaintiff in the consolidated actions; and (iii) stayed the consolidated actions pending the settlement hearing scheduled for November 14, 2016 in the securities class action and further order of the Court. Defendants have not responded to the consolidated derivative actions because the actions remain stayed pending further order from the Court.</w:t>
      </w:r>
    </w:p>
    <w:p>
      <w:pPr>
        <w:spacing w:after="0" w:line="186" w:lineRule="exact"/>
        <w:rPr>
          <w:sz w:val="20"/>
          <w:szCs w:val="20"/>
          <w:color w:val="auto"/>
        </w:rPr>
      </w:pPr>
    </w:p>
    <w:p>
      <w:pPr>
        <w:jc w:val="both"/>
        <w:ind w:firstLine="513"/>
        <w:spacing w:after="0" w:line="252" w:lineRule="auto"/>
        <w:rPr>
          <w:sz w:val="20"/>
          <w:szCs w:val="20"/>
          <w:color w:val="auto"/>
        </w:rPr>
      </w:pPr>
      <w:r>
        <w:rPr>
          <w:rFonts w:ascii="Times New Roman" w:cs="Times New Roman" w:eastAsia="Times New Roman" w:hAnsi="Times New Roman"/>
          <w:sz w:val="18"/>
          <w:szCs w:val="18"/>
          <w:color w:val="auto"/>
        </w:rPr>
        <w:t xml:space="preserve">The Company and certain of its current directors are defendants in a lawsuit filed by an alleged shareholder in the Superior Court of New Jersey, Mercer County Chancery Division on January 25, 2016, captioned </w:t>
      </w:r>
      <w:r>
        <w:rPr>
          <w:rFonts w:ascii="Times New Roman" w:cs="Times New Roman" w:eastAsia="Times New Roman" w:hAnsi="Times New Roman"/>
          <w:sz w:val="18"/>
          <w:szCs w:val="18"/>
          <w:i w:val="1"/>
          <w:iCs w:val="1"/>
          <w:color w:val="auto"/>
        </w:rPr>
        <w:t>Stern v. Ocean Power Technologies, Inc., et al.,</w:t>
      </w:r>
      <w:r>
        <w:rPr>
          <w:rFonts w:ascii="Times New Roman" w:cs="Times New Roman" w:eastAsia="Times New Roman" w:hAnsi="Times New Roman"/>
          <w:sz w:val="18"/>
          <w:szCs w:val="18"/>
          <w:color w:val="auto"/>
        </w:rPr>
        <w:t xml:space="preserve"> Civil Action No. C-5-16. The complaint alleges that certain provisions of the Company’s Certificate of Incorporation and By-laws providing that the Company’s directors may be removed only for cause and only by an affirmative vote of at least 75% of the votes which all the stockholders would be entitled to cast in any annual election of directors are invalid under Section 141(k) of the Delaware General Corporation Law. The Complaint asserts a breach of fiduciary claim against the director defendants and a declaratory judgment claim against all defendants seeking, among other things, to invalidate the challenged provisions and declare that the Company’s directors may be removed and replaced without cause and by a simple majority vote. The Complaint sought declaratory and injunctive relief as well as unspecified costs and attorneys’ fees. By Unanimous Written Consent dated June 17, 2016, the Company’s Board of Directors amended the Company’s By-laws to delete the “only for cause” requirement, thereby allowing for removal of directors with or without cause by the Company’s stockholders. In addition, the Board proposed, subject to approval by the Company’s stockholders at the next annual general meeting of stockholders, a similar amendment to the director removal provision in the Company’s Certificate of Incorporation. On June 30, 2016, the Court approved a Stipulation and Proposed Order Staying Proceedings that among other things stayed the case pending the stockholder vote on the proposed amendment to the Company’s Certificate of Incorporation; On September 2, 2016, the Company filed a definitive proxy statement with the SEC which includes this proposal. At the annual shareholder meeting on October 21, 2016, the proposal was not approved because an insufficient number of votes were cast to satisfy the requirement that the proposal be approved by the holders of at least 75% of the outstanding shares of common stock entitled to vote at the meeting. However, stockholders approved an amendment to the Company’s Certificate of Incorporation to add a provision which requires that any provision of the Certificate of Incorporation that is contrary to a requirement of the Delaware General Corporate Law shall be read in conformity with the applicable requirement of the Delaware General Corporate Law. On April 12, 2017, the parties in the </w:t>
      </w:r>
      <w:r>
        <w:rPr>
          <w:rFonts w:ascii="Times New Roman" w:cs="Times New Roman" w:eastAsia="Times New Roman" w:hAnsi="Times New Roman"/>
          <w:sz w:val="18"/>
          <w:szCs w:val="18"/>
          <w:i w:val="1"/>
          <w:iCs w:val="1"/>
          <w:color w:val="auto"/>
        </w:rPr>
        <w:t>Stern</w:t>
      </w:r>
      <w:r>
        <w:rPr>
          <w:rFonts w:ascii="Times New Roman" w:cs="Times New Roman" w:eastAsia="Times New Roman" w:hAnsi="Times New Roman"/>
          <w:sz w:val="18"/>
          <w:szCs w:val="18"/>
          <w:color w:val="auto"/>
        </w:rPr>
        <w:t xml:space="preserve"> lawsuit executed a settlement that required the Company to file a Form 8-K (which was filed on April 17, 2017) with the U.S. Securities and Exchange Commission (“SEC”) announcing that the Company will follow its By-Laws as opposed to its Certificate of Incorporation as regards the director removal provisions; and (2) to pay the </w:t>
      </w:r>
      <w:r>
        <w:rPr>
          <w:rFonts w:ascii="Times New Roman" w:cs="Times New Roman" w:eastAsia="Times New Roman" w:hAnsi="Times New Roman"/>
          <w:sz w:val="18"/>
          <w:szCs w:val="18"/>
          <w:i w:val="1"/>
          <w:iCs w:val="1"/>
          <w:color w:val="auto"/>
        </w:rPr>
        <w:t>Stern</w:t>
      </w:r>
      <w:r>
        <w:rPr>
          <w:rFonts w:ascii="Times New Roman" w:cs="Times New Roman" w:eastAsia="Times New Roman" w:hAnsi="Times New Roman"/>
          <w:sz w:val="18"/>
          <w:szCs w:val="18"/>
          <w:color w:val="auto"/>
        </w:rPr>
        <w:t xml:space="preserve"> plaintiff an amount equal to $22,500 to compensate the plaintiff for the legal costs of bringing the lawsuit. Also on April 17, 2017, the parties executed a Stipulation of Dismissal that was subsequently filed with the court. The Company paid the plaintiff’s counsel the amount required by the settlement agreement within the time period required by the settlement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8" w:name="page39"/>
    <w:bookmarkEnd w:id="3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On June 23, 2017, the Company responded to the Stockholder Demand, explained the procedures that were followed for the 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misled the stockholders regarding whether their brokers could vote on the reverse stock split proposal, and renewed their requests of the Board. The Company is evaluating further the Stockholder Demand and the reply letter and will respond in due course.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Litigation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 and have since agreed to continue to the suspension pending resolution of the derivatives litigation.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for the Stipulation agreement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Investigation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4, 2015, the Company received a subpoena from the SEC requesting information related to the VWP Project. The Company has provided information to the SEC in response to that subpoena. As part of the same investigation, on July 12, 2016, the SEC issued second subpoena requesting information related to the Company’s April 4, 2014 public offering. The Company has provided information to the SEC in response to that subpoena. The SEC investigation is ongoing and the Company continues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9" w:name="page40"/>
    <w:bookmarkEnd w:id="3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 IVA (sales tax)</w:t>
      </w:r>
    </w:p>
    <w:p>
      <w:pPr>
        <w:spacing w:after="0" w:line="2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June 2012, the Company received notice that the Spanish tax authorities are inquiring into its 2010 IVA (value-added tax) filing for which the Company benefitted from the offset of approximately $0.3 million of input tax. The Company believed that the tax credit was properly claimed and, therefore, no liability was recorded. The Company issued two letters of credit totaling €0.3 million ($0.3 million) at the request of the Spanish tax authorities. On January 31, 2017 the Company received $0.2 million from the Spanish tax authorities as a result of the conclusion of the inquiry. In addition, during February 2017, the Spanish tax authorities approved release of the two outstanding letters of credit.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 Income Tax Audit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currently undergoing an income tax audit in Spain for the period from 2008 to 2014, when our Spanish branch was closed. The branch reported net operating losses for each of the years reported. It is anticipated that we will be assessed a penalty relating to these tax years for these losses. We have estimated this penalty to be $132 thousand, and as such, for the period ended April 30, 2017, we have recorded $132 thousand for this penalty to Selling, general and administrative costs in the Statement of Operations.</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Information and Stockholders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"OPTT." As of June 30, 2017, there were 153 holders of record for shares of our common stock. Since a portion of our common stock is held in "street" or nominee name, we are unable to determine the exact number of beneficial holders.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high and the low sale prices of our common stock as quoted by the NASDAQ Stock Market for the period indicated.</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78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NASDAQ Stock Market</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5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High</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Low</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5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74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Fiscal Year Ended April 30, 2017</w:t>
            </w: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 quarter ended July 31, 2016</w:t>
            </w:r>
          </w:p>
        </w:tc>
        <w:tc>
          <w:tcPr>
            <w:tcW w:w="49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15.65</w:t>
            </w:r>
          </w:p>
        </w:tc>
        <w:tc>
          <w:tcPr>
            <w:tcW w:w="1160" w:type="dxa"/>
            <w:vAlign w:val="bottom"/>
            <w:tcBorders>
              <w:top w:val="single" w:sz="8" w:color="CCEEFF"/>
            </w:tcBorders>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ended October 31, 2016</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 ended January 31, 2017</w:t>
            </w:r>
          </w:p>
        </w:tc>
        <w:tc>
          <w:tcPr>
            <w:tcW w:w="10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ended April 30, 2017</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25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74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Fiscal Year Ended April 30, 2016 </w:t>
            </w:r>
            <w:r>
              <w:rPr>
                <w:rFonts w:ascii="Times New Roman" w:cs="Times New Roman" w:eastAsia="Times New Roman" w:hAnsi="Times New Roman"/>
                <w:sz w:val="20"/>
                <w:szCs w:val="20"/>
                <w:b w:val="1"/>
                <w:bCs w:val="1"/>
                <w:color w:val="auto"/>
                <w:vertAlign w:val="superscript"/>
              </w:rPr>
              <w:t>(1)</w:t>
            </w: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 quarter ended July 31, 2015</w:t>
            </w:r>
          </w:p>
        </w:tc>
        <w:tc>
          <w:tcPr>
            <w:tcW w:w="49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160" w:type="dxa"/>
            <w:vAlign w:val="bottom"/>
            <w:tcBorders>
              <w:top w:val="single" w:sz="8" w:color="CCEEFF"/>
            </w:tcBorders>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ended October 31, 2015</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 ended January 31, 2016</w:t>
            </w:r>
          </w:p>
        </w:tc>
        <w:tc>
          <w:tcPr>
            <w:tcW w:w="10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0.95</w:t>
            </w: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ended April 30, 2016</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bl>
    <w:p>
      <w:pPr>
        <w:spacing w:after="0" w:line="252" w:lineRule="exact"/>
        <w:rPr>
          <w:sz w:val="20"/>
          <w:szCs w:val="20"/>
          <w:color w:val="auto"/>
        </w:rPr>
      </w:pPr>
    </w:p>
    <w:p>
      <w:pPr>
        <w:ind w:left="5620" w:right="2700" w:hanging="5288"/>
        <w:spacing w:after="0" w:line="877" w:lineRule="auto"/>
        <w:tabs>
          <w:tab w:leader="none" w:pos="6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has been adjusted retroactively to reflect a one-for-10 reverse stock split effective October 27, 2015.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-281305</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0" w:name="page41"/>
    <w:bookmarkEnd w:id="4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Information</w:t>
      </w:r>
    </w:p>
    <w:p>
      <w:pPr>
        <w:spacing w:after="0" w:line="22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transfer agent is Computershare Trust Company, N.A. Computershare is located at 250 Royall Street, Canton, MA 02021-1011. Its contact information is: United States and Canada: (800) 662 – 7232, International (781) 575 – 4238 and its website is located at </w:t>
      </w:r>
      <w:r>
        <w:rPr>
          <w:rFonts w:ascii="Times New Roman" w:cs="Times New Roman" w:eastAsia="Times New Roman" w:hAnsi="Times New Roman"/>
          <w:sz w:val="18"/>
          <w:szCs w:val="18"/>
          <w:u w:val="single" w:color="auto"/>
          <w:color w:val="auto"/>
        </w:rPr>
        <w:t>www.computershare.com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our share repurchases for the three months ended April 30,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Average Price</w:t>
            </w:r>
          </w:p>
        </w:tc>
        <w:tc>
          <w:tcPr>
            <w:tcW w:w="46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36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Period</w:t>
            </w:r>
          </w:p>
        </w:tc>
        <w:tc>
          <w:tcPr>
            <w:tcW w:w="3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Paid per Share</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480" w:type="dxa"/>
            <w:vAlign w:val="bottom"/>
            <w:gridSpan w:val="4"/>
          </w:tcPr>
          <w:p>
            <w:pPr>
              <w:spacing w:after="0"/>
              <w:rPr>
                <w:sz w:val="18"/>
                <w:szCs w:val="18"/>
                <w:color w:val="auto"/>
              </w:rPr>
            </w:pPr>
          </w:p>
        </w:tc>
        <w:tc>
          <w:tcPr>
            <w:tcW w:w="2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 February 28</w:t>
            </w:r>
          </w:p>
        </w:tc>
        <w:tc>
          <w:tcPr>
            <w:tcW w:w="5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March 1 - March 31</w:t>
            </w:r>
          </w:p>
        </w:tc>
        <w:tc>
          <w:tcPr>
            <w:tcW w:w="54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 April 30</w:t>
            </w:r>
          </w:p>
        </w:tc>
        <w:tc>
          <w:tcPr>
            <w:tcW w:w="5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675"/>
        </w:trPr>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05"/>
        </w:trPr>
        <w:tc>
          <w:tcPr>
            <w:tcW w:w="1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61"/>
        </w:trPr>
        <w:tc>
          <w:tcPr>
            <w:tcW w:w="180" w:type="dxa"/>
            <w:vAlign w:val="bottom"/>
            <w:shd w:val="clear" w:color="auto" w:fill="808080"/>
          </w:tcPr>
          <w:p>
            <w:pPr>
              <w:spacing w:after="0"/>
              <w:rPr>
                <w:sz w:val="5"/>
                <w:szCs w:val="5"/>
                <w:color w:val="auto"/>
              </w:rPr>
            </w:pPr>
          </w:p>
        </w:tc>
        <w:tc>
          <w:tcPr>
            <w:tcW w:w="3620" w:type="dxa"/>
            <w:vAlign w:val="bottom"/>
            <w:shd w:val="clear" w:color="auto" w:fill="808080"/>
          </w:tcPr>
          <w:p>
            <w:pPr>
              <w:spacing w:after="0"/>
              <w:rPr>
                <w:sz w:val="5"/>
                <w:szCs w:val="5"/>
                <w:color w:val="auto"/>
              </w:rPr>
            </w:pPr>
          </w:p>
        </w:tc>
        <w:tc>
          <w:tcPr>
            <w:tcW w:w="37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2" w:right="199" w:bottom="1440" w:gutter="0" w:footer="0" w:header="0"/>
        </w:sectPr>
      </w:pPr>
    </w:p>
    <w:bookmarkStart w:id="41" w:name="page42"/>
    <w:bookmarkEnd w:id="4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Information with respect to this item will be set forth in the Company’s definitive proxy statement to be filed with the SEC for the Company’s 2017 Annual Meeting of Stockholders (the "Proxy Statement") under the headings “Security Ownership Beneficial Owners and Management – Equity Compensation Plan Information” and is incorporated herein by reference. The Proxy Statement will be filed with the SEC within 120 days after the end of the fiscal year covered by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unregistered sales of equity securities or purchases of equity securities that are required to be disclosed.</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SELECTED FINANCIAL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review the "Risk Factors" section of this Annual Report, and elsewhere in this report, for a discussion of important factors that could cause actual results to differ materially from the results described in or implied by the forward-looking statements contained in the following discussion and analysis. Our fiscal year ends on April 30. References to fiscal 2017 are to the fiscal year ended April 30, 2017.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commercializing proprietary systems that generate electricity by harnessing the renewable energy of ocean waves. Our PowerBuoy systems use proprietary technologies to convert the mechanical energy created by the rising and falling of ocean waves into electricity. We currently have developed our PB3 PowerBuoy product. Since fiscal 2002, government agencies have accounted for a significant portion of our revenues, which were largely for the support of our product development efforts. Our goal is that an increased portion of our revenues will be from the sale of products and services, as compared to revenue from grants to support our product development efforts. As we continue to advance our proprietary technologies, we expect to have a net use of cash in operating activities unless or until we achieve positive cash flow from the commercialization of our products and services.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marketing our PowerBuoy, which is designed to generate power for use independent of the power grid, to customers that require electricity in remote locations. We believe there are a variety of potential applications for our PowerBuoy, within markets such as oil and gas, ocean observing, security and defense and as well as other markets, which we refer to collectively as autonomous application markets.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were incorporated in New Jersey in 1984, began business operations in 1994, and were re-incorporated in Delaware in 2007. We currently have five wholly-owned subsidiaries: Ocean Power Technologies Ltd., organized under the laws of the United Kingdom, Reedsport OPT Wave Park LLC, organized under the laws of Oregon, and Oregon Wave Energy Partners I, LLC, organized under the laws of Delaware, Ocean Power Technologies (Australasia) Pty Ltd (“OPTA”), organized under the laws of Australia. OPTA owns 100% of Victorian Wave Partners Pty. Ltd. (“VWP”), which is also organized under the laws of Australia. We acquired the remaining 12% of OPTA which we did not previously own in September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2" w:name="page43"/>
    <w:bookmarkEnd w:id="4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development of our technology has been funded by revenue generating projects, capital we raised and by development engineering contracts we received starting in fiscal 1995, including projects with the DOE, the U.S. Navy, the Department of Homeland Security and MES. Please see Item 1 of this Annual Report– "Business – Customers” and “Historic Projects” for more information.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Through these historic projects, we also continued development of our PowerBuoy technologies. We are continuing to focus on marketing and developing our PowerBuoy products and services for use in autonomous power applications.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During fiscal 2017, we continued to focus on the commercialization of our PowerBuoy technology and our PB3 product in autonomous application markets. We completed our work under our DOE contract that focused on further optimization of our modular PTO technology and delivered the project final report to the DOE in the prior year. In the prior year, we successfully completed the final stage and associated review with the DOE of the contract deliverables during which the DOE reviewed advancements related to PTO design aspects such as reliability, cost take out, manufacturability and scalability. As we continued to focus on the development and validation of our PB3 PowerBuoy commercial product, our activities concentrated mainly on implementing all of our lessons learned during our efforts in the prior fiscal year from our ocean deployments and accelerated life testing (“ALT”). The resulting improved PB3 PowerBuoy was deployed off the coast of New Jersey in July of 2016 and was retrieved early December 2016 upon completing all intended testing and validation. Inspection and refurbishment of the PB3 PowerBuoy were completed and this PB3 was shipped for delivery to MES in Japan to fulfill the requirements of our lease with MES, including a deployment off of Kozushima Island in the Pacific Ocean. ALT of the PB3 commercial PTO is ongoing with no failures to date. In addition to the deployment of the PB3 PowerBuoy, the prior generation pre-commercial PB3 (“PB3-A1”), was fitted with a sensor that collects tagged marine mammal migration information as well as with a Self-Contained Ocean Observing Payload (“SCOOP”). The marine mammal migration detection sensor was attached to the PB3-A1 PowerBuoy as part of an agreed scope of work with the Wildlife Conservation Society (“WCS”) through a memorandum of agreement between WCS and OPT. The SCOOP payload was integrated into PB3-A1 to complete the Phase 1 work scope of a Cooperative Research and Development Agreement (“CRADA”) between the National Data Buoy Center (“NDBC”) and OPT. The PB3-A1, deployed off the coast of New Jersey in May 2016, was retrieved in October 2016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July 2016 through October 2016, both PB3-A1 and PB3 were concurrently deployed generating valuable performance validation data. Both the NDBC SCOOP as well as the WCS tagged mammal migration detection sensor met all of their performance requirements. This pre-commercial PowerBuoy, referred to as “PB3-A1” has now undergone a full upgrade and has achieved full commercial status by retrofitting it with the final commercial PTO including our modular energy storage system, and to make it available to support our on-going commercialization efforts. In addition to the PB3 commercial product validation activities, a concerted effort has been underway which focuses on proactively implementing additional features driven by extensive and direct discussions with potential users and customers in our target markets. Such features include:</w:t>
      </w:r>
    </w:p>
    <w:p>
      <w:pPr>
        <w:spacing w:after="0" w:line="191" w:lineRule="exact"/>
        <w:rPr>
          <w:sz w:val="20"/>
          <w:szCs w:val="20"/>
          <w:color w:val="auto"/>
        </w:rPr>
      </w:pPr>
    </w:p>
    <w:p>
      <w:pPr>
        <w:ind w:left="1160" w:hanging="315"/>
        <w:spacing w:after="0" w:line="261" w:lineRule="auto"/>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development and implementation of a versatile mooring interface that allows the PB3 to accommodate various types of mooring configurations depending on the specifics and the needs of the customer, eliminating the need for a redesign to the device.</w:t>
      </w:r>
    </w:p>
    <w:p>
      <w:pPr>
        <w:jc w:val="both"/>
        <w:ind w:left="1160" w:hanging="315"/>
        <w:spacing w:after="0" w:line="255" w:lineRule="auto"/>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development and implementation of a flexible power transmission system intended to support delivery of power and communication capabilities to customer payloads which are external to the PowerBuoy, and which may reside in the water column or on the seabed.</w:t>
      </w:r>
    </w:p>
    <w:p>
      <w:pPr>
        <w:spacing w:after="0" w:line="186"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Additionally, and building upon our initial success in implementing an auto-ballast system in our commercial PB3, we further enhanced this feature in order to achieve faster and more cost effective PB3 deployments and retrievals.</w:t>
      </w:r>
    </w:p>
    <w:p>
      <w:pPr>
        <w:spacing w:after="0" w:line="162" w:lineRule="exact"/>
        <w:rPr>
          <w:sz w:val="20"/>
          <w:szCs w:val="20"/>
          <w:color w:val="auto"/>
        </w:rPr>
      </w:pPr>
    </w:p>
    <w:p>
      <w:pPr>
        <w:jc w:val="both"/>
        <w:ind w:firstLine="513"/>
        <w:spacing w:after="0" w:line="258" w:lineRule="auto"/>
        <w:rPr>
          <w:sz w:val="20"/>
          <w:szCs w:val="20"/>
          <w:color w:val="auto"/>
        </w:rPr>
      </w:pPr>
      <w:r>
        <w:rPr>
          <w:rFonts w:ascii="Times New Roman" w:cs="Times New Roman" w:eastAsia="Times New Roman" w:hAnsi="Times New Roman"/>
          <w:sz w:val="18"/>
          <w:szCs w:val="18"/>
          <w:color w:val="auto"/>
        </w:rPr>
        <w:t>Further, the development of our PB15, the next scale-up of our autonomous PowerBuoy, is underway in accordance with our product roadmap. We completed the preliminary design of our PB15 in fiscal 2017. We believe the PB15 PowerBuoy would have a peak power generation rating of 15kW with a nominal ESS rating of 450 kWh, and an average continuous power output that depends on the deployment site’s metocean conditions. While this scale-up leverages every aspect of the product development and validation of the PB3, it may also strategically position the product to allow OPT to respond to higher power needs as expressed by potential end-users and customers in our target markets.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3" w:name="page44"/>
    <w:bookmarkEnd w:id="4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513"/>
        <w:spacing w:after="0" w:line="254" w:lineRule="auto"/>
        <w:rPr>
          <w:sz w:val="20"/>
          <w:szCs w:val="20"/>
          <w:color w:val="auto"/>
        </w:rPr>
      </w:pPr>
      <w:r>
        <w:rPr>
          <w:rFonts w:ascii="Times New Roman" w:cs="Times New Roman" w:eastAsia="Times New Roman" w:hAnsi="Times New Roman"/>
          <w:sz w:val="18"/>
          <w:szCs w:val="18"/>
          <w:color w:val="auto"/>
        </w:rPr>
        <w:t>As previously stated, the PB3 has achieved commercial status through a series of design iterations which focused on improving its reliability and survivability in the ocean environment. Though the PB3 will continue to undergo further enhancements through customary product life cycle management, we believe the PB3 has achieved a maturity level for immediate commercial use. We believe that the PB3 will generate and store sufficient power to address various application requirements in our target markets. Our product development and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continue to explore opportunities in these target markets, and we have not yet finalized any product offerings in these potential markets. We believe that by increasing the energy output of our PowerBuoys we may be able to address larger segments of our target markets. By improving our design and manufacturing, we also seek to reduce the cost of our PowerBuoys through further design iterations and manufacturing ramp-up. In so doing, we seek to improve customer value, displace additional incumbent solutions, and become a viable power source for new applications in our target markets.</w:t>
      </w:r>
    </w:p>
    <w:p>
      <w:pPr>
        <w:spacing w:after="0" w:line="186" w:lineRule="exact"/>
        <w:rPr>
          <w:sz w:val="20"/>
          <w:szCs w:val="20"/>
          <w:color w:val="auto"/>
        </w:rPr>
      </w:pPr>
    </w:p>
    <w:p>
      <w:pPr>
        <w:jc w:val="both"/>
        <w:ind w:firstLine="513"/>
        <w:spacing w:after="0" w:line="256" w:lineRule="auto"/>
        <w:rPr>
          <w:sz w:val="20"/>
          <w:szCs w:val="20"/>
          <w:color w:val="auto"/>
        </w:rPr>
      </w:pPr>
      <w:r>
        <w:rPr>
          <w:rFonts w:ascii="Times New Roman" w:cs="Times New Roman" w:eastAsia="Times New Roman" w:hAnsi="Times New Roman"/>
          <w:sz w:val="18"/>
          <w:szCs w:val="18"/>
          <w:color w:val="auto"/>
        </w:rPr>
        <w:t>We also are continuing to work to develop solutions seeking to improve our products’ durability and reliability and to reduce their cost. For example, the redesigned PB3 leverages our knowledge base from past designs to incorporate new design features which we believe will improve its reliability and efficiency, including a redesigned PTO and a higher efficiency and higher voltage ESS. In July 2016, we deployed our first commercial PB3 PowerBuoy, off of the coast of New Jersey. This deployment was the final validation of the PB3 prior to the March 2017 six-month lease of the PB3 PowerBuoy under a previously announced customer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April 2017, our commercial PB3 was deployed off the coast of Kozushima Island in Japan as part of this lease, and continues to operate meeting all project requirements.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Raises</w:t>
      </w:r>
    </w:p>
    <w:p>
      <w:pPr>
        <w:spacing w:after="0" w:line="229" w:lineRule="exact"/>
        <w:rPr>
          <w:sz w:val="20"/>
          <w:szCs w:val="20"/>
          <w:color w:val="auto"/>
        </w:rPr>
      </w:pPr>
    </w:p>
    <w:p>
      <w:pPr>
        <w:jc w:val="both"/>
        <w:ind w:firstLine="513"/>
        <w:spacing w:after="0" w:line="255" w:lineRule="auto"/>
        <w:rPr>
          <w:sz w:val="20"/>
          <w:szCs w:val="20"/>
          <w:color w:val="auto"/>
        </w:rPr>
      </w:pPr>
      <w:r>
        <w:rPr>
          <w:rFonts w:ascii="Times New Roman" w:cs="Times New Roman" w:eastAsia="Times New Roman" w:hAnsi="Times New Roman"/>
          <w:sz w:val="18"/>
          <w:szCs w:val="18"/>
          <w:color w:val="auto"/>
        </w:rPr>
        <w:t>On June 2, 2016, we entered into a securities purchase agreement, which was amended on June 7, 2016 (as amended, the “Purchase Agreement”) with certain institutional purchasers (the “Purchasers”). Pursuant to the terms of the Purchase Agreement, we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from the offering to us were approximately $1.7 million, after deducting placement agent fees and estimated offering expenses payable by us, but excluding the proceeds, if any, from the exercise of the warrants issued in the offering. The warrants have an exercise price of $6.08 per share, will be exercisable on December 8, 2016, and will expire five years following the date of issuance.</w:t>
      </w:r>
    </w:p>
    <w:p>
      <w:pPr>
        <w:spacing w:after="0" w:line="189" w:lineRule="exact"/>
        <w:rPr>
          <w:sz w:val="20"/>
          <w:szCs w:val="20"/>
          <w:color w:val="auto"/>
        </w:rPr>
      </w:pPr>
    </w:p>
    <w:p>
      <w:pPr>
        <w:jc w:val="both"/>
        <w:ind w:firstLine="513"/>
        <w:spacing w:after="0" w:line="255" w:lineRule="auto"/>
        <w:rPr>
          <w:sz w:val="20"/>
          <w:szCs w:val="20"/>
          <w:color w:val="auto"/>
        </w:rPr>
      </w:pPr>
      <w:r>
        <w:rPr>
          <w:rFonts w:ascii="Times New Roman" w:cs="Times New Roman" w:eastAsia="Times New Roman" w:hAnsi="Times New Roman"/>
          <w:sz w:val="18"/>
          <w:szCs w:val="18"/>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$9.36 per share. The Warrants will expire on the fifth (5th) anniversary of the initial date of issuance.</w:t>
      </w:r>
    </w:p>
    <w:p>
      <w:pPr>
        <w:spacing w:after="0" w:line="189" w:lineRule="exact"/>
        <w:rPr>
          <w:sz w:val="20"/>
          <w:szCs w:val="20"/>
          <w:color w:val="auto"/>
        </w:rPr>
      </w:pPr>
    </w:p>
    <w:p>
      <w:pPr>
        <w:jc w:val="both"/>
        <w:ind w:firstLine="513"/>
        <w:spacing w:after="0" w:line="261" w:lineRule="auto"/>
        <w:rPr>
          <w:sz w:val="20"/>
          <w:szCs w:val="20"/>
          <w:color w:val="auto"/>
        </w:rPr>
      </w:pPr>
      <w:r>
        <w:rPr>
          <w:rFonts w:ascii="Times New Roman" w:cs="Times New Roman" w:eastAsia="Times New Roman" w:hAnsi="Times New Roman"/>
          <w:sz w:val="18"/>
          <w:szCs w:val="18"/>
          <w:color w:val="auto"/>
        </w:rPr>
        <w:t>On October 19, 2016, the Company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placement agent fees and offering expenses payable by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4" w:name="page45"/>
    <w:bookmarkEnd w:id="4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placement agent fees and offering expenses payable by the Company.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April 30, 2017, our negotiated backlog was $0.3 million. As of April 30, 2016, our backlog was negligible. In 2016, we have excluded from backlog the suspended utility scale project with MES as we do not expect work under that contract to continue due to the shift in focus to an autonomous PB3 based project. Subsequently, on May 31, 2016, we entered into a contract with MES totaling approximately $1.0 million, a portion of which was performed in fiscal 2016 as agreed under a LOI signed in March 2016. Our backlog can include both funded amounts, which are unfilled firm orders for our products and services for which funding has been both authorized and appropriated by the customer (U.S. Congress, in the case of U.S. Government agencies), and unfunded amounts, which are unfilled firm orders for which funding has not been appropriated. If any of our contracts were to be terminated, our backlog would be reduced by the expected value of the remaining terms of such contract. Our backlog was fully funded at April 30, 2017.</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financial statements have been prepared assuming we will continue as a going concern. We have experienced substantial and recurring losses from operations, which losses have caused an accumulated deficit of $187.4 million at April 30, 2017. Based on the Company’s cash and cash equivalents and marketable securities balances as of April 30, 2017, and including the proceeds received from our May 2017 financing transaction in which we received aggregate net proceeds to us of approximately $7.2 million, the Company believes that it will be able to finance its capital requirements and operations into the quarter ending July 31, 2018. The report of our independent registered public accounting firm on our consolidated financial statements for the year ended April 30, 2017,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45" w:name="page46"/>
    <w:bookmarkEnd w:id="4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set forth below are based on our consolidated financial statements, which have been prepared in accordance with U.S. generally accepted accounting principles (U.S. GAAP). The preparation of these consolidated financial statements requires us to make estimates and judgments that affect the reported amounts of assets, liabilities, revenues and expenses. On an ongoing basis, we evaluate our estimates and judgments, including those described below. We base our estimates on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the following accounting policies require significant judgment and estimates by us in the preparation of our consolidated financial statements.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discussed in Part I, Item 3 of this Annual Report under the heading “Legal Proceedings” and in Note 15, “Commitments and Contingencies,” in Notes to the Consolidated Financial Statements, the Company is currently subject to various legal proceedings and claims. The Company records a contingent liability when it is probable that a loss has been incurred and the amount is reasonably estimable in accordance with SFAS No. 5, “Accounting for Contingencies”. There is a significant judgment required in both the probability determination and as to whether an exposure can be reasonably estimated since the outcome of legal proceedings and claims brought against the Company are subject to significant uncertainty. In management’s opinion, any reasonable possible losses in addition to the amounts accrued for litigation would not, individually or in the aggregate, have a material adverse effect on its financial condition or operating results. Should the Company fail to prevail in any of these legal matters or should several of these legal matters be resolved against the Company in the same reporting period, the operating results of a particular reporting period could be materially adversely affected.</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unearned 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revenue under fixed price or cost plus contracts is recognized using the cost to cost percentage-of-completion method, measured by the ratio of costs incurred to total estimated costs at completion. In certain circumstances, revenue under contracts that have specified milestones or other performance criteria may be recognized only when the customer acknowledges that such criteria have been satisfied. If an arrangement involves multiple deliverables, the delivered items are considered separate units of accounting if the items have value on a stand-alone basis. Amounts allocated to each element are based on its objectively determined fair value, such as the sales price for the product or service when it is sold separately or competitor prices for similar products or services.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recognition of revenue (and the related costs) may be deferred for fixed 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6" w:name="page47"/>
    <w:bookmarkEnd w:id="4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resulting from all share-based payment transactions are recognized in the consolidated financial statements at their fair values.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Determining the appropriate fair-value model and calculating the fair value of stock-based awards at the date of grant using any valuation model requires judgment. We may use a Monte Carlo simulation model for performance-based stock awards, if applicable, and use the Black-Scholes option pricing model to estimate the fair value of employee stock options. Option pricing models, including the Black-Scholes model, require the use of input assumptions, including expected volatility, expected term and the expected dividend rate. Beginning in fiscal 2014, expected volatility for 2015 was based on the Company’s historical volatility. In prior years, we estimated our expected volatility based on that of what we considered to be similar publicly-traded companies because our stock had been publicly traded in the U.S. only since April 2007, so we did not have significant observable share-price volatility for the U.S. capital markets. We did not estimate our expected volatility based on the price of our common stock on the AIM market of the London Stock Exchange, on which our shares traded from October 2003 until we voluntarily delisted in January 2011, because we did not believe, based on the historically low trading volume of our shares on that market, that the volatility of our common stock on the AIM market was an appropriate indicator of the expected volatility of our common stock. We estimate the expected term using the average midpoint between the vesting terms and the contractual terms of our options as permitted by the SEC's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If we determine another method to estimate expected term is more reasonable than our current method, or if another method for calculating this input assumption is prescribed by authoritative guidance, the fair value calculated for future stock-based awards could change significantly. Longer expected terms have a significant impact on the value of stock-based compensation determined at the date of grant. The expected dividend rate is not significant to the calculation of the fair value of our stock-based awards.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are required to develop an estimate of the number of stock-based awards that will be forfeited due to employee turnover.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Quarterly changes in the estimated forfeiture rate can have a significant effect on reported stock-based compensation. If the actual forfeiture rate is higher than the estimated forfeiture rate, then an adjustment is made to increase the estimated forfeiture rate, which will result in a decrease to the expense recognized in the consolidated financial statements during the quarter of the change. If the actual forfeiture rate is lower than the estimated forfeiture rate, then an adjustment is made to decrease the estimated forfeiture rate, which will result in an increase to the expense recognized in the consolidated financial statements. These adjustments affect our cost of revenues, product development costs and selling, general and administrative costs. To date, the effect of forfeiture adjustments on our consolidated financial statements has been insignificant. The expense we recognize in future periods could differ significantly from the current period and/or our forecasts due to adjustments in the assumed forfeiture rates.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share-based compensation expense related to all share-based transactions related to employees was approximately $1.2 million and $0.3 million in fiscal 2017 and 2016,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7" w:name="page48"/>
    <w:bookmarkEnd w:id="4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issued in connection with its public offerings in June and July, 2017 in accordance with the guidance on “Accounting for Certain Financial Instruments with Characteristics of both Liabilities and Equity” which provides that we classify the warrant instruments as a liability at its fair value. The warrant liabilities are subject to re-measurement at each balance sheet date using the Black-Scholes option pricing model. The Company recognizes any change in fair value in its consolidated statements of operations within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Under this method, we determine deferred tax assets and liabilities based upon the differences between the financial statement carrying amounts and the tax bases of assets and liabilities, as well as net operating loss and tax credit carry forwards, using enacted tax rates in effect for the year in which such items are expected to affect taxable income. The tax consequences of most events recognized in the current year's financial statements are included in determining income taxes currently payable. However, because tax laws and financial accounting standards differ in their recognition and measurement of assets, liabilities, equity, revenues, expenses, gains and losses, differences arise between the amount of taxable income and pretax financial income for a year and between the tax bases of assets or liabilities and their reported amounts in the financial statements. Because we assume that the reported amounts of assets and liabilities will be recovered and settled, respectively, a difference between the tax basis of an asset or a liability and its reported amount in the balance sheet will result in a taxable or a deductible amount in some future years when the related liabilities are settled or the reported amounts of the assets are recovered, giving rise to a deferred tax asset or deferred tax liability. We then assess the likelihood that our deferred tax assets will be recovered from future taxable income and, to the extent we believe that recovery is not likely, we establish a valuation allowance. As discussed in Note 14 to our consolidated financial statements included elsewhere in this Annual Report, we have established a valuation allowance for our net deferred tax assets, which was $54.7 million and $52.6 million as of April 30, 2017 and April 30, 2016, respectively. During the years ended April 30, 2017 and 2016, we sold New Jersey State net operating losses in the amount of $7.8 million and $19.7 million, respectively, resulting in the recognition of income tax benefits of $0.7 million and $1.7 million, respectively, recorded in our Statement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Over the next several years, it is our goal to fund the majority of our product development efforts with sources from commercial relationships, including cost-sharing agreements. If we are unable to obtain commercial relationships or cost-sharing arrangements, we may be forced to curtail our development expenses and scope to reduce our overall expenses. We recently narrowed our development focus to the PB3 to drive toward commercialization of that product and to reduce our overall expenses. In the future, we also may continue to develop the PB15 if we determine that future relationships warrant incurring the costs associated with such product development.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8" w:name="page49"/>
    <w:bookmarkEnd w:id="4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breakdown of our revenues by customer for fiscal years 2017 and 2016:</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88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April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3"/>
          </w:tcPr>
          <w:p>
            <w:pPr>
              <w:jc w:val="center"/>
              <w:ind w:right="690"/>
              <w:spacing w:after="0"/>
              <w:rPr>
                <w:sz w:val="20"/>
                <w:szCs w:val="20"/>
                <w:color w:val="auto"/>
              </w:rPr>
            </w:pPr>
            <w:r>
              <w:rPr>
                <w:rFonts w:ascii="Times New Roman" w:cs="Times New Roman" w:eastAsia="Times New Roman" w:hAnsi="Times New Roman"/>
                <w:sz w:val="18"/>
                <w:szCs w:val="18"/>
                <w:color w:val="auto"/>
                <w:w w:val="82"/>
              </w:rPr>
              <w:t>millions)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200" w:type="dxa"/>
            <w:vAlign w:val="bottom"/>
            <w:gridSpan w:val="2"/>
          </w:tcPr>
          <w:p>
            <w:pPr>
              <w:spacing w:after="0"/>
              <w:rPr>
                <w:sz w:val="17"/>
                <w:szCs w:val="17"/>
                <w:color w:val="auto"/>
              </w:rPr>
            </w:pPr>
          </w:p>
        </w:tc>
        <w:tc>
          <w:tcPr>
            <w:tcW w:w="5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Mitsui Engineering &amp; Shipbuilding</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200" w:type="dxa"/>
            <w:vAlign w:val="bottom"/>
            <w:gridSpan w:val="2"/>
            <w:shd w:val="clear" w:color="auto" w:fill="CCEEFF"/>
          </w:tcPr>
          <w:p>
            <w:pPr>
              <w:jc w:val="center"/>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U.S. Department of Defense Office of Naval Research</w:t>
            </w:r>
          </w:p>
        </w:tc>
        <w:tc>
          <w:tcPr>
            <w:tcW w:w="108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Department of Energy</w:t>
            </w:r>
          </w:p>
        </w:tc>
        <w:tc>
          <w:tcPr>
            <w:tcW w:w="10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European Union (WavePort project)</w:t>
            </w: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center"/>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443"/>
        <w:spacing w:after="0" w:line="282" w:lineRule="auto"/>
        <w:rPr>
          <w:sz w:val="20"/>
          <w:szCs w:val="20"/>
          <w:color w:val="auto"/>
        </w:rPr>
      </w:pPr>
      <w:r>
        <w:rPr>
          <w:rFonts w:ascii="Times New Roman" w:cs="Times New Roman" w:eastAsia="Times New Roman" w:hAnsi="Times New Roman"/>
          <w:sz w:val="18"/>
          <w:szCs w:val="18"/>
          <w:color w:val="auto"/>
        </w:rPr>
        <w:t>We currently focus our sales and marketing efforts on North America, Europe, Australia and Japan. The following table shows the percentage of our revenues by geographical location of our customers for fiscal 2017 and 2016:</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Customer Location</w:t>
            </w:r>
          </w:p>
        </w:tc>
        <w:tc>
          <w:tcPr>
            <w:tcW w:w="348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Year ended April 30,</w:t>
            </w:r>
          </w:p>
        </w:tc>
        <w:tc>
          <w:tcPr>
            <w:tcW w:w="0" w:type="dxa"/>
            <w:vAlign w:val="bottom"/>
          </w:tcPr>
          <w:p>
            <w:pPr>
              <w:spacing w:after="0"/>
              <w:rPr>
                <w:sz w:val="1"/>
                <w:szCs w:val="1"/>
                <w:color w:val="auto"/>
              </w:rPr>
            </w:pPr>
          </w:p>
        </w:tc>
      </w:tr>
      <w:tr>
        <w:trPr>
          <w:trHeight w:val="210"/>
        </w:trPr>
        <w:tc>
          <w:tcPr>
            <w:tcW w:w="6780" w:type="dxa"/>
            <w:vAlign w:val="bottom"/>
            <w:gridSpan w:val="3"/>
            <w:vMerge w:val="continue"/>
          </w:tcPr>
          <w:p>
            <w:pPr>
              <w:spacing w:after="0"/>
              <w:rPr>
                <w:sz w:val="18"/>
                <w:szCs w:val="18"/>
                <w:color w:val="auto"/>
              </w:rPr>
            </w:pPr>
          </w:p>
        </w:tc>
        <w:tc>
          <w:tcPr>
            <w:tcW w:w="15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and Australia</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pounds sterling, the Euro and the Australian dollar. Due to the macroeconomic pressures in certain European countries, foreign exchange rates may become more volatile in the future.</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invest our foreign cash reserves in certificates of deposit, and we maintain cash accounts that are denominated in British pounds sterling, Euros and Australian dollars. These foreign denominated certificates of deposit and cash accounts had a balance of $1.2 million as of April 30, 2017 and $1.2 million as of April 30, 2016, compared to our total cash, cash equivalents, restricted cash, and marketable securities balances of $8.9 million as of April 30, 2017 and $7.1 million as of April 30, 2016. These foreign currency balances are translated at each month end to our functional currency, the US dollar, and any resulting gain or loss is recognized in our results of operations.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years ended April 30, 2017 and 2016 were recorded in Euros or British pounds sterling.</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9" w:name="page50"/>
    <w:bookmarkEnd w:id="4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section should be read in conjunction with the discussion below under “Liquidity and Capital Resources.”</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Fiscal Years Ended April 30, 2017 and 2016</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statement of operations information, which serves as the basis of the discussion of our results of operations for the years ended April 30, 2017 and 2016:</w:t>
      </w:r>
    </w:p>
    <w:p>
      <w:pPr>
        <w:spacing w:after="0" w:line="200" w:lineRule="exact"/>
        <w:rPr>
          <w:sz w:val="20"/>
          <w:szCs w:val="20"/>
          <w:color w:val="auto"/>
        </w:rPr>
      </w:pPr>
    </w:p>
    <w:p>
      <w:pPr>
        <w:spacing w:after="0" w:line="228"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3440" w:type="dxa"/>
            <w:vAlign w:val="bottom"/>
            <w:gridSpan w:val="6"/>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3440" w:type="dxa"/>
            <w:vAlign w:val="bottom"/>
            <w:gridSpan w:val="6"/>
            <w:vMerge w:val="continue"/>
          </w:tcPr>
          <w:p>
            <w:pPr>
              <w:spacing w:after="0"/>
              <w:rPr>
                <w:sz w:val="19"/>
                <w:szCs w:val="19"/>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2017 period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2016 period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1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w w:val="74"/>
              </w:rPr>
              <w:t>thousands)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vMerge w:val="restart"/>
          </w:tcPr>
          <w:p>
            <w:pPr>
              <w:spacing w:after="0"/>
              <w:rPr>
                <w:sz w:val="24"/>
                <w:szCs w:val="24"/>
                <w:color w:val="auto"/>
              </w:rPr>
            </w:pPr>
          </w:p>
        </w:tc>
        <w:tc>
          <w:tcPr>
            <w:tcW w:w="5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1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Gross profit (loss)</w:t>
            </w: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development costs</w:t>
            </w:r>
          </w:p>
        </w:tc>
        <w:tc>
          <w:tcPr>
            <w:tcW w:w="9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settlement</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14,895</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(11,687)</w:t>
            </w: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(14,858)</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0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2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7"/>
              </w:rPr>
              <w:t>(10,184)</w:t>
            </w:r>
          </w:p>
        </w:tc>
        <w:tc>
          <w:tcPr>
            <w:tcW w:w="9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(14,758)</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Income tax benefit</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(9,486)</w:t>
            </w:r>
          </w:p>
        </w:tc>
        <w:tc>
          <w:tcPr>
            <w:tcW w:w="9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(13,084)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00" w:type="dxa"/>
            <w:vAlign w:val="bottom"/>
            <w:tcBorders>
              <w:right w:val="single" w:sz="8" w:color="CCEEFF"/>
            </w:tcBorders>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Less: Net profit attributable to the non-controlling interest in Ocean</w:t>
            </w:r>
          </w:p>
        </w:tc>
        <w:tc>
          <w:tcPr>
            <w:tcW w:w="920" w:type="dxa"/>
            <w:vAlign w:val="bottom"/>
            <w:shd w:val="clear" w:color="auto" w:fill="CCEEFF"/>
          </w:tcPr>
          <w:p>
            <w:pPr>
              <w:spacing w:after="0"/>
              <w:rPr>
                <w:sz w:val="17"/>
                <w:szCs w:val="17"/>
                <w:color w:val="auto"/>
              </w:rPr>
            </w:pP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00" w:type="dxa"/>
            <w:vAlign w:val="bottom"/>
            <w:tcBorders>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Power Technologies (Australasia) Pty Ltd</w:t>
            </w:r>
          </w:p>
        </w:tc>
        <w:tc>
          <w:tcPr>
            <w:tcW w:w="920" w:type="dxa"/>
            <w:vAlign w:val="bottom"/>
            <w:shd w:val="clear" w:color="auto" w:fill="CCEEFF"/>
          </w:tcPr>
          <w:p>
            <w:pPr>
              <w:spacing w:after="0"/>
              <w:rPr>
                <w:sz w:val="19"/>
                <w:szCs w:val="19"/>
                <w:color w:val="auto"/>
              </w:rPr>
            </w:pPr>
          </w:p>
        </w:tc>
        <w:tc>
          <w:tcPr>
            <w:tcW w:w="580" w:type="dxa"/>
            <w:vAlign w:val="bottom"/>
            <w:tcBorders>
              <w:right w:val="single" w:sz="8" w:color="CCEEFF"/>
            </w:tcBorders>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Ocean Power Technologies, Inc</w:t>
            </w:r>
          </w:p>
        </w:tc>
        <w:tc>
          <w:tcPr>
            <w:tcW w:w="920" w:type="dxa"/>
            <w:vAlign w:val="bottom"/>
          </w:tcPr>
          <w:p>
            <w:pPr>
              <w:jc w:val="right"/>
              <w:ind w:right="78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(9,486)</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(13,129)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Revenues for the fiscal years ended April 30, 2017 and 2016 were approximately $0.8 million and $0.7 million, respectively. The increase of approximately $0.1 million or 20% over 2016 was attributable to the MES agreement, announced in June 2016, coupled with the $0.2 million attributable to the ONR contract, compared to revenue from our WavePort contract with the EU for our project in Spain and the billable work under our prior contracts with DOE during fiscal year 2016.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0" w:name="page51"/>
    <w:bookmarkEnd w:id="5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for the fiscal years ended April 30, 2017 and 2016 were approximately $0.9 million and $0.7 million, respectively. The increase of approximately $0.2 million, or 40%, over 2016 was due to increased indirect costs in connection with the MES and ONR projects, which resulted in a gross loss for fiscal year 2017. Cost of revenues during the 2016 period included less billable work from contracts performed in the 2016 period.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of our projects in fiscal 2017 and 2016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generating revenues through sales of our PowerBuoy systems, the nature of contracts for our development efforts, and our ability to manage costs incurred on our fixed price contracts.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Product Development Costs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development of new products, product applications and complementary technologies. We expense all of our product development costs as incurred.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Product development costs during the fiscal year ended April 30, 2017 were $5.0 million as compared to $7.1 million for fiscal year 2016. The decrease of $2.1 million, or 29%, is primarily attributable to the completion of utility-scale projects and a decision not to continue these projects. During the fiscal year ended April 30, 2016, product development costs related to the deployment of the legacy PB40 utility scale PowerBuoy as well as costs related to the redesigned commercial PB3.</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costs during the fiscal year months ended April 30, 2017 were $6.6 million as compared to $6.7 for fiscal year 2016. The decrease of $0.1 million, or 3%, is primarily attributable to lower spending on professional fees partly offset by higher stock compensation expense and $0.1 million penalty resulting from the Spain income tax audit.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Litigation settlement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litigation settlement costs in fiscal year 2016 relate to the settlement of the Securities Class Action, described elsewhere in this Annual Report. The net charge of $1.1 million expensed in fiscal 2016 consist of a settlement payment made by us in fiscal 2017 in connection with the settlement of certain pending securities class action litigation, which was comprised of $500,000 in cash, and the issuance by us of 380,000 shares of our Common Stock with a fair value of $596,600 on May 5, 2016, the date of the Stipulation. For more information, see Item 3 “Legal Proceedings” of this Annual Report and Note 15 “Commitments and Contingencies – Litigation” in the accompanying consolidated financial statements for the fiscal year ended April 30, 2017.</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1" w:name="page52"/>
    <w:bookmarkEnd w:id="5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income consists of interest received on cash and cash equivalents, investments in commercial bank-issued certificates of deposit and U.S. Treasury bills and notes and interest expense paid on certain obligations to third parties. Total cash, cash equivalents, restricted cash, and marketable securities were $8.9 million as of April 30, 2017, compared to $7.1 million as of April 30, 2016.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net during the fiscal year 2017 was approximately $28,000 compared to $8,000 for fiscal 2016. The increase in interest income year over year is due to higher cash balances from several capital raises completed in fiscal year 2017.</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exchange loss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Foreign exchange loss was approximately $16,000 for fiscal year 2017 as compared to $149,000 for fiscal year 2016. The difference was attributable primarily to the relative change in value of the British pound sterling, Euro and Australian dollar compared to the U.S. dollar during the two periods.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right="180" w:firstLine="828"/>
        <w:spacing w:after="0" w:line="282" w:lineRule="auto"/>
        <w:rPr>
          <w:sz w:val="20"/>
          <w:szCs w:val="20"/>
          <w:color w:val="auto"/>
        </w:rPr>
      </w:pPr>
      <w:r>
        <w:rPr>
          <w:rFonts w:ascii="Times New Roman" w:cs="Times New Roman" w:eastAsia="Times New Roman" w:hAnsi="Times New Roman"/>
          <w:sz w:val="18"/>
          <w:szCs w:val="18"/>
          <w:color w:val="auto"/>
        </w:rPr>
        <w:t>During the fiscal year ended April 30, 2016, the Company received a refund of $0.2 million related to research and development expenditures in Australia. There were no such amounts during the fiscal year ended April 30, 2017.</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fiscal years ended April 30, 2017 and 2016, the Company sold New Jersey State net operating losses in the amount of $ 7.8 million and $19.7 million, respectively, resulting in the recognition of income tax benefits of $ 0.7 million and $1.7 million, respectively. The Company has a full valuation allowance against its deferred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the cash flows from customer revenues have not been sufficient to fund our operations and provide the capital resources for our business. For the two years ended April 30, 2017, our aggregate revenues were $1.5 million, our aggregate net losses were $22.6 million and our aggregate net cash used in operating activities was $21.0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flows used in operating activities during the fiscal year ended April 30, 2017 were $10.0 million, a decrease of $0.9 million, when compared to $10.9 million during the fiscal year ended April 30, 2016. The change was the result of a decrease in net loss of $3.6 million reduced by non cash items of $1.3 million and an increase in cash used by the net change in operating assets and liabilities of $1.4 million.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decrease in noncash operating items in fiscal year 2017 compared to fiscal year 2016 reflects a decrease in the change in fair value of warrant liabilities mostly offset by higher stock compensation expense.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operating assets and liabilities in fiscal year 2017 compared to fiscal year 2016 is due to a change in the litigation settlement of $1.0 million, increased unbilled receivables of $0.3 million and other net changes in operating assets and liabilities of $0.1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approximately $0.2 million for fiscal year 2017 versus net cash provided by investing activities approximately $ 0.1 million for fiscal 2016. The change was primarily the result of the Company increasing restricted cash by $0.2 million for the letter of credit required as a condition of the lease agreement the Company entered on March 31, 2017 for new warehouse/office space.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2" w:name="page53"/>
    <w:bookmarkEnd w:id="5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$11.9 million in fiscal year 2017, and net cash provided by financing activities was approximately $0.2 million for fiscal 2016. The net cash provided in fiscal 2017 was primarily from the sale of our common stock and related warrants, net of issuance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exchange rates on cash and cash equivalents was approximately $42,000 in fiscal year 2017, a decrease of $31,000 from fiscal 2016, respectively. The effect of exchange rates on cash and cash equivalents results primarily from gains or losses on consolidation of foreign subsidiaries and foreign denominated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Outlook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assuming we will continue as a going concern. We have experienced substantial and recurring losses from operations, which losses have caused an accumulated deficit of $187.4 million at April 30, 2017. We generated revenues of only $0.8 million in fiscal year 2017, and $0.7 million in fiscal year 2016. Based on the Company’s cash and cash equivalents and marketable securities balances as of April 30, 2017, and including the proceeds received from our May, 2017 financing transaction in which we received aggregate net proceeds to us of approximately $7.2 million, the Company believes that it will be able to finance its capital requirements and operations into the quarter ending July 31, 2018. These conditions raise substantial doubt about our ability to continue as a going concern.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 but not limited to:</w:t>
      </w:r>
    </w:p>
    <w:p>
      <w:pPr>
        <w:spacing w:after="0" w:line="176" w:lineRule="exact"/>
        <w:rPr>
          <w:sz w:val="20"/>
          <w:szCs w:val="20"/>
          <w:color w:val="auto"/>
        </w:rPr>
      </w:pPr>
    </w:p>
    <w:p>
      <w:pPr>
        <w:ind w:left="1280" w:hanging="327"/>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PowerBuoys, and achieve and sustain profitability;</w:t>
      </w:r>
    </w:p>
    <w:p>
      <w:pPr>
        <w:spacing w:after="0" w:line="225" w:lineRule="exact"/>
        <w:rPr>
          <w:rFonts w:ascii="Times New Roman" w:cs="Times New Roman" w:eastAsia="Times New Roman" w:hAnsi="Times New Roman"/>
          <w:sz w:val="18"/>
          <w:szCs w:val="18"/>
          <w:color w:val="auto"/>
        </w:rPr>
      </w:pPr>
    </w:p>
    <w:p>
      <w:pPr>
        <w:ind w:left="1280" w:hanging="327"/>
        <w:spacing w:after="0" w:line="282"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61" w:lineRule="exact"/>
        <w:rPr>
          <w:rFonts w:ascii="Times New Roman" w:cs="Times New Roman" w:eastAsia="Times New Roman" w:hAnsi="Times New Roman"/>
          <w:sz w:val="18"/>
          <w:szCs w:val="18"/>
          <w:color w:val="auto"/>
        </w:rPr>
      </w:pPr>
    </w:p>
    <w:p>
      <w:pPr>
        <w:ind w:left="1280" w:hanging="327"/>
        <w:spacing w:after="0" w:line="282"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a number of factors, including market conditions, and our operating performance;</w:t>
      </w:r>
    </w:p>
    <w:p>
      <w:pPr>
        <w:spacing w:after="0" w:line="161" w:lineRule="exact"/>
        <w:rPr>
          <w:rFonts w:ascii="Times New Roman" w:cs="Times New Roman" w:eastAsia="Times New Roman" w:hAnsi="Times New Roman"/>
          <w:sz w:val="18"/>
          <w:szCs w:val="18"/>
          <w:color w:val="auto"/>
        </w:rPr>
      </w:pPr>
    </w:p>
    <w:p>
      <w:pPr>
        <w:ind w:left="1280" w:hanging="327"/>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and capital requirements;</w:t>
      </w:r>
    </w:p>
    <w:p>
      <w:pPr>
        <w:spacing w:after="0" w:line="225" w:lineRule="exact"/>
        <w:rPr>
          <w:rFonts w:ascii="Times New Roman" w:cs="Times New Roman" w:eastAsia="Times New Roman" w:hAnsi="Times New Roman"/>
          <w:sz w:val="18"/>
          <w:szCs w:val="18"/>
          <w:color w:val="auto"/>
        </w:rPr>
      </w:pPr>
    </w:p>
    <w:p>
      <w:pPr>
        <w:ind w:left="1280" w:hanging="327"/>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balances and our need for additional financings;</w:t>
      </w:r>
    </w:p>
    <w:p>
      <w:pPr>
        <w:spacing w:after="0" w:line="225" w:lineRule="exact"/>
        <w:rPr>
          <w:rFonts w:ascii="Times New Roman" w:cs="Times New Roman" w:eastAsia="Times New Roman" w:hAnsi="Times New Roman"/>
          <w:sz w:val="18"/>
          <w:szCs w:val="18"/>
          <w:color w:val="auto"/>
        </w:rPr>
      </w:pPr>
    </w:p>
    <w:p>
      <w:pPr>
        <w:ind w:left="1280" w:hanging="327"/>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manufacture a commercially viable PowerBuoy product;</w:t>
      </w:r>
    </w:p>
    <w:p>
      <w:pPr>
        <w:spacing w:after="0" w:line="225" w:lineRule="exact"/>
        <w:rPr>
          <w:rFonts w:ascii="Times New Roman" w:cs="Times New Roman" w:eastAsia="Times New Roman" w:hAnsi="Times New Roman"/>
          <w:sz w:val="18"/>
          <w:szCs w:val="18"/>
          <w:color w:val="auto"/>
        </w:rPr>
      </w:pPr>
    </w:p>
    <w:p>
      <w:pPr>
        <w:ind w:left="1280" w:hanging="327"/>
        <w:spacing w:after="0" w:line="282"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be successful in our efforts to commercialize our PowerBuoy or the timetable upon which commercialization can be achieved, if at all;</w:t>
      </w:r>
    </w:p>
    <w:p>
      <w:pPr>
        <w:spacing w:after="0" w:line="161" w:lineRule="exact"/>
        <w:rPr>
          <w:rFonts w:ascii="Times New Roman" w:cs="Times New Roman" w:eastAsia="Times New Roman" w:hAnsi="Times New Roman"/>
          <w:sz w:val="18"/>
          <w:szCs w:val="18"/>
          <w:color w:val="auto"/>
        </w:rPr>
      </w:pPr>
    </w:p>
    <w:p>
      <w:pPr>
        <w:ind w:left="1280" w:hanging="327"/>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PowerBuoys and our wave energy technology;</w:t>
      </w:r>
    </w:p>
    <w:p>
      <w:pPr>
        <w:spacing w:after="0" w:line="225" w:lineRule="exact"/>
        <w:rPr>
          <w:rFonts w:ascii="Times New Roman" w:cs="Times New Roman" w:eastAsia="Times New Roman" w:hAnsi="Times New Roman"/>
          <w:sz w:val="18"/>
          <w:szCs w:val="18"/>
          <w:color w:val="auto"/>
        </w:rPr>
      </w:pPr>
    </w:p>
    <w:p>
      <w:pPr>
        <w:ind w:left="1280" w:hanging="327"/>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commercialization strategy as planned, or at all;</w:t>
      </w:r>
    </w:p>
    <w:p>
      <w:pPr>
        <w:spacing w:after="0" w:line="225" w:lineRule="exact"/>
        <w:rPr>
          <w:rFonts w:ascii="Times New Roman" w:cs="Times New Roman" w:eastAsia="Times New Roman" w:hAnsi="Times New Roman"/>
          <w:sz w:val="18"/>
          <w:szCs w:val="18"/>
          <w:color w:val="auto"/>
        </w:rPr>
      </w:pPr>
    </w:p>
    <w:p>
      <w:pPr>
        <w:ind w:left="1280" w:hanging="327"/>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Capital Market;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3" w:name="page54"/>
    <w:bookmarkEnd w:id="5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1280" w:hanging="327"/>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and our PowerBuoys;</w:t>
      </w:r>
    </w:p>
    <w:p>
      <w:pPr>
        <w:spacing w:after="0" w:line="225" w:lineRule="exact"/>
        <w:rPr>
          <w:rFonts w:ascii="Times New Roman" w:cs="Times New Roman" w:eastAsia="Times New Roman" w:hAnsi="Times New Roman"/>
          <w:sz w:val="18"/>
          <w:szCs w:val="18"/>
          <w:color w:val="auto"/>
        </w:rPr>
      </w:pPr>
    </w:p>
    <w:p>
      <w:pPr>
        <w:ind w:left="1280" w:hanging="327"/>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power output, survivability and reliability of our PowerBuoys;</w:t>
      </w:r>
    </w:p>
    <w:p>
      <w:pPr>
        <w:spacing w:after="0" w:line="225" w:lineRule="exact"/>
        <w:rPr>
          <w:rFonts w:ascii="Times New Roman" w:cs="Times New Roman" w:eastAsia="Times New Roman" w:hAnsi="Times New Roman"/>
          <w:sz w:val="18"/>
          <w:szCs w:val="18"/>
          <w:color w:val="auto"/>
        </w:rPr>
      </w:pPr>
    </w:p>
    <w:p>
      <w:pPr>
        <w:ind w:left="1280" w:hanging="327"/>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and threatened litigation on our business, financial condition and liquidity;</w:t>
      </w:r>
    </w:p>
    <w:p>
      <w:pPr>
        <w:spacing w:after="0" w:line="225" w:lineRule="exact"/>
        <w:rPr>
          <w:rFonts w:ascii="Times New Roman" w:cs="Times New Roman" w:eastAsia="Times New Roman" w:hAnsi="Times New Roman"/>
          <w:sz w:val="18"/>
          <w:szCs w:val="18"/>
          <w:color w:val="auto"/>
        </w:rPr>
      </w:pPr>
    </w:p>
    <w:p>
      <w:pPr>
        <w:ind w:left="1280" w:hanging="327"/>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renewable energy;</w:t>
      </w:r>
    </w:p>
    <w:p>
      <w:pPr>
        <w:spacing w:after="0" w:line="225" w:lineRule="exact"/>
        <w:rPr>
          <w:rFonts w:ascii="Times New Roman" w:cs="Times New Roman" w:eastAsia="Times New Roman" w:hAnsi="Times New Roman"/>
          <w:sz w:val="18"/>
          <w:szCs w:val="18"/>
          <w:color w:val="auto"/>
        </w:rPr>
      </w:pPr>
    </w:p>
    <w:p>
      <w:pPr>
        <w:ind w:left="1280" w:hanging="327"/>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our target markets;</w:t>
      </w:r>
    </w:p>
    <w:p>
      <w:pPr>
        <w:spacing w:after="0" w:line="225" w:lineRule="exact"/>
        <w:rPr>
          <w:rFonts w:ascii="Times New Roman" w:cs="Times New Roman" w:eastAsia="Times New Roman" w:hAnsi="Times New Roman"/>
          <w:sz w:val="18"/>
          <w:szCs w:val="18"/>
          <w:color w:val="auto"/>
        </w:rPr>
      </w:pPr>
    </w:p>
    <w:p>
      <w:pPr>
        <w:ind w:left="1280" w:hanging="327"/>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history of operating losses;</w:t>
      </w:r>
    </w:p>
    <w:p>
      <w:pPr>
        <w:spacing w:after="0" w:line="225" w:lineRule="exact"/>
        <w:rPr>
          <w:rFonts w:ascii="Times New Roman" w:cs="Times New Roman" w:eastAsia="Times New Roman" w:hAnsi="Times New Roman"/>
          <w:sz w:val="18"/>
          <w:szCs w:val="18"/>
          <w:color w:val="auto"/>
        </w:rPr>
      </w:pPr>
    </w:p>
    <w:p>
      <w:pPr>
        <w:ind w:left="1280" w:hanging="327"/>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capabilities and strategy in the United States and internationally; and</w:t>
      </w:r>
    </w:p>
    <w:p>
      <w:pPr>
        <w:spacing w:after="0" w:line="225" w:lineRule="exact"/>
        <w:rPr>
          <w:rFonts w:ascii="Times New Roman" w:cs="Times New Roman" w:eastAsia="Times New Roman" w:hAnsi="Times New Roman"/>
          <w:sz w:val="18"/>
          <w:szCs w:val="18"/>
          <w:color w:val="auto"/>
        </w:rPr>
      </w:pPr>
    </w:p>
    <w:p>
      <w:pPr>
        <w:ind w:left="1280" w:hanging="327"/>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225"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may choose to reduce our operating expenses through personnel reductions, and reductions in our research and development and other operating costs during the remainder of fiscal year 2017,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financing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(Topic 606).” </w:t>
      </w:r>
      <w:r>
        <w:rPr>
          <w:rFonts w:ascii="Times New Roman" w:cs="Times New Roman" w:eastAsia="Times New Roman" w:hAnsi="Times New Roman"/>
          <w:sz w:val="18"/>
          <w:szCs w:val="18"/>
          <w:color w:val="auto"/>
        </w:rPr>
        <w:t>ASU 2014-09 outlines a new, single comprehensive model for entities to use in accounting for revenue arising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Companies may use either a full retrospective or a modified retrospective approach to adopt ASU 2014-09. The Company has not yet completed its final review of the impact of this guidance however, the Company anticipates applying the modified retrospective method upon adoption of ASU 2014-09 on May 1, 2018. The impact to the Company could be affected by the nature and terms of potential future contracts with customers, as those contracts may have terms that differ from the company’s current contracts.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4" w:name="page55"/>
    <w:bookmarkEnd w:id="5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August 2014, the FASB issued ASU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xml:space="preserve">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adopted ASU 2014-15 for the fiscal year 2017. The Company’s addition of the standard did not have a material impact on disclosures. See Note (1) “Background, Basis of Presentation and Liquidity” for discussion on the Company’s ability to continue as a going concern.</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“Recognition and Measurement of Financial Assets and Financial Liabilities”</w:t>
      </w:r>
      <w:r>
        <w:rPr>
          <w:rFonts w:ascii="Times New Roman" w:cs="Times New Roman" w:eastAsia="Times New Roman" w:hAnsi="Times New Roman"/>
          <w:sz w:val="18"/>
          <w:szCs w:val="18"/>
          <w:color w:val="auto"/>
        </w:rPr>
        <w:t>, which makes limited amendments to the guidance in U.S. GAAP on the classification and measurement of financial instruments. The update significantly revises an entity's accounting related to the classification and measurement of investments in equity securities and the presentation of certain fair value changes for financial liabilities measured at fair value. It also amends certain disclosure requirements associated with the fair value of financial instruments. The update will take effect for public companies for fiscal years beginning after December 15, 2017, including interim periods within those fiscal years. The Company will evaluate the effect of ASU 2016-01 for future periods as applicable.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evaluating the effect ASU 2016-02 will have on its consolidated financial statements and disclosures and has not yet determined the effect of the standard on its ongoing financial reporting at this time.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The amendments of ASU No. 2016-09 were issued as part of the FASB's Simplification initiative focused on improving areas of GAAP for which cost and complexity may be reduced while maintaining or improving the usefulness of information disclosed within the financial statements. The amendments focused on simplification specifically with regard to share-based payment transactions, including income tax consequences, classification of awards as equity or liabilities and classification on the statement of cash flows. The guidance in ASU No. 2016-09 is effective for fiscal years beginning after December 15, 2016, and interim periods within those annual periods. Early adoption is permitted. The Company will evaluate the effect of ASU 2016-09 for future periods as applicable.</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 (Topic 230): Classification of Certain Cash Receipts and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w:t>
      </w:r>
      <w:r>
        <w:rPr>
          <w:rFonts w:ascii="Times New Roman" w:cs="Times New Roman" w:eastAsia="Times New Roman" w:hAnsi="Times New Roman"/>
          <w:sz w:val="18"/>
          <w:szCs w:val="18"/>
          <w:color w:val="auto"/>
        </w:rPr>
        <w:t>, providing additional guidance on eight specific cash flow classification issues. The goal of the ASU is to reduce diversity in practice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classifying certain items. The amendments in the ASU are effective for fiscal years beginning after December 15, 2017, and interim periods within those fiscal years and early adoption is permitted. The Company is evaluating the effect ASU 2016-13 will have on its consolidated financial statements and disclosures and has determined the standard will have no impact on its ongoing financial reporting at this time.</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providing additional guidance on specific restricted cash flow classification on the cash flow statement. Cash flow should include restricted cash in total cash, and an entity is required to provide a disclosure indicating the reconciliation of all cash accounts. The amendments in the ASU are effective for fiscal years beginning after December 15, 2017, and interim periods within those fiscal years and early adoption is permitted. The Company is evaluating the effect ASU 2016-18 will have on its consolidated financial statements and disclosures and believes the effect of the standard on its ongoing financial reporting will not have a material impact.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5" w:name="page56"/>
    <w:bookmarkEnd w:id="5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80" w:firstLine="513"/>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2017-03, </w:t>
      </w:r>
      <w:r>
        <w:rPr>
          <w:rFonts w:ascii="Times New Roman" w:cs="Times New Roman" w:eastAsia="Times New Roman" w:hAnsi="Times New Roman"/>
          <w:sz w:val="18"/>
          <w:szCs w:val="18"/>
          <w:i w:val="1"/>
          <w:iCs w:val="1"/>
          <w:color w:val="auto"/>
        </w:rPr>
        <w:t>“Accounting Changes and Error Corrections (Topic 250) and Investments- Equity Method and 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Ventures (Topic 323)”</w:t>
      </w:r>
      <w:r>
        <w:rPr>
          <w:rFonts w:ascii="Times New Roman" w:cs="Times New Roman" w:eastAsia="Times New Roman" w:hAnsi="Times New Roman"/>
          <w:sz w:val="18"/>
          <w:szCs w:val="18"/>
          <w:color w:val="auto"/>
        </w:rPr>
        <w:t>, providing guidance on how a company should evaluate ASUs that have not yet been adopted to determine the appropriate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disclosures about the potential material effects of those ASUs on the financial statements when adopted. The Company is currently evaluating the effect ASU 2017-03 will have on its consolidated financial statements and disclosures.</w:t>
      </w:r>
    </w:p>
    <w:p>
      <w:pPr>
        <w:spacing w:after="0" w:line="39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and supplementary data required by this item are listed in Item 15 — "Exhibits and Financial Statement Schedules" of this Annual Report.</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April 30, 2017, our Chief Executive Officer and Chief Financial Officer concluded that our disclosure controls and procedures were effective.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annual report of management on the Company’s internal control over financial reporting is provided under “Reports of Management” on page F-2, which is incorporated herein by reference as if fully set forth herein. As described therein, management concluded that the Company’s internal control over financial reporting was effective as of April 30, 2017.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ended April 30, 2017 that has materially affected, or is reasonably likely to materially affect, our internal control over financial reporting.</w:t>
      </w:r>
    </w:p>
    <w:p>
      <w:pPr>
        <w:spacing w:after="0" w:line="15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6" w:name="page57"/>
    <w:bookmarkEnd w:id="5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11, 12, 13, &amp; 14</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General Instruction G of Form 10-K, the information concerning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Accounting Fees and Services, is incorporated by reference to the information set forth in the definitive Proxy Statement of Ocean Power Technologies, Inc. relating to the Annual Meeting of Stockholders for the year ended April 30, 2017, to be filed pursuant to Regulation 14A under the Securities Exchange Act of 1934, as amended, with the Securities and Exchange Commission.</w:t>
      </w:r>
    </w:p>
    <w:p>
      <w:pPr>
        <w:spacing w:after="0" w:line="18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9" w:lineRule="exact"/>
        <w:rPr>
          <w:sz w:val="20"/>
          <w:szCs w:val="20"/>
          <w:color w:val="auto"/>
        </w:rPr>
      </w:pPr>
    </w:p>
    <w:p>
      <w:pPr>
        <w:ind w:left="640" w:hanging="24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 See Index to Consolidated Financial Statements on page F-1.</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Exhibit Index on pages 55 to 57.</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7" w:name="page58"/>
    <w:bookmarkEnd w:id="5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George H. Kirby III</w:t>
      </w:r>
    </w:p>
    <w:p>
      <w:pPr>
        <w:spacing w:after="0" w:line="27" w:lineRule="exact"/>
        <w:rPr>
          <w:sz w:val="20"/>
          <w:szCs w:val="20"/>
          <w:color w:val="auto"/>
        </w:rPr>
      </w:pPr>
    </w:p>
    <w:p>
      <w:pPr>
        <w:ind w:left="5920"/>
        <w:spacing w:after="0"/>
        <w:tabs>
          <w:tab w:leader="none" w:pos="6300" w:val="left"/>
        </w:tabs>
        <w:rPr>
          <w:sz w:val="20"/>
          <w:szCs w:val="20"/>
          <w:color w:val="auto"/>
        </w:rPr>
      </w:pPr>
      <w:r>
        <w:rPr>
          <w:rFonts w:ascii="Times New Roman" w:cs="Times New Roman" w:eastAsia="Times New Roman" w:hAnsi="Times New Roman"/>
          <w:sz w:val="18"/>
          <w:szCs w:val="18"/>
          <w:color w:val="auto"/>
        </w:rPr>
        <w:t>By:</w:t>
        <w:tab/>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2499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w:t>
            </w:r>
          </w:p>
        </w:tc>
        <w:tc>
          <w:tcPr>
            <w:tcW w:w="35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8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5"/>
              </w:rPr>
              <w:t>DATE</w:t>
            </w: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/s/George H. Kirby III</w:t>
            </w:r>
          </w:p>
        </w:tc>
        <w:tc>
          <w:tcPr>
            <w:tcW w:w="35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38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July 14, 2017</w:t>
            </w:r>
          </w:p>
        </w:tc>
        <w:tc>
          <w:tcPr>
            <w:tcW w:w="0" w:type="dxa"/>
            <w:vAlign w:val="bottom"/>
          </w:tcPr>
          <w:p>
            <w:pPr>
              <w:spacing w:after="0"/>
              <w:rPr>
                <w:sz w:val="1"/>
                <w:szCs w:val="1"/>
                <w:color w:val="auto"/>
              </w:rPr>
            </w:pPr>
          </w:p>
        </w:tc>
      </w:tr>
      <w:tr>
        <w:trPr>
          <w:trHeight w:val="226"/>
        </w:trPr>
        <w:tc>
          <w:tcPr>
            <w:tcW w:w="820" w:type="dxa"/>
            <w:vAlign w:val="bottom"/>
          </w:tcPr>
          <w:p>
            <w:pPr>
              <w:spacing w:after="0"/>
              <w:rPr>
                <w:sz w:val="19"/>
                <w:szCs w:val="19"/>
                <w:color w:val="auto"/>
              </w:rPr>
            </w:pPr>
          </w:p>
        </w:tc>
        <w:tc>
          <w:tcPr>
            <w:tcW w:w="3220" w:type="dxa"/>
            <w:vAlign w:val="bottom"/>
            <w:tcBorders>
              <w:bottom w:val="single" w:sz="8" w:color="auto"/>
            </w:tcBorders>
            <w:vMerge w:val="continue"/>
          </w:tcPr>
          <w:p>
            <w:pPr>
              <w:spacing w:after="0"/>
              <w:rPr>
                <w:sz w:val="19"/>
                <w:szCs w:val="19"/>
                <w:color w:val="auto"/>
              </w:rPr>
            </w:pPr>
          </w:p>
        </w:tc>
        <w:tc>
          <w:tcPr>
            <w:tcW w:w="35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Officer</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3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George H. Kirby III</w:t>
            </w:r>
          </w:p>
        </w:tc>
        <w:tc>
          <w:tcPr>
            <w:tcW w:w="3560" w:type="dxa"/>
            <w:vAlign w:val="bottom"/>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w w:val="99"/>
              </w:rPr>
              <w:t>(Principal Executive Officer)</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5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/s/Matthew T. Shafer</w:t>
            </w:r>
          </w:p>
        </w:tc>
        <w:tc>
          <w:tcPr>
            <w:tcW w:w="35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8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July 14, 2017</w:t>
            </w: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3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Matthew T. Shafer</w:t>
            </w:r>
          </w:p>
        </w:tc>
        <w:tc>
          <w:tcPr>
            <w:tcW w:w="3560" w:type="dxa"/>
            <w:vAlign w:val="bottom"/>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rPr>
              <w:t>and Treasurer</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5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(Principal Financial Officer and</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5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/s/Terence J. Cryan</w:t>
            </w:r>
          </w:p>
        </w:tc>
        <w:tc>
          <w:tcPr>
            <w:tcW w:w="35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38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July 14, 2017</w:t>
            </w:r>
          </w:p>
        </w:tc>
        <w:tc>
          <w:tcPr>
            <w:tcW w:w="0" w:type="dxa"/>
            <w:vAlign w:val="bottom"/>
          </w:tcPr>
          <w:p>
            <w:pPr>
              <w:spacing w:after="0"/>
              <w:rPr>
                <w:sz w:val="1"/>
                <w:szCs w:val="1"/>
                <w:color w:val="auto"/>
              </w:rPr>
            </w:pPr>
          </w:p>
        </w:tc>
      </w:tr>
      <w:tr>
        <w:trPr>
          <w:trHeight w:val="226"/>
        </w:trPr>
        <w:tc>
          <w:tcPr>
            <w:tcW w:w="820" w:type="dxa"/>
            <w:vAlign w:val="bottom"/>
          </w:tcPr>
          <w:p>
            <w:pPr>
              <w:spacing w:after="0"/>
              <w:rPr>
                <w:sz w:val="19"/>
                <w:szCs w:val="19"/>
                <w:color w:val="auto"/>
              </w:rPr>
            </w:pPr>
          </w:p>
        </w:tc>
        <w:tc>
          <w:tcPr>
            <w:tcW w:w="3220" w:type="dxa"/>
            <w:vAlign w:val="bottom"/>
            <w:tcBorders>
              <w:bottom w:val="single" w:sz="8" w:color="auto"/>
            </w:tcBorders>
            <w:vMerge w:val="continue"/>
          </w:tcPr>
          <w:p>
            <w:pPr>
              <w:spacing w:after="0"/>
              <w:rPr>
                <w:sz w:val="19"/>
                <w:szCs w:val="19"/>
                <w:color w:val="auto"/>
              </w:rPr>
            </w:pPr>
          </w:p>
        </w:tc>
        <w:tc>
          <w:tcPr>
            <w:tcW w:w="35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Terence J. Cryan</w:t>
            </w:r>
          </w:p>
        </w:tc>
        <w:tc>
          <w:tcPr>
            <w:tcW w:w="35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2"/>
        </w:trPr>
        <w:tc>
          <w:tcPr>
            <w:tcW w:w="820" w:type="dxa"/>
            <w:vAlign w:val="bottom"/>
          </w:tcPr>
          <w:p>
            <w:pPr>
              <w:spacing w:after="0"/>
              <w:rPr>
                <w:sz w:val="24"/>
                <w:szCs w:val="24"/>
                <w:color w:val="auto"/>
              </w:rPr>
            </w:pP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/s/Dean J. Glover</w:t>
            </w:r>
          </w:p>
        </w:tc>
        <w:tc>
          <w:tcPr>
            <w:tcW w:w="35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Vice-Chairman of the Board</w:t>
            </w:r>
          </w:p>
        </w:tc>
        <w:tc>
          <w:tcPr>
            <w:tcW w:w="38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July 14, 2017</w:t>
            </w:r>
          </w:p>
        </w:tc>
        <w:tc>
          <w:tcPr>
            <w:tcW w:w="0" w:type="dxa"/>
            <w:vAlign w:val="bottom"/>
          </w:tcPr>
          <w:p>
            <w:pPr>
              <w:spacing w:after="0"/>
              <w:rPr>
                <w:sz w:val="1"/>
                <w:szCs w:val="1"/>
                <w:color w:val="auto"/>
              </w:rPr>
            </w:pPr>
          </w:p>
        </w:tc>
      </w:tr>
      <w:tr>
        <w:trPr>
          <w:trHeight w:val="226"/>
        </w:trPr>
        <w:tc>
          <w:tcPr>
            <w:tcW w:w="820" w:type="dxa"/>
            <w:vAlign w:val="bottom"/>
          </w:tcPr>
          <w:p>
            <w:pPr>
              <w:spacing w:after="0"/>
              <w:rPr>
                <w:sz w:val="19"/>
                <w:szCs w:val="19"/>
                <w:color w:val="auto"/>
              </w:rPr>
            </w:pPr>
          </w:p>
        </w:tc>
        <w:tc>
          <w:tcPr>
            <w:tcW w:w="3220" w:type="dxa"/>
            <w:vAlign w:val="bottom"/>
            <w:tcBorders>
              <w:bottom w:val="single" w:sz="8" w:color="auto"/>
            </w:tcBorders>
            <w:vMerge w:val="continue"/>
          </w:tcPr>
          <w:p>
            <w:pPr>
              <w:spacing w:after="0"/>
              <w:rPr>
                <w:sz w:val="19"/>
                <w:szCs w:val="19"/>
                <w:color w:val="auto"/>
              </w:rPr>
            </w:pPr>
          </w:p>
        </w:tc>
        <w:tc>
          <w:tcPr>
            <w:tcW w:w="35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Dean J. Glover</w:t>
            </w:r>
          </w:p>
        </w:tc>
        <w:tc>
          <w:tcPr>
            <w:tcW w:w="35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82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/s/Robert J. Burger</w:t>
            </w:r>
          </w:p>
        </w:tc>
        <w:tc>
          <w:tcPr>
            <w:tcW w:w="35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c>
          <w:tcPr>
            <w:tcW w:w="38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July 14, 2017</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J. Burger</w:t>
            </w:r>
          </w:p>
        </w:tc>
        <w:tc>
          <w:tcPr>
            <w:tcW w:w="35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82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/s/Steven M. Fludder</w:t>
            </w:r>
          </w:p>
        </w:tc>
        <w:tc>
          <w:tcPr>
            <w:tcW w:w="35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c>
          <w:tcPr>
            <w:tcW w:w="38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July 14, 2017</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M. Fludder</w:t>
            </w:r>
          </w:p>
        </w:tc>
        <w:tc>
          <w:tcPr>
            <w:tcW w:w="35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/s/Robert K. Winters</w:t>
            </w:r>
          </w:p>
        </w:tc>
        <w:tc>
          <w:tcPr>
            <w:tcW w:w="35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c>
          <w:tcPr>
            <w:tcW w:w="38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July 14, 2017</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K. Winters</w:t>
            </w:r>
          </w:p>
        </w:tc>
        <w:tc>
          <w:tcPr>
            <w:tcW w:w="35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7"/>
        </w:trPr>
        <w:tc>
          <w:tcPr>
            <w:tcW w:w="8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56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54</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20" w:type="dxa"/>
            <w:vAlign w:val="bottom"/>
            <w:shd w:val="clear" w:color="auto" w:fill="808080"/>
          </w:tcPr>
          <w:p>
            <w:pPr>
              <w:spacing w:after="0"/>
              <w:rPr>
                <w:sz w:val="5"/>
                <w:szCs w:val="5"/>
                <w:color w:val="auto"/>
              </w:rPr>
            </w:pPr>
          </w:p>
        </w:tc>
        <w:tc>
          <w:tcPr>
            <w:tcW w:w="3220" w:type="dxa"/>
            <w:vAlign w:val="bottom"/>
            <w:shd w:val="clear" w:color="auto" w:fill="808080"/>
          </w:tcPr>
          <w:p>
            <w:pPr>
              <w:spacing w:after="0"/>
              <w:rPr>
                <w:sz w:val="5"/>
                <w:szCs w:val="5"/>
                <w:color w:val="auto"/>
              </w:rPr>
            </w:pPr>
          </w:p>
        </w:tc>
        <w:tc>
          <w:tcPr>
            <w:tcW w:w="3560" w:type="dxa"/>
            <w:vAlign w:val="bottom"/>
            <w:shd w:val="clear" w:color="auto" w:fill="808080"/>
          </w:tcPr>
          <w:p>
            <w:pPr>
              <w:spacing w:after="0"/>
              <w:rPr>
                <w:sz w:val="5"/>
                <w:szCs w:val="5"/>
                <w:color w:val="auto"/>
              </w:rPr>
            </w:pPr>
          </w:p>
        </w:tc>
        <w:tc>
          <w:tcPr>
            <w:tcW w:w="3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2" w:right="199" w:bottom="1440" w:gutter="0" w:footer="0" w:header="0"/>
        </w:sectPr>
      </w:pPr>
    </w:p>
    <w:bookmarkStart w:id="58" w:name="page59"/>
    <w:bookmarkEnd w:id="5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1062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Exhibits Index</w:t>
            </w:r>
          </w:p>
        </w:tc>
        <w:tc>
          <w:tcPr>
            <w:tcW w:w="0" w:type="dxa"/>
            <w:vAlign w:val="bottom"/>
          </w:tcPr>
          <w:p>
            <w:pPr>
              <w:spacing w:after="0"/>
              <w:rPr>
                <w:sz w:val="1"/>
                <w:szCs w:val="1"/>
                <w:color w:val="auto"/>
              </w:rPr>
            </w:pPr>
          </w:p>
        </w:tc>
      </w:tr>
      <w:tr>
        <w:trPr>
          <w:trHeight w:val="437"/>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62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4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Restated Certificate of Incorporation of the registrant (incorporated by reference from Exhibit 3.1 to our Quarterly Report on</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10-Q filed September 14, 2007).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of Ocean Power Technologies, Inc. dated October 27, 2015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(incorporated by reference from Exhibit 3.1 to Current Report on Form 8-K filed on October 28, 2015).</w:t>
            </w:r>
          </w:p>
        </w:tc>
        <w:tc>
          <w:tcPr>
            <w:tcW w:w="0" w:type="dxa"/>
            <w:vAlign w:val="bottom"/>
          </w:tcPr>
          <w:p>
            <w:pPr>
              <w:spacing w:after="0"/>
              <w:rPr>
                <w:sz w:val="1"/>
                <w:szCs w:val="1"/>
                <w:color w:val="auto"/>
              </w:rPr>
            </w:pPr>
          </w:p>
        </w:tc>
      </w:tr>
      <w:tr>
        <w:trPr>
          <w:trHeight w:val="216"/>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3.3</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Amended and Restated Bylaws of the registrant (incorporated by reference from Exhibit 3.2 to the Current Report on</w:t>
            </w:r>
          </w:p>
        </w:tc>
        <w:tc>
          <w:tcPr>
            <w:tcW w:w="0" w:type="dxa"/>
            <w:vAlign w:val="bottom"/>
          </w:tcPr>
          <w:p>
            <w:pPr>
              <w:spacing w:after="0"/>
              <w:rPr>
                <w:sz w:val="1"/>
                <w:szCs w:val="1"/>
                <w:color w:val="auto"/>
              </w:rPr>
            </w:pPr>
          </w:p>
        </w:tc>
      </w:tr>
      <w:tr>
        <w:trPr>
          <w:trHeight w:val="126"/>
        </w:trPr>
        <w:tc>
          <w:tcPr>
            <w:tcW w:w="840" w:type="dxa"/>
            <w:vAlign w:val="bottom"/>
            <w:vMerge w:val="continue"/>
          </w:tcPr>
          <w:p>
            <w:pPr>
              <w:spacing w:after="0"/>
              <w:rPr>
                <w:sz w:val="10"/>
                <w:szCs w:val="10"/>
                <w:color w:val="auto"/>
              </w:rPr>
            </w:pPr>
          </w:p>
        </w:tc>
        <w:tc>
          <w:tcPr>
            <w:tcW w:w="106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Form 8-K filed June 23, 2016).</w:t>
            </w:r>
          </w:p>
        </w:tc>
        <w:tc>
          <w:tcPr>
            <w:tcW w:w="0" w:type="dxa"/>
            <w:vAlign w:val="bottom"/>
          </w:tcPr>
          <w:p>
            <w:pPr>
              <w:spacing w:after="0"/>
              <w:rPr>
                <w:sz w:val="1"/>
                <w:szCs w:val="1"/>
                <w:color w:val="auto"/>
              </w:rPr>
            </w:pPr>
          </w:p>
        </w:tc>
      </w:tr>
      <w:tr>
        <w:trPr>
          <w:trHeight w:val="90"/>
        </w:trPr>
        <w:tc>
          <w:tcPr>
            <w:tcW w:w="840" w:type="dxa"/>
            <w:vAlign w:val="bottom"/>
          </w:tcPr>
          <w:p>
            <w:pPr>
              <w:spacing w:after="0"/>
              <w:rPr>
                <w:sz w:val="7"/>
                <w:szCs w:val="7"/>
                <w:color w:val="auto"/>
              </w:rPr>
            </w:pPr>
          </w:p>
        </w:tc>
        <w:tc>
          <w:tcPr>
            <w:tcW w:w="10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 of Amendment to Certificate of Incorporation of the Company, filed with the Secretary of State of the State of</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Delaware on October 21, 2016 (incorporated by reference to Exhibit 3.1 to the Company’s Current Report on Form 8-K filed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 October 21, 2016).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Specimen certificate of Common Stock (incorporated by reference from Exhibit 4.1 to Form S-1/A filed March 19, 2007).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Warrant to Purchase Common Stock (incorporated by reference from Exhibit 4.1 to Current Report on Form 8-K/A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on June 7, 2016).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 Agreement for Purchase of Emissions Credits, dated November 24, 2000 between Ocean Power Technologies, Inc.</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its affiliates and Woodside Sustainable Energy Solutions Pty. Ltd. (incorporated by reference from Exhibit 10.4 to</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S-1 filed November 13, 2006).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2001 Stock Plan (incorporated by reference from Exhibit 10.7 to Form S-1 filed November 13, 2006).*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Amended and Restated 2006 Stock Incentive Plan (incorporated by reference from Exhibit A to Proxy Statement filed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28, 2013).*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Agreement, dated August 30, 2005 between Ocean Power Technologies, Inc. and Reed Road Industrial Park LLC #1,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amended on January 27, 2006 (incorporated by reference from Exhibit 10.16 to Form S-1 filed November 13, 2006).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 for Renewable Energy Economic Development Grants, dated November 3, 2003, between State of New Jersey</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Board of Public Utilities and Ocean Power Technologies, Inc. (incorporated by reference from Exhibit 10.18 to Form S-1/A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March 19, 2007).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Restricted Stock Agreement (incorporated by reference from Exhibit 10.1 to Form 10-Q filed March 14, 2011).*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Amended Option Agreement for Purchase of Emissions Credits, dated December 4, 2012, between Ocean Power</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Technologies, Inc. and its affiliates and Metasource Pty Ltd (formerly known as Woodside Sustainable Energy Solutions Pty</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Ltd) (incorporated by reference from Exhibit 10.23 to Form 10-K filed July 12, 2013).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Addendum to Lease Agreement, dated June 1, 2008, between Ocean Power Technologies, Inc. and Reed Road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Industrial Park LLC #1 (incorporated by reference from Exhibit 10.24 to Form 10-K filed July 12, 2013).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Addendum to Lease Agreement, dated March 11, 2013, between Ocean Power Technologies, Inc. and Reed Road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Industrial Park LLC #1 (incorporated by reference from Exhibit 10.25 to Form 10-K filed July 12, 2013).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Employment Agreement, dated December 2, 2013, between Mark A. Featherstone and Ocean Power Technologies, Inc.</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(incorporated by reference from Exhibit 10.1 to Form 10-Q filed March 14, 2014).*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Employment Agreement, dated December 30, 2013, between David R. Heinz and Ocean Power Technologies, Inc.</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(incorporated by reference from Exhibit 10.37 to Form 10-K filed July 29, 2014).*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Employment Agreement, dated June 9, 2014, between David L. Keller and Ocean Power Technologies, Inc. (incorporated by</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reference from Exhibit 10.38 to Form 10-K filed July 29, 2014).*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Employment Agreement, dated December 29, 2014, between George H. Kirby and Ocean Power Technologies, Inc.</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(incorporated by reference from Exhibit 10.1 to Form 10-Q filed March 11, 2015).*</w:t>
            </w:r>
          </w:p>
        </w:tc>
        <w:tc>
          <w:tcPr>
            <w:tcW w:w="0" w:type="dxa"/>
            <w:vAlign w:val="bottom"/>
          </w:tcPr>
          <w:p>
            <w:pPr>
              <w:spacing w:after="0"/>
              <w:rPr>
                <w:sz w:val="1"/>
                <w:szCs w:val="1"/>
                <w:color w:val="auto"/>
              </w:rPr>
            </w:pPr>
          </w:p>
        </w:tc>
      </w:tr>
      <w:tr>
        <w:trPr>
          <w:trHeight w:val="729"/>
        </w:trPr>
        <w:tc>
          <w:tcPr>
            <w:tcW w:w="840" w:type="dxa"/>
            <w:vAlign w:val="bottom"/>
          </w:tcPr>
          <w:p>
            <w:pPr>
              <w:spacing w:after="0"/>
              <w:rPr>
                <w:sz w:val="24"/>
                <w:szCs w:val="24"/>
                <w:color w:val="auto"/>
              </w:rPr>
            </w:pPr>
          </w:p>
        </w:tc>
        <w:tc>
          <w:tcPr>
            <w:tcW w:w="10620" w:type="dxa"/>
            <w:vAlign w:val="bottom"/>
          </w:tcPr>
          <w:p>
            <w:pPr>
              <w:ind w:left="478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05"/>
        </w:trPr>
        <w:tc>
          <w:tcPr>
            <w:tcW w:w="840" w:type="dxa"/>
            <w:vAlign w:val="bottom"/>
          </w:tcPr>
          <w:p>
            <w:pPr>
              <w:spacing w:after="0"/>
              <w:rPr>
                <w:sz w:val="9"/>
                <w:szCs w:val="9"/>
                <w:color w:val="auto"/>
              </w:rPr>
            </w:pPr>
          </w:p>
        </w:tc>
        <w:tc>
          <w:tcPr>
            <w:tcW w:w="10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0" w:type="dxa"/>
            <w:vAlign w:val="bottom"/>
            <w:shd w:val="clear" w:color="auto" w:fill="808080"/>
          </w:tcPr>
          <w:p>
            <w:pPr>
              <w:spacing w:after="0"/>
              <w:rPr>
                <w:sz w:val="5"/>
                <w:szCs w:val="5"/>
                <w:color w:val="auto"/>
              </w:rPr>
            </w:pPr>
          </w:p>
        </w:tc>
        <w:tc>
          <w:tcPr>
            <w:tcW w:w="10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2" w:right="199" w:bottom="1440" w:gutter="0" w:footer="0" w:header="0"/>
        </w:sectPr>
      </w:pPr>
    </w:p>
    <w:bookmarkStart w:id="59" w:name="page60"/>
    <w:bookmarkEnd w:id="5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10 .14</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Fourth Addendum to Lease Agreement, dated January 13, 2015, between Ocean Power Technologies, Inc. and Reed Road</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Industrial Part LLC #1 (incorporated by reference to Exhibit 10.28 to Annual Report on Form 10-K filed July 6, 2015).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10 .15</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 the Market Offering Agreement, dated October 19, 2015, between Ocean Power Technologies, Inc. and Rodman &amp;</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Renshaw, a unit of H.C. Wainwright &amp; Co, LLC (incorporated by reference to Exhibit 10.1 to Current Report on Form 8-K</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filed on October 20, 2015).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10 .16</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Placement Agency Agreement dated June 2, 2016, by and among Ocean Power Technologies, Inc., Roth Capital Partners,</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LLC and Rodman &amp; Renshaw, a unit of H.C. Wainwright &amp; Co., LLC (incorporated by reference to Exhibit 99.2 to Current</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Report on Form 8-K filed on June 2, 2016).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10 .17</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Securities Purchase Agreement dated June 2, 2016 (incorporated by reference to Exhibit 99.3 to Current Report on</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8-K filed on June 2, 2016).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10 .18</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Amendment No. 1 to Securities Purchase Agreement, dated June 7, 2016 (incorporated by reference to Exhibit 99.4</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the Current Report on Form 8-K/A filed on June 7, 2016).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10 .19</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2015 Omnibus Incentive Plan* (incorporated by reference to Annex A to Proxy Statement filed on September 3, 2015).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10 .20</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Letter agreement with David R. Heinz dated December 18, 2015 (incorporated by reference to Exhibit 10.1 to Current Report</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Form 8-K filed on December 24, 2015).*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10 .21</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Stipulation and Agreement of Class Settlement dated as of May 5, 2016 (incorporated by reference to Exhibit 10.1 to Current</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Report on Form 8-K filed on May 11, 2016).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Agreement by and between Ocean Power Technologies, Inc. and Mitsui Engineering &amp; Shipbuilding Co., Ltd dated May 31,</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2016 (incorporated by reference from Exhibit 10.1 to Current Report on Form 8-K/A filed on June 6, 2016).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Amendment No. 1 to the Securities Purchase Agreement, dated June 7, 2016 (incorporated by reference to Exhibit</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99.4 to the Current Report on Form 8-K filed on June 7, 2016).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Amendment No. 2, dated as of July 21, 2016, to the Securities Purchase Agreement, dated as of June 2, 2016, by and</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among Ocean Power Technologies, Inc. and the investor’s signatory thereto, and (incorporated by reference from Exhibit</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99.2 to the Current Report on Form 8-K filed July 21, 2016).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Placement Agency Agreement, dated July 22, 2016, between the Company and the Placement Agent (incorporated</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 reference from Exhibit 1.1 to the Current Report on Form 8-K filed July 22, 2016).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Subscription Agreement, dated July 22, 2016 between the Company and the Purchasers thereto (incorporated by</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 from Exhibit 10.1 to the Current Report on Form 8-K filed July 22, 2016).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Employment Letter between the Company and Matthew Shafer dated August 23, 2016, (incorporated by reference from</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 10.1 to the Current Report on Form 8-K filed August 29, 2016).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Letter Agreement between the Company and Mark A. Featherstone dated August 25, 2016, (incorporated by reference from</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 10.3 to the Current Report on Form 8-K filed August 29, 2016).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Employment Letter between the Company and Mike Mekhiche dated September 12, 2016, (incorporated by reference from</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Exhibit 10.4 to the Current Report on Form 8-K filed August 29, 2016).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Letter Agreement between the Company and Mike Mekhiche dated June 19, 2014, (incorporated by reference from Exhibit</w:t>
            </w:r>
          </w:p>
        </w:tc>
      </w:tr>
      <w:tr>
        <w:trPr>
          <w:trHeight w:val="216"/>
        </w:trPr>
        <w:tc>
          <w:tcPr>
            <w:tcW w:w="740" w:type="dxa"/>
            <w:vAlign w:val="bottom"/>
          </w:tcPr>
          <w:p>
            <w:pPr>
              <w:spacing w:after="0"/>
              <w:rPr>
                <w:sz w:val="18"/>
                <w:szCs w:val="18"/>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10.5 to the Current Report on Form 8-K filed August 29, 2016).</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Agreement by and between the Company and the U.S. Office of Naval Research dated September 13, 2016 (incorporated by</w:t>
            </w:r>
          </w:p>
        </w:tc>
      </w:tr>
      <w:tr>
        <w:trPr>
          <w:trHeight w:val="234"/>
        </w:trPr>
        <w:tc>
          <w:tcPr>
            <w:tcW w:w="74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on September 14, 2016).</w:t>
            </w:r>
          </w:p>
        </w:tc>
      </w:tr>
      <w:tr>
        <w:trPr>
          <w:trHeight w:val="729"/>
        </w:trPr>
        <w:tc>
          <w:tcPr>
            <w:tcW w:w="740" w:type="dxa"/>
            <w:vAlign w:val="bottom"/>
          </w:tcPr>
          <w:p>
            <w:pPr>
              <w:spacing w:after="0"/>
              <w:rPr>
                <w:sz w:val="24"/>
                <w:szCs w:val="24"/>
                <w:color w:val="auto"/>
              </w:rPr>
            </w:pPr>
          </w:p>
        </w:tc>
        <w:tc>
          <w:tcPr>
            <w:tcW w:w="1072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56</w:t>
            </w:r>
          </w:p>
        </w:tc>
      </w:tr>
      <w:tr>
        <w:trPr>
          <w:trHeight w:val="105"/>
        </w:trPr>
        <w:tc>
          <w:tcPr>
            <w:tcW w:w="740" w:type="dxa"/>
            <w:vAlign w:val="bottom"/>
          </w:tcPr>
          <w:p>
            <w:pPr>
              <w:spacing w:after="0"/>
              <w:rPr>
                <w:sz w:val="9"/>
                <w:szCs w:val="9"/>
                <w:color w:val="auto"/>
              </w:rPr>
            </w:pPr>
          </w:p>
        </w:tc>
        <w:tc>
          <w:tcPr>
            <w:tcW w:w="10720" w:type="dxa"/>
            <w:vAlign w:val="bottom"/>
          </w:tcPr>
          <w:p>
            <w:pPr>
              <w:spacing w:after="0"/>
              <w:rPr>
                <w:sz w:val="9"/>
                <w:szCs w:val="9"/>
                <w:color w:val="auto"/>
              </w:rPr>
            </w:pPr>
          </w:p>
        </w:tc>
      </w:tr>
      <w:tr>
        <w:trPr>
          <w:trHeight w:val="61"/>
        </w:trPr>
        <w:tc>
          <w:tcPr>
            <w:tcW w:w="740" w:type="dxa"/>
            <w:vAlign w:val="bottom"/>
            <w:shd w:val="clear" w:color="auto" w:fill="808080"/>
          </w:tcPr>
          <w:p>
            <w:pPr>
              <w:spacing w:after="0"/>
              <w:rPr>
                <w:sz w:val="5"/>
                <w:szCs w:val="5"/>
                <w:color w:val="auto"/>
              </w:rPr>
            </w:pPr>
          </w:p>
        </w:tc>
        <w:tc>
          <w:tcPr>
            <w:tcW w:w="107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2" w:right="199" w:bottom="1440" w:gutter="0" w:footer="0" w:header="0"/>
        </w:sectPr>
      </w:pPr>
    </w:p>
    <w:bookmarkStart w:id="60" w:name="page61"/>
    <w:bookmarkEnd w:id="6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Agreement by and between the Company and the U.S. Office of Naval Research dated September 13, 2016 (incorporated by</w:t>
            </w:r>
          </w:p>
        </w:tc>
      </w:tr>
      <w:tr>
        <w:trPr>
          <w:trHeight w:val="216"/>
        </w:trPr>
        <w:tc>
          <w:tcPr>
            <w:tcW w:w="720" w:type="dxa"/>
            <w:vAlign w:val="bottom"/>
          </w:tcPr>
          <w:p>
            <w:pPr>
              <w:spacing w:after="0"/>
              <w:rPr>
                <w:sz w:val="18"/>
                <w:szCs w:val="18"/>
                <w:color w:val="auto"/>
              </w:rPr>
            </w:pP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on September 14, 2016).</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 Agreement, dated March 31, 2017 between Ocean Power Technologies, Inc. and PPH Industrial 28 Engelhard,</w:t>
            </w:r>
          </w:p>
        </w:tc>
      </w:tr>
      <w:tr>
        <w:trPr>
          <w:trHeight w:val="216"/>
        </w:trPr>
        <w:tc>
          <w:tcPr>
            <w:tcW w:w="720" w:type="dxa"/>
            <w:vAlign w:val="bottom"/>
          </w:tcPr>
          <w:p>
            <w:pPr>
              <w:spacing w:after="0"/>
              <w:rPr>
                <w:sz w:val="18"/>
                <w:szCs w:val="18"/>
                <w:color w:val="auto"/>
              </w:rPr>
            </w:pP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LLC (incorporated by reference from Exhibit 99.2 to the Current Report on Form 8-K filed April 6, 2017).</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of Chief Executive Officer</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of Chief Financial Officer</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Sarbanes-Oxley Act of 2002**</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Sarbanes-Oxley Act of 2002**</w:t>
            </w:r>
          </w:p>
        </w:tc>
      </w:tr>
    </w:tbl>
    <w:p>
      <w:pPr>
        <w:spacing w:after="0" w:line="198" w:lineRule="exact"/>
        <w:rPr>
          <w:sz w:val="20"/>
          <w:szCs w:val="20"/>
          <w:color w:val="auto"/>
        </w:rPr>
      </w:pPr>
    </w:p>
    <w:p>
      <w:pPr>
        <w:jc w:val="both"/>
        <w:ind w:left="1040" w:right="120" w:hanging="1032"/>
        <w:spacing w:after="0" w:line="256"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Ocean Power Technologies, Inc.’s Annual Report on Form 10-K for the annual period ended April 30, 2017, formatted in eXtensible Business Reporting Language (XBRL): (i) Consolidated Balance Sheets – as of April 30, 2017 and 2016, (ii) Consolidated Statements of Operations – for the years ended April 30, 2017 and 2016, (iii) Consolidated Statements of Comprehensive Loss – for the years ended April 30, 2017 and 2016, (iv) Consolidated Statements of Stockholders’ Equity – for the years ended April 30, 2017 and 2016 (v) Consolidated Statements of Cash Flows – for the years ended April 30, 2017 and 2016, (vi) Notes to Consolidated Financial Statements.***</w:t>
      </w:r>
    </w:p>
    <w:p>
      <w:pPr>
        <w:spacing w:after="0" w:line="187" w:lineRule="exact"/>
        <w:rPr>
          <w:rFonts w:ascii="Times New Roman" w:cs="Times New Roman" w:eastAsia="Times New Roman" w:hAnsi="Times New Roman"/>
          <w:sz w:val="18"/>
          <w:szCs w:val="18"/>
          <w:color w:val="auto"/>
        </w:rPr>
      </w:pPr>
    </w:p>
    <w:p>
      <w:pPr>
        <w:ind w:left="700" w:right="4400" w:hanging="17"/>
        <w:spacing w:after="0" w:line="282" w:lineRule="auto"/>
        <w:tabs>
          <w:tab w:leader="none" w:pos="82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confidential treatment has been requested for this exhibit. * Management contract or compensatory plan or arrangement.</w:t>
      </w:r>
    </w:p>
    <w:p>
      <w:pPr>
        <w:spacing w:after="0" w:line="215" w:lineRule="exact"/>
        <w:rPr>
          <w:rFonts w:ascii="Times New Roman" w:cs="Times New Roman" w:eastAsia="Times New Roman" w:hAnsi="Times New Roman"/>
          <w:sz w:val="18"/>
          <w:szCs w:val="18"/>
          <w:color w:val="auto"/>
        </w:rPr>
      </w:pPr>
    </w:p>
    <w:p>
      <w:pPr>
        <w:jc w:val="both"/>
        <w:ind w:left="760" w:firstLine="4"/>
        <w:spacing w:after="0" w:line="257" w:lineRule="auto"/>
        <w:tabs>
          <w:tab w:leader="none" w:pos="1008"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 w:lineRule="exact"/>
        <w:rPr>
          <w:rFonts w:ascii="Times New Roman" w:cs="Times New Roman" w:eastAsia="Times New Roman" w:hAnsi="Times New Roman"/>
          <w:sz w:val="18"/>
          <w:szCs w:val="18"/>
          <w:color w:val="auto"/>
        </w:rPr>
      </w:pPr>
    </w:p>
    <w:p>
      <w:pPr>
        <w:jc w:val="both"/>
        <w:ind w:left="680" w:firstLine="3"/>
        <w:spacing w:after="0" w:line="255" w:lineRule="auto"/>
        <w:tabs>
          <w:tab w:leader="none" w:pos="1017"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380"/>
          </w:cols>
          <w:pgMar w:left="240" w:top="112" w:right="1279" w:bottom="1440" w:gutter="0" w:footer="0" w:header="0"/>
        </w:sectPr>
      </w:pPr>
    </w:p>
    <w:bookmarkStart w:id="61" w:name="page62"/>
    <w:bookmarkEnd w:id="6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780" w:type="dxa"/>
            <w:vAlign w:val="bottom"/>
            <w:gridSpan w:val="7"/>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OCEAN POWER TECHNOLOGIES, INC. AND SUBSIDIARIES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80" w:type="dxa"/>
            <w:vAlign w:val="bottom"/>
            <w:gridSpan w:val="6"/>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100" w:type="dxa"/>
            <w:vAlign w:val="bottom"/>
          </w:tcPr>
          <w:p>
            <w:pPr>
              <w:spacing w:after="0"/>
              <w:rPr>
                <w:sz w:val="24"/>
                <w:szCs w:val="24"/>
                <w:color w:val="auto"/>
              </w:rPr>
            </w:pPr>
          </w:p>
        </w:tc>
      </w:tr>
      <w:tr>
        <w:trPr>
          <w:trHeight w:val="385"/>
        </w:trPr>
        <w:tc>
          <w:tcPr>
            <w:tcW w:w="9940" w:type="dxa"/>
            <w:vAlign w:val="bottom"/>
            <w:gridSpan w:val="9"/>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Reports of Management</w:t>
              </w:r>
            </w:hyperlink>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F-2</w:t>
            </w:r>
          </w:p>
        </w:tc>
        <w:tc>
          <w:tcPr>
            <w:tcW w:w="100" w:type="dxa"/>
            <w:vAlign w:val="bottom"/>
          </w:tcPr>
          <w:p>
            <w:pPr>
              <w:spacing w:after="0"/>
              <w:rPr>
                <w:sz w:val="24"/>
                <w:szCs w:val="24"/>
                <w:color w:val="auto"/>
              </w:rPr>
            </w:pPr>
          </w:p>
        </w:tc>
      </w:tr>
      <w:tr>
        <w:trPr>
          <w:trHeight w:val="20"/>
        </w:trPr>
        <w:tc>
          <w:tcPr>
            <w:tcW w:w="17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Reports of Independent Registered Public Accounting Firm</w:t>
              </w:r>
            </w:hyperlink>
          </w:p>
        </w:tc>
        <w:tc>
          <w:tcPr>
            <w:tcW w:w="5640" w:type="dxa"/>
            <w:vAlign w:val="bottom"/>
            <w:gridSpan w:val="5"/>
          </w:tcPr>
          <w:p>
            <w:pPr>
              <w:spacing w:after="0"/>
              <w:rPr>
                <w:sz w:val="17"/>
                <w:szCs w:val="17"/>
                <w:color w:val="auto"/>
              </w:rPr>
            </w:pPr>
          </w:p>
        </w:tc>
        <w:tc>
          <w:tcPr>
            <w:tcW w:w="142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100" w:type="dxa"/>
            <w:vAlign w:val="bottom"/>
          </w:tcPr>
          <w:p>
            <w:pPr>
              <w:spacing w:after="0"/>
              <w:rPr>
                <w:sz w:val="17"/>
                <w:szCs w:val="17"/>
                <w:color w:val="auto"/>
              </w:rPr>
            </w:pPr>
          </w:p>
        </w:tc>
      </w:tr>
      <w:tr>
        <w:trPr>
          <w:trHeight w:val="196"/>
        </w:trPr>
        <w:tc>
          <w:tcPr>
            <w:tcW w:w="3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Consolidated Balance Sheets, April 30, 2017 and 2016</w:t>
              </w:r>
            </w:hyperlink>
          </w:p>
        </w:tc>
        <w:tc>
          <w:tcPr>
            <w:tcW w:w="5980" w:type="dxa"/>
            <w:vAlign w:val="bottom"/>
            <w:gridSpan w:val="6"/>
          </w:tcPr>
          <w:p>
            <w:pPr>
              <w:spacing w:after="0"/>
              <w:rPr>
                <w:sz w:val="17"/>
                <w:szCs w:val="17"/>
                <w:color w:val="auto"/>
              </w:rPr>
            </w:pPr>
          </w:p>
        </w:tc>
        <w:tc>
          <w:tcPr>
            <w:tcW w:w="142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100" w:type="dxa"/>
            <w:vAlign w:val="bottom"/>
          </w:tcPr>
          <w:p>
            <w:pPr>
              <w:spacing w:after="0"/>
              <w:rPr>
                <w:sz w:val="17"/>
                <w:szCs w:val="17"/>
                <w:color w:val="auto"/>
              </w:rPr>
            </w:pPr>
          </w:p>
        </w:tc>
      </w:tr>
      <w:tr>
        <w:trPr>
          <w:trHeight w:val="196"/>
        </w:trPr>
        <w:tc>
          <w:tcPr>
            <w:tcW w:w="5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Consolidated Statements of Operations, Years ended April 30, 2017 and 2016</w:t>
              </w:r>
            </w:hyperlink>
          </w:p>
        </w:tc>
        <w:tc>
          <w:tcPr>
            <w:tcW w:w="4340" w:type="dxa"/>
            <w:vAlign w:val="bottom"/>
            <w:gridSpan w:val="4"/>
          </w:tcPr>
          <w:p>
            <w:pPr>
              <w:spacing w:after="0"/>
              <w:rPr>
                <w:sz w:val="17"/>
                <w:szCs w:val="17"/>
                <w:color w:val="auto"/>
              </w:rPr>
            </w:pPr>
          </w:p>
        </w:tc>
        <w:tc>
          <w:tcPr>
            <w:tcW w:w="142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100" w:type="dxa"/>
            <w:vAlign w:val="bottom"/>
          </w:tcPr>
          <w:p>
            <w:pPr>
              <w:spacing w:after="0"/>
              <w:rPr>
                <w:sz w:val="17"/>
                <w:szCs w:val="17"/>
                <w:color w:val="auto"/>
              </w:rPr>
            </w:pPr>
          </w:p>
        </w:tc>
      </w:tr>
      <w:tr>
        <w:trPr>
          <w:trHeight w:val="196"/>
        </w:trPr>
        <w:tc>
          <w:tcPr>
            <w:tcW w:w="9940" w:type="dxa"/>
            <w:vAlign w:val="bottom"/>
            <w:gridSpan w:val="9"/>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Statements of Comprehensive Loss, Years ended April 30, 2017 and 2016</w:t>
              </w:r>
            </w:hyperlink>
          </w:p>
        </w:tc>
        <w:tc>
          <w:tcPr>
            <w:tcW w:w="142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100" w:type="dxa"/>
            <w:vAlign w:val="bottom"/>
          </w:tcPr>
          <w:p>
            <w:pPr>
              <w:spacing w:after="0"/>
              <w:rPr>
                <w:sz w:val="17"/>
                <w:szCs w:val="17"/>
                <w:color w:val="auto"/>
              </w:rPr>
            </w:pPr>
          </w:p>
        </w:tc>
      </w:tr>
      <w:tr>
        <w:trPr>
          <w:trHeight w:val="196"/>
        </w:trPr>
        <w:tc>
          <w:tcPr>
            <w:tcW w:w="63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Consolidated Statements of Stockholders' Equity, Years ended April 30, 2017 and 2016</w:t>
              </w:r>
            </w:hyperlink>
          </w:p>
        </w:tc>
        <w:tc>
          <w:tcPr>
            <w:tcW w:w="20" w:type="dxa"/>
            <w:vAlign w:val="bottom"/>
            <w:tcBorders>
              <w:top w:val="single" w:sz="8" w:color="0000EE"/>
            </w:tcBorders>
          </w:tcPr>
          <w:p>
            <w:pPr>
              <w:spacing w:after="0"/>
              <w:rPr>
                <w:sz w:val="17"/>
                <w:szCs w:val="17"/>
                <w:color w:val="auto"/>
              </w:rPr>
            </w:pPr>
          </w:p>
        </w:tc>
        <w:tc>
          <w:tcPr>
            <w:tcW w:w="3620" w:type="dxa"/>
            <w:vAlign w:val="bottom"/>
          </w:tcPr>
          <w:p>
            <w:pPr>
              <w:spacing w:after="0"/>
              <w:rPr>
                <w:sz w:val="17"/>
                <w:szCs w:val="17"/>
                <w:color w:val="auto"/>
              </w:rPr>
            </w:pPr>
          </w:p>
        </w:tc>
        <w:tc>
          <w:tcPr>
            <w:tcW w:w="142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100" w:type="dxa"/>
            <w:vAlign w:val="bottom"/>
          </w:tcPr>
          <w:p>
            <w:pPr>
              <w:spacing w:after="0"/>
              <w:rPr>
                <w:sz w:val="17"/>
                <w:szCs w:val="17"/>
                <w:color w:val="auto"/>
              </w:rPr>
            </w:pPr>
          </w:p>
        </w:tc>
      </w:tr>
      <w:tr>
        <w:trPr>
          <w:trHeight w:val="196"/>
        </w:trPr>
        <w:tc>
          <w:tcPr>
            <w:tcW w:w="5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Consolidated Statements of Cash Flows, Years ended April 30, 2017 and 2016</w:t>
              </w:r>
            </w:hyperlink>
          </w:p>
        </w:tc>
        <w:tc>
          <w:tcPr>
            <w:tcW w:w="4280" w:type="dxa"/>
            <w:vAlign w:val="bottom"/>
            <w:gridSpan w:val="3"/>
          </w:tcPr>
          <w:p>
            <w:pPr>
              <w:spacing w:after="0"/>
              <w:rPr>
                <w:sz w:val="17"/>
                <w:szCs w:val="17"/>
                <w:color w:val="auto"/>
              </w:rPr>
            </w:pPr>
          </w:p>
        </w:tc>
        <w:tc>
          <w:tcPr>
            <w:tcW w:w="142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100" w:type="dxa"/>
            <w:vAlign w:val="bottom"/>
          </w:tcPr>
          <w:p>
            <w:pPr>
              <w:spacing w:after="0"/>
              <w:rPr>
                <w:sz w:val="17"/>
                <w:szCs w:val="17"/>
                <w:color w:val="auto"/>
              </w:rPr>
            </w:pPr>
          </w:p>
        </w:tc>
      </w:tr>
      <w:tr>
        <w:trPr>
          <w:trHeight w:val="196"/>
        </w:trPr>
        <w:tc>
          <w:tcPr>
            <w:tcW w:w="9940" w:type="dxa"/>
            <w:vAlign w:val="bottom"/>
            <w:gridSpan w:val="9"/>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Notes to Consolidated Financial Statements</w:t>
              </w:r>
            </w:hyperlink>
          </w:p>
        </w:tc>
        <w:tc>
          <w:tcPr>
            <w:tcW w:w="142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100" w:type="dxa"/>
            <w:vAlign w:val="bottom"/>
          </w:tcPr>
          <w:p>
            <w:pPr>
              <w:spacing w:after="0"/>
              <w:rPr>
                <w:sz w:val="17"/>
                <w:szCs w:val="17"/>
                <w:color w:val="auto"/>
              </w:rPr>
            </w:pPr>
          </w:p>
        </w:tc>
      </w:tr>
      <w:tr>
        <w:trPr>
          <w:trHeight w:val="750"/>
        </w:trPr>
        <w:tc>
          <w:tcPr>
            <w:tcW w:w="174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40" w:type="dxa"/>
            <w:vAlign w:val="bottom"/>
            <w:gridSpan w:val="5"/>
          </w:tcPr>
          <w:p>
            <w:pPr>
              <w:jc w:val="center"/>
              <w:ind w:right="2820"/>
              <w:spacing w:after="0"/>
              <w:rPr>
                <w:sz w:val="20"/>
                <w:szCs w:val="20"/>
                <w:color w:val="auto"/>
              </w:rPr>
            </w:pPr>
            <w:r>
              <w:rPr>
                <w:rFonts w:ascii="Times New Roman" w:cs="Times New Roman" w:eastAsia="Times New Roman" w:hAnsi="Times New Roman"/>
                <w:sz w:val="18"/>
                <w:szCs w:val="18"/>
                <w:color w:val="auto"/>
              </w:rPr>
              <w:t>F-1</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5"/>
        </w:trPr>
        <w:tc>
          <w:tcPr>
            <w:tcW w:w="17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17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2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2" w:right="199" w:bottom="1440" w:gutter="0" w:footer="0" w:header="0"/>
        </w:sectPr>
      </w:pPr>
    </w:p>
    <w:bookmarkStart w:id="62" w:name="page63"/>
    <w:bookmarkEnd w:id="6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 of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Consolidated Financial Statements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by the management of Ocean Power Technologies, Inc. (the Company) in conformity with generally accepted accounting principles to reflect the financial position of the Company and its operating results. The financial information appearing throughout this Annual Report is consistent with the consolidated financial statements. Management is responsible for the information and representations in such consolidated financial statements, including the estimates and judgments required for their preparation. The consolidated financial statements have been audited by KPMG LLP, an independent registered public accounting firm, as stated in their report, which appears herein.</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of Directors, which is composed entirely of directors who are not officers or employees of the Company, meets regularly with management and the independent registered public accounting firm. The independent registered public accounting firm has had, and continues to have, direct access to the Audit Committee without the presence of other management personnel, and have been directed to discuss the results of their audit work and any matters they believe should be brought to the Committee's attention. The independent registered public accounting firm reports directly to the Audit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The Company's internal control over financial reporting includes those policies and procedures that:</w:t>
      </w:r>
    </w:p>
    <w:p>
      <w:pPr>
        <w:spacing w:after="0" w:line="180" w:lineRule="exact"/>
        <w:rPr>
          <w:sz w:val="20"/>
          <w:szCs w:val="20"/>
          <w:color w:val="auto"/>
        </w:rPr>
      </w:pPr>
    </w:p>
    <w:p>
      <w:pPr>
        <w:ind w:left="660" w:right="440" w:hanging="220"/>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ind w:left="660" w:right="200" w:hanging="220"/>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Times New Roman" w:cs="Times New Roman" w:eastAsia="Times New Roman" w:hAnsi="Times New Roman"/>
          <w:sz w:val="18"/>
          <w:szCs w:val="18"/>
          <w:color w:val="auto"/>
        </w:rPr>
      </w:pPr>
    </w:p>
    <w:p>
      <w:pPr>
        <w:ind w:left="660" w:right="240" w:hanging="220"/>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assessed the effectiveness of the Company's internal control over financial reporting as of April 30, 2017.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 Integrated Framework (2013</w:t>
      </w:r>
      <w:r>
        <w:rPr>
          <w:rFonts w:ascii="Times New Roman" w:cs="Times New Roman" w:eastAsia="Times New Roman" w:hAnsi="Times New Roman"/>
          <w:sz w:val="18"/>
          <w:szCs w:val="18"/>
          <w:color w:val="auto"/>
        </w:rPr>
        <w:t>). Based on this assessment using those criteria, management concluded that the Company's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was effective as of April 30, 2017.</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198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198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H. Kirby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881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8811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T. Shafer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3" w:name="page64"/>
    <w:bookmarkEnd w:id="6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Ocean Power Technologies, Inc. and subsidiaries as of April 30, 2017 and 2016, and the related consolidated statements of operations, comprehensive loss, stockholders' equity, and cash flows for each of the years in the two-year period ended April 30, 2017. These consolidated financial statements are the responsibility of the Company's management. Our responsibility is to express an opinion on these consolidated financial statements based on our audits.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Ocean Power Technologies, Inc. and subsidiaries as of April 30, 2017 and 2016, and the results of their operations and their cash flows for each of the years in the two-year period ended April 30, 2017, in conformity with U.S. generally accepted accounting principles.</w:t>
      </w:r>
    </w:p>
    <w:p>
      <w:pPr>
        <w:spacing w:after="0" w:line="176" w:lineRule="exact"/>
        <w:rPr>
          <w:sz w:val="20"/>
          <w:szCs w:val="20"/>
          <w:color w:val="auto"/>
        </w:rPr>
      </w:pPr>
    </w:p>
    <w:p>
      <w:pPr>
        <w:jc w:val="both"/>
        <w:ind w:left="80" w:firstLine="567"/>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(b) to the consolidated financial statements, as of April 30, 2017 the Company has cash and cash equivalents of $8.4 million, and the Company has suffered recurring losses from operations and has an accumulated deficit. These factors raise substantial doubt about its ability to continue as a going concern. Management’s plans in regard to these matters are described in note 1 (b). The consolidated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14, 2017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4" w:name="page65"/>
    <w:bookmarkEnd w:id="6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April 30, 2017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April 30, 2016</w:t>
            </w: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6,730</w:t>
            </w: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cash- short-term</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 receivable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9,759</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long-term</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10,351</w:t>
            </w: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shd w:val="clear" w:color="auto" w:fill="CCEEFF"/>
          </w:tcPr>
          <w:p>
            <w:pPr>
              <w:ind w:left="2140"/>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2,675</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 payable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 and capital lease obligations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credits payable current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6,168</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and capital lease obligations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Deferred credits payable non-current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Power Technologies, Inc. stockholders’ equity: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$0.001 par value; authorized 5,000,000 shares, none issued or outstanding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50,000,000 shares, issued 6,313,996 and 2,352,100 shares,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48,065 and 6,894 shares, respectively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181,670</w:t>
            </w: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(187,370)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(177,884)</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Borders>
              <w:top w:val="single" w:sz="8" w:color="CCEEFF"/>
            </w:tcBorders>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5" w:name="page66"/>
    <w:bookmarkEnd w:id="6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development costs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 settlement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Less: Net profit attributable to the non-controlling interest in Ocean Power Technologies (Australasia) Pty</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Ltd.</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Ocean Power Technologies, Inc.</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42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(2.23)</w:t>
            </w:r>
          </w:p>
        </w:tc>
        <w:tc>
          <w:tcPr>
            <w:tcW w:w="400" w:type="dxa"/>
            <w:vAlign w:val="bottom"/>
            <w:gridSpan w:val="2"/>
          </w:tcPr>
          <w:p>
            <w:pPr>
              <w:jc w:val="right"/>
              <w:ind w:right="15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tcBorders>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4,259,172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1,810,173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6" w:name="page67"/>
    <w:bookmarkEnd w:id="6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00" w:type="dxa"/>
            <w:vAlign w:val="bottom"/>
            <w:gridSpan w:val="7"/>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(9,486)</w:t>
            </w:r>
          </w:p>
        </w:tc>
        <w:tc>
          <w:tcPr>
            <w:tcW w:w="4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(9,524)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Comprehensive income attributable to the non-controlling interest in Ocean Power Technologies (Australasia)</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Pty Ltd.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Ocean Power Technologies, Inc.</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(9,524)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7" w:name="page68"/>
    <w:bookmarkEnd w:id="6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2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Ocean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Technologies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5"/>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9"/>
                <w:szCs w:val="19"/>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Inc.</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18"/>
                <w:szCs w:val="18"/>
                <w:color w:val="auto"/>
              </w:rPr>
            </w:pPr>
          </w:p>
        </w:tc>
        <w:tc>
          <w:tcPr>
            <w:tcW w:w="84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00" w:type="dxa"/>
            <w:vAlign w:val="bottom"/>
          </w:tcPr>
          <w:p>
            <w:pPr>
              <w:spacing w:after="0"/>
              <w:rPr>
                <w:sz w:val="18"/>
                <w:szCs w:val="18"/>
                <w:color w:val="auto"/>
              </w:rPr>
            </w:pPr>
          </w:p>
        </w:tc>
        <w:tc>
          <w:tcPr>
            <w:tcW w:w="10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Balances,</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1,838,720</w:t>
            </w:r>
          </w:p>
        </w:tc>
        <w:tc>
          <w:tcPr>
            <w:tcW w:w="140" w:type="dxa"/>
            <w:vAlign w:val="bottom"/>
            <w:tcBorders>
              <w:right w:val="single" w:sz="8" w:color="CCEEFF"/>
            </w:tcBorders>
            <w:vMerge w:val="restart"/>
            <w:shd w:val="clear" w:color="auto" w:fill="CCEEFF"/>
          </w:tcPr>
          <w:p>
            <w:pPr>
              <w:spacing w:after="0"/>
              <w:rPr>
                <w:sz w:val="17"/>
                <w:szCs w:val="17"/>
                <w:color w:val="auto"/>
              </w:rPr>
            </w:pPr>
          </w:p>
        </w:tc>
        <w:tc>
          <w:tcPr>
            <w:tcW w:w="56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(3,865)</w:t>
            </w:r>
          </w:p>
        </w:tc>
        <w:tc>
          <w:tcPr>
            <w:tcW w:w="22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right w:val="single" w:sz="8" w:color="CCEEFF"/>
            </w:tcBorders>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180,803</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(164,755)</w:t>
            </w:r>
          </w:p>
        </w:tc>
        <w:tc>
          <w:tcPr>
            <w:tcW w:w="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15,688</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April 30, 2015</w:t>
            </w:r>
          </w:p>
        </w:tc>
        <w:tc>
          <w:tcPr>
            <w:tcW w:w="780" w:type="dxa"/>
            <w:vAlign w:val="bottom"/>
            <w:vMerge w:val="continue"/>
            <w:shd w:val="clear" w:color="auto" w:fill="CCEEFF"/>
          </w:tcPr>
          <w:p>
            <w:pPr>
              <w:spacing w:after="0"/>
              <w:rPr>
                <w:sz w:val="18"/>
                <w:szCs w:val="18"/>
                <w:color w:val="auto"/>
              </w:rPr>
            </w:pP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4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4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6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20" w:type="dxa"/>
            <w:vAlign w:val="bottom"/>
            <w:tcBorders>
              <w:right w:val="single" w:sz="8" w:color="CCEEFF"/>
            </w:tcBorders>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(13,129)</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(13,129)</w:t>
            </w: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(13,084)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based</w:t>
            </w: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net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(11,191)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stock</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144,571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58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(3,029)</w:t>
            </w:r>
          </w:p>
        </w:tc>
        <w:tc>
          <w:tcPr>
            <w:tcW w:w="220" w:type="dxa"/>
            <w:vAlign w:val="bottom"/>
          </w:tcPr>
          <w:p>
            <w:pPr>
              <w:spacing w:after="0"/>
              <w:rPr>
                <w:sz w:val="20"/>
                <w:szCs w:val="20"/>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Additional</w:t>
            </w: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w:t>
            </w:r>
          </w:p>
        </w:tc>
        <w:tc>
          <w:tcPr>
            <w:tcW w:w="7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w:t>
            </w:r>
          </w:p>
        </w:tc>
        <w:tc>
          <w:tcPr>
            <w:tcW w:w="7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Legal</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380,000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596</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596</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7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7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2,352,100</w:t>
            </w:r>
          </w:p>
        </w:tc>
        <w:tc>
          <w:tcPr>
            <w:tcW w:w="140" w:type="dxa"/>
            <w:vAlign w:val="bottom"/>
            <w:vMerge w:val="restart"/>
          </w:tcPr>
          <w:p>
            <w:pPr>
              <w:spacing w:after="0"/>
              <w:rPr>
                <w:sz w:val="16"/>
                <w:szCs w:val="16"/>
                <w:color w:val="auto"/>
              </w:rPr>
            </w:pPr>
          </w:p>
        </w:tc>
        <w:tc>
          <w:tcPr>
            <w:tcW w:w="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(6,894)</w:t>
            </w:r>
          </w:p>
        </w:tc>
        <w:tc>
          <w:tcPr>
            <w:tcW w:w="2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181,670</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(177,884)</w:t>
            </w:r>
          </w:p>
        </w:tc>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3,528</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3,528</w:t>
            </w:r>
          </w:p>
        </w:tc>
        <w:tc>
          <w:tcPr>
            <w:tcW w:w="0" w:type="dxa"/>
            <w:vAlign w:val="bottom"/>
          </w:tcPr>
          <w:p>
            <w:pPr>
              <w:spacing w:after="0"/>
              <w:rPr>
                <w:sz w:val="1"/>
                <w:szCs w:val="1"/>
                <w:color w:val="auto"/>
              </w:rPr>
            </w:pPr>
          </w:p>
        </w:tc>
      </w:tr>
      <w:tr>
        <w:trPr>
          <w:trHeight w:val="194"/>
        </w:trPr>
        <w:tc>
          <w:tcPr>
            <w:tcW w:w="1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April 30, 2016</w:t>
            </w:r>
          </w:p>
        </w:tc>
        <w:tc>
          <w:tcPr>
            <w:tcW w:w="7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(9,486)</w:t>
            </w: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(9,486)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(9,486)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based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w:t>
            </w:r>
          </w:p>
        </w:tc>
        <w:tc>
          <w:tcPr>
            <w:tcW w:w="7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net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189,896</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954</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954</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Sale of stock</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3,772,000</w:t>
            </w:r>
          </w:p>
        </w:tc>
        <w:tc>
          <w:tcPr>
            <w:tcW w:w="56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10,332</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10,336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Acquisition of</w:t>
            </w:r>
          </w:p>
        </w:tc>
        <w:tc>
          <w:tcPr>
            <w:tcW w:w="7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7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(41,171)</w:t>
            </w:r>
          </w:p>
        </w:tc>
        <w:tc>
          <w:tcPr>
            <w:tcW w:w="22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1"/>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11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Balances,</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6,313,996</w:t>
            </w:r>
          </w:p>
        </w:tc>
        <w:tc>
          <w:tcPr>
            <w:tcW w:w="140" w:type="dxa"/>
            <w:vAlign w:val="bottom"/>
            <w:tcBorders>
              <w:right w:val="single" w:sz="8" w:color="CCEEFF"/>
            </w:tcBorders>
            <w:vMerge w:val="restart"/>
            <w:shd w:val="clear" w:color="auto" w:fill="CCEEFF"/>
          </w:tcPr>
          <w:p>
            <w:pPr>
              <w:spacing w:after="0"/>
              <w:rPr>
                <w:sz w:val="16"/>
                <w:szCs w:val="16"/>
                <w:color w:val="auto"/>
              </w:rPr>
            </w:pPr>
          </w:p>
        </w:tc>
        <w:tc>
          <w:tcPr>
            <w:tcW w:w="56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(48,065)</w:t>
            </w:r>
          </w:p>
        </w:tc>
        <w:tc>
          <w:tcPr>
            <w:tcW w:w="22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right w:val="single" w:sz="8" w:color="CCEEFF"/>
            </w:tcBorders>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193,234</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(187,370)</w:t>
            </w:r>
          </w:p>
        </w:tc>
        <w:tc>
          <w:tcPr>
            <w:tcW w:w="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5,447</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April 30, 2017</w:t>
            </w:r>
          </w:p>
        </w:tc>
        <w:tc>
          <w:tcPr>
            <w:tcW w:w="780" w:type="dxa"/>
            <w:vAlign w:val="bottom"/>
            <w:vMerge w:val="continue"/>
            <w:shd w:val="clear" w:color="auto" w:fill="CCEEFF"/>
          </w:tcPr>
          <w:p>
            <w:pPr>
              <w:spacing w:after="0"/>
              <w:rPr>
                <w:sz w:val="18"/>
                <w:szCs w:val="18"/>
                <w:color w:val="auto"/>
              </w:rPr>
            </w:pP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4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4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60" w:type="dxa"/>
            <w:vAlign w:val="bottom"/>
            <w:tcBorders>
              <w:right w:val="single" w:sz="8" w:color="CCEEFF"/>
            </w:tcBorders>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20" w:type="dxa"/>
            <w:vAlign w:val="bottom"/>
            <w:tcBorders>
              <w:right w:val="single" w:sz="8" w:color="CCEEFF"/>
            </w:tcBorders>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8" w:name="page69"/>
    <w:bookmarkEnd w:id="6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3280" w:type="dxa"/>
            <w:vAlign w:val="bottom"/>
            <w:gridSpan w:val="7"/>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(9,486)</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 exchange loss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Compensation expense related to stock option grants and restricted stock</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Common Stock issuance in settlement of lawsuit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Unbilled receivable</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Litigation payable</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Unearned revenues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(10,038)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equipment</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net of costs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and related warrants, net of costs</w:t>
            </w:r>
          </w:p>
        </w:tc>
        <w:tc>
          <w:tcPr>
            <w:tcW w:w="9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capital lease obligations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debt</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6,730</w:t>
            </w: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2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schedule of cash flows information:</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equipment pursuant to capital leases</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9" w:name="page70"/>
    <w:bookmarkEnd w:id="6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and Liquidity</w:t>
      </w:r>
    </w:p>
    <w:p>
      <w:pPr>
        <w:spacing w:after="0" w:line="225" w:lineRule="exact"/>
        <w:rPr>
          <w:rFonts w:ascii="Times New Roman" w:cs="Times New Roman" w:eastAsia="Times New Roman" w:hAnsi="Times New Roman"/>
          <w:sz w:val="18"/>
          <w:szCs w:val="18"/>
          <w:b w:val="1"/>
          <w:bCs w:val="1"/>
          <w:color w:val="auto"/>
        </w:rPr>
      </w:pPr>
    </w:p>
    <w:p>
      <w:pPr>
        <w:ind w:left="500" w:hanging="330"/>
        <w:spacing w:after="0"/>
        <w:tabs>
          <w:tab w:leader="none" w:pos="500" w:val="left"/>
        </w:tabs>
        <w:numPr>
          <w:ilvl w:val="1"/>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Ocean Power Technologies, Inc. (the “Company”) was founded in 1984 in New Jersey, commenced business operations in 1994 and re-incorporated in Delaware in 2007. The Company is developing and commercializing its proprietary systems that generate electricity by harnessing the renewable energy of ocean waves. The Company uses proprietary technologies that convert the mechanical energy created by the heaving motion of ocean waves into electricity. The Company has designed and continues to develop the PowerBuoy product line which is based on modular, ocean-going buoys, which the Company has been periodically ocean testing since 1997. The Company markets its PowerBuoys in the United States and internationally. Since fiscal 2002, government agencies have accounted for a significant portion of the Company’s revenues. These revenues were largely for the support of product development efforts. The Company’s goal is that an increased portion of its revenues be from the sale or lease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its products and services.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 Liquidity/Going Concern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assuming the Company will continue as a going concern. The Company has experienced substantial and recurring losses from operations, which have contributed to an accumulated deficit of $187.4 million at April 30, 2017. At April 30, 2017, the Company had approximately $8.4 million in cash on hand. The Company generated revenues of only $0.8 million and $0.7 million during the years ended April 30, 2017 and 2016, respectively. Based on the Company’s cash and cash equivalents and marketable securities balances as of April 30, 2017, and including the proceeds received from our May 2017 financing transaction in which we received aggregate net proceeds to us of approximately $7.2 million, the Company believes that it will be able to finance its capital requirements and operations into the quarter ending July 31, 2018. The Company will require additional equity and/or debt financing to continue its operations. The Company cannot provide assurances that it will be able to secure additional funding when needed or at all, or, if secured, that such funding would be on favorable terms. These factors raise substantial doubt about the Company’s ability to continue as a going concern.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is evaluating different strategies to obtain the required additional funding for future operations. These strategies may include, but are not limited to, additional funding from current or new investors, officers and directors; borrowings of debt; a public offering of the Company’s equity or debt securities; partnerships and/or collaborations. There can be no assurance that any of these future-funding efforts will be successful.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0" w:name="page71"/>
    <w:bookmarkEnd w:id="7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fiscal 2017 and 2016,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PowerBuoys, its inability to market and commercialize its PowerBuoys,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closed four equity financing arrangements during the year ended April 30, 2017 and subsequently on May 2, 2017. The Company does not currently have any committed sources of debt or equity financing, and the Company cannot assure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Historically, the Company has funded its operations principally through public and private sales of our equity. In October 2015, the Company entered into an At the Market Offering Agreement (“2015 ATM Agreement”) with H.C. Wainwright &amp; Co., LLC (“Manager”), under which the Company offered from time to time in an at the market offering (the “2015 ATM Facility”) shares of our Common Stock under the Form S-3 and under a subsequent shelf registration statement on Form S-3 (the “2016 Form S-3”) filed with the SEC in February 2016 and declared effective by the SEC in April 2016. The 2016 Form S-3 registers for sale up to $15 million in securities by the Company in a public offering, although the Company is limited by Instruction I.B.6 in the amount that we may sell under Form S-3 in any 12 calendar month period to one third of our public float. Under the 2015 ATM Facility, between October 2015 and April 2016, the Company issued and sold 144,571 shares of its Common Stock with an aggregate market value of $293,343 under the 2015 ATM Agreement at an average price of $2.03 per share and paid the Manager of the 2015 ATM Facility a sales commission of approximately $4,400 related to those shares. The 2015 ATM Agreement was terminated on June 2, 2016, effective immediately, and the 2015 ATM Facility is no longer available for use by the Company.</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Form S-3 limits the aggregate market value of securities that the Company is permitted to offer in any 12-month period under its 2013 Form S-3 Shelf, whether under the ATM Agreement, the Underwriting Agreement or otherwise, to one-third of its public float. In 2014, the Company fully utilized its available transaction capacity to sell securities using the 2013 Form S-3 Shelf in the ATM offering. However, the Company regained the ability to utilize the 2013 Form S-3 Shelf as the Company entered fiscal 2016. Under the SEC’s regulations, the securities registered under its 2013 Form S-3 Shelf may only be offered and sold if not more than three years have elapsed from the initial effective date of the Form S-3, except that if a new shelf registration statement is filed then the Company is permitted to continue to offer and sell securities under the Form S-3 until the earlier of the effective date of the new shelf registration statement or 180 days after the third anniversary of the initial effective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12, 2016, the Company filed a new Form S-3 shelf registration statement (the “2016 Form S-3”) to register the offering and sale of up to $15 million in securities. The 2016 Form S-3 registration was declared effective by the SEC on April 26, 2016.</w:t>
      </w:r>
    </w:p>
    <w:p>
      <w:pPr>
        <w:spacing w:after="0" w:line="162" w:lineRule="exact"/>
        <w:rPr>
          <w:sz w:val="20"/>
          <w:szCs w:val="20"/>
          <w:color w:val="auto"/>
        </w:rPr>
      </w:pPr>
    </w:p>
    <w:p>
      <w:pPr>
        <w:jc w:val="both"/>
        <w:ind w:firstLine="714"/>
        <w:spacing w:after="0" w:line="254" w:lineRule="auto"/>
        <w:rPr>
          <w:sz w:val="20"/>
          <w:szCs w:val="20"/>
          <w:color w:val="auto"/>
        </w:rPr>
      </w:pPr>
      <w:r>
        <w:rPr>
          <w:rFonts w:ascii="Times New Roman" w:cs="Times New Roman" w:eastAsia="Times New Roman" w:hAnsi="Times New Roman"/>
          <w:sz w:val="18"/>
          <w:szCs w:val="18"/>
          <w:color w:val="auto"/>
        </w:rPr>
        <w:t>On June 2, 2016, the Company entered into a securities purchase agreement, which was amended on June 7, 2016 (as amended, the “Purchase Agreement”) with certain institutional purchasers (the “June Purchasers”). Pursuant to the terms of the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to the Company from the offering were approximately $1.7 million, after deducting placement agent fees and estimated offering expenses payable by the Company, but excluding the proceeds, if any, from the exercise of the warrants issued in the offering. The warrants have an exercise price of $6.08 per share, became exercisable on December 3, 2016 (“Initial Exercise Date”), and will expire five years following the Initial Exercise Date. The Company paid the placement agents approximately $0.1 million as placement agent fees in connection with the sale of securities in the offering. The Company also reimbursed the placement agents $35 thousand for their out of pocket and legal expenses in connection with the offering.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1" w:name="page72"/>
    <w:bookmarkEnd w:id="7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$9.36 per share. The Warrants will expire on the fifth (5th) anniversary of the initial date of issuance.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19, 2016, the Company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placement agent fees and offering expenses payable by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placement agent fees and offering expenses payable by the Company.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  Reverse Stock Split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annual meeting of stockholders on October 22, 2015, the Company’s stockholders approved a proposal to amend the Certificate of Incorporation of the Company to effect a reverse split of its Common Stock, at a ratio to be determined by the Company’s Board of Directors within a specific range and a reduction in the authorized number of shares of its Common Stock. See also the discussion in Part I, Item 3 “Legal Proceedings” of the accompanying Annual Report and Note 15 “Commitments and Contingencies- Shareholder Litigation and Demand” in these consolidated financial statements for the fiscal year ended April 30, 2017. On October 27, 2015, the Company filed a Certificate of Amendment to its Certificate of Incorporation to affect a one-for-10 reverse stock split of its Common Stock and to decrease the number of authorized shares of its Common Stock to 50,000,000 shares (the “Reverse Stock Split”). As a result of the Reverse Stock Split, as of the effective date of the Reverse Stock Split, every 10 shares of issued and outstanding Common Stock were combined into one issued and outstanding share of Common Stock, without any change in the par value per share. No fractional shares were issued in connection with the Reverse Stock Split. Total cash payments made by the Company to stockholders in lieu of fractional shares were not material. The Common Stock began trading on a reverse stock split-adjusted basis on the NASDAQ Stock Market (“NASDAQ”) on October 29, 2015. On November 12, 2015, NASDAQ notified the Company that it’s Common Stock had regained compliance with the NASDAQ listed company closing bid price requirement.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2" w:name="page73"/>
    <w:bookmarkEnd w:id="7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500" w:hanging="330"/>
        <w:spacing w:after="0"/>
        <w:tabs>
          <w:tab w:leader="none" w:pos="500" w:val="left"/>
        </w:tabs>
        <w:numPr>
          <w:ilvl w:val="1"/>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2015, the Company re-purchased the non-controlling interest (consisting of 11.8%) of the Company's Australian subsidiary, Ocean Power Technologies (Australasia) Pty. Ltd. (“OPTA”) for nominal consideration and now has 100% ownership of OPTA. OPTA owns 100% of Victorian Wave Partners Pty. Ltd. (“VWP”), which is also organized under the laws of Australia. As of April 30, 2017 and 2016, there were no such entities.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periodically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April 30, 2016, there were no such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fair value of warrant liabilities; valuation allowances for receivables and deferred income tax assets; estimated costs to complete projects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Revenue Recognition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revenue under fixed price or cost plus contracts is recognized using the cost to cost percentage-of-completion method, measured by the ratio of costs incurred to total estimated costs at completion. In certain circumstances, revenue under contracts that have specified milestones or other performance criteria may be recognized only when the customer acknowledges that such criteria have been satisfied. If an arrangement involves multiple deliverables, the delivered items are considered separate units of accounting if the items have value on a stand-alone basis. Amounts allocated to each element are based on its objectively determined fair value, such as the sales price for the product or service when it is sold separately or competitor prices for similar products or services.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3" w:name="page74"/>
    <w:bookmarkEnd w:id="7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recognition of revenue (and the related costs) may be deferred for fixed 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w:t>
      </w:r>
    </w:p>
    <w:p>
      <w:pPr>
        <w:spacing w:after="0" w:line="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color w:val="auto"/>
        </w:rPr>
        <w:t>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Cash and Cash Equivalents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The Company invests excess cash in an overnight U.S. government securities repurchase bank account and a money market account. In accordance with the terms of the repurchase agreement, the Company does not take possession of the related securities. The agreement contains provisions to ensure that the market value of the underlying assets remain sufficient to protect the Company in the event of default by the bank by requiring that the underlying securities have a total market value of at least 100% of the bank’s total obligations under the agreement. The following table summarizes cash and cash equivalents for the years ended April 30, 2017 and 2016:</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April 30, 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w:t>
            </w:r>
          </w:p>
        </w:tc>
        <w:tc>
          <w:tcPr>
            <w:tcW w:w="1720" w:type="dxa"/>
            <w:vAlign w:val="bottom"/>
            <w:gridSpan w:val="4"/>
          </w:tcPr>
          <w:p>
            <w:pPr>
              <w:jc w:val="right"/>
              <w:ind w:right="103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1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Checking and savings accounts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8"/>
              </w:rPr>
              <w:t>4,241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Overnight repurchase account</w:t>
            </w:r>
          </w:p>
        </w:tc>
        <w:tc>
          <w:tcPr>
            <w:tcW w:w="160" w:type="dxa"/>
            <w:vAlign w:val="bottom"/>
          </w:tcPr>
          <w:p>
            <w:pPr>
              <w:spacing w:after="0"/>
              <w:rPr>
                <w:sz w:val="18"/>
                <w:szCs w:val="18"/>
                <w:color w:val="auto"/>
              </w:rPr>
            </w:pPr>
          </w:p>
        </w:tc>
        <w:tc>
          <w:tcPr>
            <w:tcW w:w="14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98"/>
              </w:rPr>
              <w:t>4,180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3"/>
              </w:rPr>
              <w:t>8,421</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Marketable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April 30, 2017 and, 2016, all of the Company’s investments were classified as held-to-maturity.</w:t>
      </w:r>
    </w:p>
    <w:p>
      <w:pPr>
        <w:spacing w:after="0" w:line="18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Restricted Cash and Credit Facility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April 30, 2017 and 2016, a portion of the Company’s cash was restricted under the terms of three security agreements.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One agreement was between the Company and Barclays Bank. Under this agreement, the cash was on deposit at Barclays Bank and served as security for letters of credit and bank guarantees that were issued by Barclays Bank on behalf of OPT LTD, one of the Company's subsidiaries, under a credit facility established by Barclays Bank for OPT LTD. The credit facility is approximately €0.3million ($0.3 million) and carries a fee of 1% per annum of the amount of any such obligations issued by Barclays Bank. The credit facility does not have an expiration date, but is cancelable at the discretion of the bank. As of both April 30, 2017 and 2016, there was €0.3 million ($0.3 million) in letters of credit outstanding under this agreement.</w:t>
      </w:r>
    </w:p>
    <w:p>
      <w:pPr>
        <w:spacing w:after="0" w:line="18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second agreement is between the Company and Santander Bank. Under this agreement, the cash is on deposit at Santander Bank and serves as security for letter of credit issued by Santander Bank for the lease of new warehouse/office space in Monroe Township, New Jersey. The agreement cannot be extended beyond January 31, 2025, but is cancelable at the discretion of the bank.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4" w:name="page75"/>
    <w:bookmarkEnd w:id="7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third agreement was between the Company and the New Jersey Board of Public Utilities (“NJBPU”). The Company received a $0.5 million recoverable grant award from the NJBPU, repayable over a five-year period beginning in November 2011. The agreement also required the Company to annually assign to the NJBPU a certificate of deposit in an amount equal to the outstanding grant balance. As of April 30, 2017, the grant was fully repaid and therefore there was no certificate of deposit. The following table summarizes restricted cash for the years ended April 30, 2017 and 2016:</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April 30, 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1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Bank Agreement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Santander Bank</w:t>
            </w: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NJBPU agreement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Property and Equipment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Property and equipment consists primarily of equipment, furnishings, fixtures, computer equipment and leasehold improvements and are recorded at cost. Depreciation and amortization is calculated using the straight-line method over the estimated useful lives of the assets.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200" w:lineRule="exact"/>
        <w:rPr>
          <w:sz w:val="20"/>
          <w:szCs w:val="20"/>
          <w:color w:val="auto"/>
        </w:rPr>
      </w:pP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Estimated useful life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0" w:type="dxa"/>
            <w:vAlign w:val="bottom"/>
          </w:tcPr>
          <w:p>
            <w:pPr>
              <w:spacing w:after="0"/>
              <w:rPr>
                <w:sz w:val="20"/>
                <w:szCs w:val="20"/>
                <w:color w:val="auto"/>
              </w:rPr>
            </w:pPr>
          </w:p>
        </w:tc>
        <w:tc>
          <w:tcPr>
            <w:tcW w:w="120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w w:val="99"/>
              </w:rPr>
              <w:t>(years)</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fixtures</w:t>
            </w:r>
          </w:p>
        </w:tc>
        <w:tc>
          <w:tcPr>
            <w:tcW w:w="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Over the life of the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under capitalized lease</w:t>
            </w:r>
          </w:p>
        </w:tc>
        <w:tc>
          <w:tcPr>
            <w:tcW w:w="10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w:t>
            </w: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w w:val="98"/>
              </w:rPr>
              <w:t>Shorter of the estimated</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useful life or lease term</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Foreign Exchange Gains and Losses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are included in “foreign exchange gain (loss)” in the accompanying consolidated statements of operations.</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Patents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External costs related to the filing of patents, including legal and filing fees, are capitalized if expenses related to the filing of a patent are significant. The Company continually re-assesses the remaining useful lives of its long-lived assets and costs are expensed when it is no longer probable that such technology will be utilized. Patents are also reviewed for impairment whenever events or changes in circumstances indicate that the carrying amount of the patent may not be recoverable. No new patents were granted in fiscal years 2017 and 2016. There was no amortization of patents recorded during the years ended April 30, 2017 and 2016, as the patents are fully amortized.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5" w:name="page76"/>
    <w:bookmarkEnd w:id="7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7"/>
          <w:szCs w:val="17"/>
          <w:b w:val="1"/>
          <w:bCs w:val="1"/>
          <w:i w:val="1"/>
          <w:iCs w:val="1"/>
          <w:color w:val="auto"/>
        </w:rPr>
        <w:t>Concentration of Credit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shows the percentage of the Company's revenues derived from customers whose revenues accounted for at least 10%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revenues for at least one of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Mitsui Engineering &amp; Shipbuilding</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U.S. Department of Defense Office of Naval Research</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Department of Energy</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EU (WavePort Project)</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Warrant Liabilities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warrants to purchase shares of its common stock are classified as warrant liabilities and are recorded at fair value. The warrant liabilities are subject to re-measurement at each balance sheet date and the Company recognizes any change in fair value in its consolidated statements of operations within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w:t>
      </w:r>
    </w:p>
    <w:p>
      <w:pPr>
        <w:spacing w:after="0" w:line="18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(l)</w:t>
      </w:r>
      <w:r>
        <w:rPr>
          <w:sz w:val="20"/>
          <w:szCs w:val="20"/>
          <w:color w:val="auto"/>
        </w:rPr>
        <w:tab/>
      </w:r>
      <w:r>
        <w:rPr>
          <w:rFonts w:ascii="Times New Roman" w:cs="Times New Roman" w:eastAsia="Times New Roman" w:hAnsi="Times New Roman"/>
          <w:sz w:val="17"/>
          <w:szCs w:val="17"/>
          <w:b w:val="1"/>
          <w:bCs w:val="1"/>
          <w:i w:val="1"/>
          <w:iCs w:val="1"/>
          <w:color w:val="auto"/>
        </w:rPr>
        <w:t>Net Loss per Common Share</w:t>
      </w:r>
    </w:p>
    <w:p>
      <w:pPr>
        <w:spacing w:after="0" w:line="229" w:lineRule="exact"/>
        <w:rPr>
          <w:sz w:val="20"/>
          <w:szCs w:val="20"/>
          <w:color w:val="auto"/>
        </w:rPr>
      </w:pPr>
    </w:p>
    <w:p>
      <w:pPr>
        <w:jc w:val="both"/>
        <w:ind w:left="140" w:firstLine="513"/>
        <w:spacing w:after="0" w:line="266" w:lineRule="auto"/>
        <w:rPr>
          <w:sz w:val="20"/>
          <w:szCs w:val="20"/>
          <w:color w:val="auto"/>
        </w:rPr>
      </w:pPr>
      <w:r>
        <w:rPr>
          <w:rFonts w:ascii="Times New Roman" w:cs="Times New Roman" w:eastAsia="Times New Roman" w:hAnsi="Times New Roman"/>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computing diluted net loss per share, options to purchase shares of common stock, warrants on common stock and non-vested restricted stock issued to employees and non-employee directors, totaling 657,078 and 129,311 for the years ended April 30, 2017 and 2016, respectively, were excluded from each of the computations as the effect would be anti-dilutive due to the Company's losses.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6" w:name="page77"/>
    <w:bookmarkEnd w:id="7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Share-Based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years ended April 30, 2017 and 2016 was approximately $1.2 million and $0.3 million, respectively. The following table summarizes share-based compensation related to the Company’s share-based plans by expense category for the years ended April 30, 2017 and 2016:</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00" w:type="dxa"/>
            <w:vAlign w:val="bottom"/>
            <w:tcBorders>
              <w:bottom w:val="single" w:sz="8" w:color="auto"/>
            </w:tcBorders>
            <w:gridSpan w:val="5"/>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Year ended April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240" w:type="dxa"/>
            <w:vAlign w:val="bottom"/>
            <w:gridSpan w:val="3"/>
          </w:tcPr>
          <w:p>
            <w:pPr>
              <w:jc w:val="right"/>
              <w:ind w:right="552"/>
              <w:spacing w:after="0"/>
              <w:rPr>
                <w:sz w:val="20"/>
                <w:szCs w:val="20"/>
                <w:color w:val="auto"/>
              </w:rPr>
            </w:pPr>
            <w:r>
              <w:rPr>
                <w:rFonts w:ascii="Times New Roman" w:cs="Times New Roman" w:eastAsia="Times New Roman" w:hAnsi="Times New Roman"/>
                <w:sz w:val="18"/>
                <w:szCs w:val="18"/>
                <w:color w:val="auto"/>
                <w:w w:val="74"/>
              </w:rPr>
              <w:t>thousands)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2760" w:type="dxa"/>
            <w:vAlign w:val="bottom"/>
            <w:gridSpan w:val="2"/>
          </w:tcPr>
          <w:p>
            <w:pPr>
              <w:spacing w:after="0"/>
              <w:rPr>
                <w:sz w:val="17"/>
                <w:szCs w:val="17"/>
                <w:color w:val="auto"/>
              </w:rPr>
            </w:pPr>
          </w:p>
        </w:tc>
        <w:tc>
          <w:tcPr>
            <w:tcW w:w="50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5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7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20" w:type="dxa"/>
            <w:vAlign w:val="bottom"/>
            <w:gridSpan w:val="2"/>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administratvie</w:t>
            </w:r>
          </w:p>
        </w:tc>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7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Valuation Assumptions for Restricted Stock and Options Granted During the Years Ended April 30,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Compensation expense for non-vested restricted stock is recorded based on its market value on the date of grant and recognized ratably over the associated service and performance period. If the vesting requirement of performance-based grants is tied to the Company's total shareholder return (TSR) relative to the total shareholder return of alternative energy Exchange Traded Funds as measured over a specific performance period then the compensation expense for these awards with market-based vesting is calculated based on the estimated fair value as of the grant date utilizing a Monte Carlo simulation model and is recognized over the service period on a straight-line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83" w:lineRule="exact"/>
        <w:rPr>
          <w:sz w:val="20"/>
          <w:szCs w:val="20"/>
          <w:color w:val="auto"/>
        </w:rPr>
      </w:pPr>
    </w:p>
    <w:p>
      <w:pPr>
        <w:ind w:left="140" w:right="80" w:firstLine="555"/>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each stock option granted, for both service-based and performance-based vesting requirements during the year ended April 30 2017, was estimated at the date of grant using the Black-Scholes option pricing model, assuming no dividends, and using the weighted average valuation assumptions noted in the below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Expected volatility was based on the Company’s historical volatility during the twelve months ended April 30, 2017.</w:t>
      </w:r>
    </w:p>
    <w:p>
      <w:pPr>
        <w:spacing w:after="0" w:line="238"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6780" w:type="dxa"/>
            <w:vAlign w:val="bottom"/>
            <w:gridSpan w:val="2"/>
          </w:tcPr>
          <w:p>
            <w:pPr>
              <w:spacing w:after="0"/>
              <w:rPr>
                <w:sz w:val="18"/>
                <w:szCs w:val="18"/>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96.2%</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140" w:right="380" w:firstLine="555"/>
        <w:spacing w:after="0" w:line="282" w:lineRule="auto"/>
        <w:rPr>
          <w:sz w:val="20"/>
          <w:szCs w:val="20"/>
          <w:color w:val="auto"/>
        </w:rPr>
      </w:pPr>
      <w:r>
        <w:rPr>
          <w:rFonts w:ascii="Times New Roman" w:cs="Times New Roman" w:eastAsia="Times New Roman" w:hAnsi="Times New Roman"/>
          <w:sz w:val="18"/>
          <w:szCs w:val="18"/>
          <w:color w:val="auto"/>
        </w:rPr>
        <w:t>The above assumptions were used to determine the weighted average per share fair value of $2.52 and 0.58 for stock options granted during the years ended April 30, 2017 and 2016,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and operating loss and tax credit carry forwards are expected to be recovered, settled or utilized. The effect on deferred tax assets and liabilities of a change in tax rates is recognized in income in the period that includes the enactment date.</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77" w:name="page78"/>
    <w:bookmarkEnd w:id="7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Accumulated Other Comprehensive Loss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stockholders'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Recently Issued Accounting Standards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(Topic 606).” </w:t>
      </w:r>
      <w:r>
        <w:rPr>
          <w:rFonts w:ascii="Times New Roman" w:cs="Times New Roman" w:eastAsia="Times New Roman" w:hAnsi="Times New Roman"/>
          <w:sz w:val="18"/>
          <w:szCs w:val="18"/>
          <w:color w:val="auto"/>
        </w:rPr>
        <w:t>ASU 2014-09 outlines a new, single comprehensive model for entities to use in accounting for revenue arising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Companies may use either a full retrospective or a modified retrospective approach to adopt ASU 2014-09. The Company has not yet completed its final review of the impact of this guidance; however the Company anticipates applying the modified retrospective method upon adoption of ASU 2014-09 on May 1, 2018. The impact to the Company could be affected by the nature and terms of potential future contracts with customers, as those contracts may have terms that differ from the company’s current contracts.</w:t>
      </w:r>
    </w:p>
    <w:p>
      <w:pPr>
        <w:spacing w:after="0" w:line="191" w:lineRule="exact"/>
        <w:rPr>
          <w:sz w:val="20"/>
          <w:szCs w:val="20"/>
          <w:color w:val="auto"/>
        </w:rPr>
      </w:pPr>
    </w:p>
    <w:p>
      <w:pPr>
        <w:jc w:val="both"/>
        <w:ind w:left="140" w:firstLine="513"/>
        <w:spacing w:after="0" w:line="257" w:lineRule="auto"/>
        <w:rPr>
          <w:sz w:val="20"/>
          <w:szCs w:val="20"/>
          <w:color w:val="auto"/>
        </w:rPr>
      </w:pPr>
      <w:r>
        <w:rPr>
          <w:rFonts w:ascii="Times New Roman" w:cs="Times New Roman" w:eastAsia="Times New Roman" w:hAnsi="Times New Roman"/>
          <w:sz w:val="18"/>
          <w:szCs w:val="18"/>
          <w:color w:val="auto"/>
        </w:rPr>
        <w:t xml:space="preserve">In August 2014, the FASB issued ASU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xml:space="preserve">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adopted ASU 2014-15 for the fiscal year 2017. The Company’s addition of the standard did not have a material impact on its disclosures. See section (b) “Liquidity/Going Concern” within Note (1) “Background and Liquidity” of these financial statements for further discussion on the Company’s ability to continue as a going concern.</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“Recognition and Measurement of Financial Assets and Financial Liabilities”,</w:t>
      </w:r>
      <w:r>
        <w:rPr>
          <w:rFonts w:ascii="Times New Roman" w:cs="Times New Roman" w:eastAsia="Times New Roman" w:hAnsi="Times New Roman"/>
          <w:sz w:val="18"/>
          <w:szCs w:val="18"/>
          <w:color w:val="auto"/>
        </w:rPr>
        <w:t xml:space="preserve"> which makes limited amendments to the guidance in U.S. GAAP on the classification and measurement of financial instruments. The update significantly revises an entity's accounting related to the classification and measurement of investments in equity securities and the presentation of certain fair value changes for financial liabilities measured at fair value. It also amends certain disclosure requirements associated with the fair value of financial instruments. The update will take effect for public companies for fiscal years beginning after December 15, 2017, including interim periods within those fiscal years. The Company will evaluate the effect of ASU 2016-01 for future periods as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8" w:name="page79"/>
    <w:bookmarkEnd w:id="7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evaluating the effect ASU 2016-02 will have on its consolidated financial statements and disclosures and has not yet determined the effect of the standard on its ongoing financial reporting at this time.</w:t>
      </w:r>
    </w:p>
    <w:p>
      <w:pPr>
        <w:spacing w:after="0" w:line="183" w:lineRule="exact"/>
        <w:rPr>
          <w:sz w:val="20"/>
          <w:szCs w:val="20"/>
          <w:color w:val="auto"/>
        </w:rPr>
      </w:pPr>
    </w:p>
    <w:p>
      <w:pPr>
        <w:jc w:val="both"/>
        <w:ind w:right="1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The amendments of ASU No. 2016-09 were issued as part of the FASB's Simplification initiative focused on improving areas of GAAP for which cost and complexity may be reduced while maintaining or improving the usefulness of information disclosed within the financial statements. The amendments focused on simplification specifically with regard to share-based payment transactions, including income tax consequences, classification of awards as equity or liabilities and classification on the statement of cash flows. The guidance in ASU No. 2016-09 is effective for fiscal years beginning after December 15, 2016, and interim periods within those annual periods. Early adoption is permitted. The Company will evaluate the effect of ASU 2016-09 for future periods as applicable.</w:t>
      </w:r>
    </w:p>
    <w:p>
      <w:pPr>
        <w:spacing w:after="0" w:line="183" w:lineRule="exact"/>
        <w:rPr>
          <w:sz w:val="20"/>
          <w:szCs w:val="20"/>
          <w:color w:val="auto"/>
        </w:rPr>
      </w:pPr>
    </w:p>
    <w:p>
      <w:pPr>
        <w:jc w:val="both"/>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 (Topic 230): Classification of Certain Cash Receipts and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Payments”, </w:t>
      </w:r>
      <w:r>
        <w:rPr>
          <w:rFonts w:ascii="Times New Roman" w:cs="Times New Roman" w:eastAsia="Times New Roman" w:hAnsi="Times New Roman"/>
          <w:sz w:val="18"/>
          <w:szCs w:val="18"/>
          <w:color w:val="auto"/>
        </w:rPr>
        <w:t>providing additional guidance on eight specific cash flow classification issues. The goal of the ASU is to reduce diversity in practice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classifying certain items. The amendments in the ASU are effective for fiscal years beginning after December 15, 2017, and interim periods within those fiscal years and early adoption is permitted. The Company is evaluating the effect ASU 2016-13 will have on its consolidated financial statements and disclosures and has determined the standard will have no impact on its ongoing financial reporting at this time.</w:t>
      </w:r>
    </w:p>
    <w:p>
      <w:pPr>
        <w:spacing w:after="0" w:line="180" w:lineRule="exact"/>
        <w:rPr>
          <w:sz w:val="20"/>
          <w:szCs w:val="20"/>
          <w:color w:val="auto"/>
        </w:rPr>
      </w:pPr>
    </w:p>
    <w:p>
      <w:pPr>
        <w:jc w:val="both"/>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xml:space="preserve"> providing additional guidance on specific restricted cash flow classification on the cash flow statement. Cash flow should include restricted cash in total cash, and an entity is required to provide a disclosure indicating the reconciliation of all cash accounts. The amendments in the ASU are effective for fiscal years beginning after December 15, 2017, and interim periods within those fiscal years and early adoption is permitted. The Company is evaluating the effect ASU 2016-18 will have on its consolidated financial statements and disclosures and believes the effect of the standard on its ongoing financial reporting will not have a material impact.</w:t>
      </w:r>
    </w:p>
    <w:p>
      <w:pPr>
        <w:spacing w:after="0" w:line="180" w:lineRule="exact"/>
        <w:rPr>
          <w:sz w:val="20"/>
          <w:szCs w:val="20"/>
          <w:color w:val="auto"/>
        </w:rPr>
      </w:pPr>
    </w:p>
    <w:p>
      <w:pPr>
        <w:ind w:right="120" w:firstLine="513"/>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2017-03, </w:t>
      </w:r>
      <w:r>
        <w:rPr>
          <w:rFonts w:ascii="Times New Roman" w:cs="Times New Roman" w:eastAsia="Times New Roman" w:hAnsi="Times New Roman"/>
          <w:sz w:val="18"/>
          <w:szCs w:val="18"/>
          <w:i w:val="1"/>
          <w:iCs w:val="1"/>
          <w:color w:val="auto"/>
        </w:rPr>
        <w:t>“Accounting Changes and Error Corrections (Topic 250) and Investments- Equity Method and 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Ventures (Topic 323</w:t>
      </w:r>
      <w:r>
        <w:rPr>
          <w:rFonts w:ascii="Times New Roman" w:cs="Times New Roman" w:eastAsia="Times New Roman" w:hAnsi="Times New Roman"/>
          <w:sz w:val="18"/>
          <w:szCs w:val="18"/>
          <w:color w:val="auto"/>
        </w:rPr>
        <w:t>)”, providing guidance on how a company should evaluate ASUs that have not yet been adopted to determine the appropriate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disclosures about the potential material effects of those ASUs on the financial statements when adopted. The Company is currently evaluating the effect ASU 2017-03 will have on its consolidated financial statements and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Marketable securities with initial maturities greater than three months but that mature within one year from the balance sheet date are classified as current assets and are summarized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April 30, 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28"/>
        </w:trPr>
        <w:tc>
          <w:tcPr>
            <w:tcW w:w="6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72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198"/>
        </w:trPr>
        <w:tc>
          <w:tcPr>
            <w:tcW w:w="6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50"/>
        </w:trPr>
        <w:tc>
          <w:tcPr>
            <w:tcW w:w="66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3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Pr>
          <w:p>
            <w:pPr>
              <w:spacing w:after="0"/>
              <w:rPr>
                <w:sz w:val="21"/>
                <w:szCs w:val="21"/>
                <w:color w:val="auto"/>
              </w:rPr>
            </w:pPr>
          </w:p>
        </w:tc>
      </w:tr>
      <w:tr>
        <w:trPr>
          <w:trHeight w:val="872"/>
        </w:trPr>
        <w:tc>
          <w:tcPr>
            <w:tcW w:w="6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82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F-18</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05"/>
        </w:trPr>
        <w:tc>
          <w:tcPr>
            <w:tcW w:w="6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61"/>
        </w:trPr>
        <w:tc>
          <w:tcPr>
            <w:tcW w:w="660" w:type="dxa"/>
            <w:vAlign w:val="bottom"/>
            <w:shd w:val="clear" w:color="auto" w:fill="808080"/>
          </w:tcPr>
          <w:p>
            <w:pPr>
              <w:spacing w:after="0"/>
              <w:rPr>
                <w:sz w:val="5"/>
                <w:szCs w:val="5"/>
                <w:color w:val="auto"/>
              </w:rPr>
            </w:pPr>
          </w:p>
        </w:tc>
        <w:tc>
          <w:tcPr>
            <w:tcW w:w="3220" w:type="dxa"/>
            <w:vAlign w:val="bottom"/>
            <w:shd w:val="clear" w:color="auto" w:fill="808080"/>
          </w:tcPr>
          <w:p>
            <w:pPr>
              <w:spacing w:after="0"/>
              <w:rPr>
                <w:sz w:val="5"/>
                <w:szCs w:val="5"/>
                <w:color w:val="auto"/>
              </w:rPr>
            </w:pPr>
          </w:p>
        </w:tc>
        <w:tc>
          <w:tcPr>
            <w:tcW w:w="36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1" w:right="199" w:bottom="1440" w:gutter="0" w:footer="0" w:header="0"/>
        </w:sectPr>
      </w:pPr>
    </w:p>
    <w:bookmarkStart w:id="79" w:name="page80"/>
    <w:bookmarkEnd w:id="7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property and equipment as of April 30, 2017 and 2016 consisted of the following:</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April 30, 2017</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April 30, 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64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98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Equipment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under capitalized lease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5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(1,636)</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$0.1 million and $0.1 million for the years ended April 30, 2017 and 2016, respectively.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April 30, 2017 and 2016, computer equipment and software under capital leases was $103 thousand and $99 thousand, respectively. The terms of the leases are for 36 months. Future minimum lease payments under capital leases together with the present value of the net minimum lease payments as of April 30, 2017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20" w:type="dxa"/>
            <w:vAlign w:val="bottom"/>
            <w:gridSpan w:val="7"/>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April 30, 2017</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tcBorders>
              <w:top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20" w:type="dxa"/>
            <w:vAlign w:val="bottom"/>
            <w:vMerge w:val="restart"/>
          </w:tcPr>
          <w:p>
            <w:pPr>
              <w:spacing w:after="0"/>
              <w:rPr>
                <w:sz w:val="17"/>
                <w:szCs w:val="17"/>
                <w:color w:val="auto"/>
              </w:rPr>
            </w:pPr>
          </w:p>
        </w:tc>
        <w:tc>
          <w:tcPr>
            <w:tcW w:w="340" w:type="dxa"/>
            <w:vAlign w:val="bottom"/>
            <w:vMerge w:val="restart"/>
          </w:tcPr>
          <w:p>
            <w:pPr>
              <w:spacing w:after="0"/>
              <w:rPr>
                <w:sz w:val="17"/>
                <w:szCs w:val="17"/>
                <w:color w:val="auto"/>
              </w:rPr>
            </w:pPr>
          </w:p>
        </w:tc>
        <w:tc>
          <w:tcPr>
            <w:tcW w:w="6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future minimum lease payments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45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160" w:type="dxa"/>
            <w:vAlign w:val="bottom"/>
            <w:shd w:val="clear" w:color="auto" w:fill="CCEEFF"/>
          </w:tcPr>
          <w:p>
            <w:pPr>
              <w:spacing w:after="0"/>
              <w:rPr>
                <w:sz w:val="20"/>
                <w:szCs w:val="20"/>
                <w:color w:val="auto"/>
              </w:rPr>
            </w:pPr>
          </w:p>
        </w:tc>
        <w:tc>
          <w:tcPr>
            <w:tcW w:w="1420" w:type="dxa"/>
            <w:vAlign w:val="bottom"/>
            <w:tcBorders>
              <w:right w:val="single" w:sz="8" w:color="CCEEFF"/>
            </w:tcBorders>
            <w:gridSpan w:val="2"/>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April 30, 2017</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(in</w:t>
            </w:r>
          </w:p>
        </w:tc>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68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14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loss reserve</w:t>
            </w: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incentive payments</w:t>
            </w:r>
          </w:p>
        </w:tc>
        <w:tc>
          <w:tcPr>
            <w:tcW w:w="1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1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taxes payable</w:t>
            </w: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5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2014, the Company entered into an Executive Transition Agreement with George W. Taylor, who was formerly employed by the Company as Executive Vice Chairman and served on the Company’s Board of Directors prior to that date. Under this agreement, Dr. Taylor received fifteen months of consulting fees at a monthly rate of $20,000. During fiscal 2016, the Company recorded $53 thousand in expense relating to this agreement, which was recorded in “selling, general and administrative expense” in the consolidated statements of operations. There were no such amounts recorded during the year ended April 30, 2017.</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80" w:name="page81"/>
    <w:bookmarkEnd w:id="8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was awarded a recoverable grant totaling $0.5 million, between April 2009 and June 2010,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annually assign to the NJBPU a certificate of deposit in an amount equal to the outstanding grant balance. As of April 30, 2016 the Company had $50 thousand outstanding and the respective $50 thousand certificate of deposit was recorded within “Restricted cash” on the balance sheet. As of April 30, 2017, the grant was fully repaid, and therefore, there is no balance outstanding and no respective certificate of deposit assigned to restricted cash. See Note 2(f) “Summary of Significant Accounting Policies - Restricted Cash and Credit Facility” for more information regarding the certificate of deposit.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Deferred Credits Payable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year ended April 30, 2001, in connection with the sale of Common Stock to an investor, the Company received $0.6 million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$0.6 million, less the aggregate discount on any emission credits sold to the investor prior to such date. In December 2012, the Company and the investor agreed to extend the period for the sale of emission credits until December 31, 2017. As of April 30, 2017, the Company has not generated any emissions credits eligible for purchase under the agreement. The $0.6 million is reflected on the balance sheet within “Deferred credits payable current” and “Deferred credits payable non-current” as of April 30, 2017 and 2016,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Warrants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warrants have an exercise price of $6.08 per share, became exercisable on December 3, 2016 (“Initial Exercise Date”), and will expire five years following the Initial Exercise Date.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Warrants were exercisable immediately at an exercise price of $9.36 per share. The Warrants will expire on the fifth (5th) anniversary of the initial date of issuance.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warrants contain a feature whereby they could require the transfer of assets and therefore are classified as a liability in accordance with ASC</w:t>
      </w:r>
    </w:p>
    <w:p>
      <w:pPr>
        <w:spacing w:after="0" w:line="27" w:lineRule="exact"/>
        <w:rPr>
          <w:sz w:val="20"/>
          <w:szCs w:val="20"/>
          <w:color w:val="auto"/>
        </w:rPr>
      </w:pPr>
    </w:p>
    <w:p>
      <w:pPr>
        <w:ind w:firstLine="8"/>
        <w:spacing w:after="0" w:line="261" w:lineRule="auto"/>
        <w:tabs>
          <w:tab w:leader="none" w:pos="3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such, the warrants with a value of $0.3 million at April 30, 2017 are reflected within “warrant liabilities” in the consolidated balance sheets. There were no such amounts at April 30, 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1" w:name="page82"/>
    <w:bookmarkEnd w:id="8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unrealized (loss)/gain of $1.5 million, was included within “ Change in fair value of warrant liabilities” in the consolidated statements of operations for the year ended April 30, 2017, respectively. There were no unrealized gains or losses during the twelve months ended April 30, 2016. The Company determined the fair value using the Black-Scholes option pricing model with the following assumptions: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April 30, 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6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141.3%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2015, the Company’s stockholders approved and the Board of Directors authorized a reverse stock split in which every 10 shares of issued and outstanding Common Stock were combined into one issued and outstanding share of Common Stock, with no fractional shares being issued. All shares and per-share information has been retroactively restated to give effect to the reverse stock split for all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Preferred Stock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authorized 5,000,000 shares of undesignated preferred stock with a par value of $0.001 per share. As of April 30, 2017, and 2016, no shares of preferred stock had been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2001, the Company approved the 2001 Stock Plan, which provides for the grant of incentive stock options and nonqualified stock options. A total of 100,000 shares were authorized for issuance under the 2001 Stock Plan. As of April 30, 2017, the Company had no shares outstanding under the 2001 Stock Plan.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2007, the Company's 2006 Stock Incentive Plan became effective. A total of 80,321 shares were authorized for issuance under the 2006 Stock Incentive Plan. In 2009, an amendment to the 2006 Stock Incentive Plan was approved by the Company’s stockholders, increasing the aggregate number of shares authorized for issuance by 85,000 shares to 165,321. On October 2, 2013, a further amendment to the 2006 Stock Incentive Plan was approved by the Company’s stockholders, increasing the aggregate number of shares authorized for issuance by an additional 80,000 shares to 245,321. The Company's employees, officers, directors, consultants and advisors were eligible to receive awards under the 2006 Stock Incentive Plan; however, incentive stock options may only be granted to employees. The maximum number of shares of Common Stock with respect to which awards may be granted to any participant under the 2006 Stock Incentive Plan was 20,000 per calendar year. Vesting provisions of stock options are determined by the board of directors. The contractual term of these stock options is up to ten years. The 2006 Stock Incentive Plan was administered by the Company's board of directors, who were authorized to delegate authority to one or more committees or subcommittees of the board of directors or to the Company's officers. The 2006 Stock Incentive Plan was terminated in December 2015 and unused shares in that Plan were transferred to the 2015 Omnibus Incentive Plan.</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2015, upon approval by the Company’s stockholders, the Company’s 2015 Omnibus Incentive Plan (the “2015 Plan”) became effective. A total of 240,703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On October 21, 2016 upon approval by the Company’s stockholders the Company increased the number of shares authorized for issuance to 640,703. If any award under the 2006 Stock Incentive Plan or 2015 Plan expires, is cancelled, terminates unexercised or is forfeited, those shares become again available for grant under the 2015 Plan. As of April 30, 2017, the Company has 322,305 shares available for future issuance under the 2015 plan.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2" w:name="page83"/>
    <w:bookmarkEnd w:id="8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2015 Plan provides for the grant of stock options, SARs, restricted stock awards, stock unit awards and unrestricted stock awards, dividend equivalent rights, performance share awards or other performance-based awards, other equity-based awards or cash to eligible employees, officers and non-employee directors of the Company or any affiliate of the Company, or any consultant or adviser to the Company. The maximum number of shares of stock subject to Awards that can be granted under the 2015 Plan in any one calendar year to any person, other than a non-employee director, is 75,000. However, incentive stock options may only be granted to employees. The limitation on the amount of shares of stock issuable under the 2015 Plan is subject to adjustment in the event of certain changes in the Company’s capital stock, such as recapitalizations, reclassifications, stock splits, reverse stock splits, spin-offs, combinations of our stock, exchanges of the Company’s stock and other increases or decreases in the Company’s stock without receipt of consideration.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2015 Plan will terminate ten years after its effective date, in October 2025, but is subject to earlier termination as provided in the 2015 Plan.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dividend equivalent right is an award entitling the recipient to receive credits based on cash distributions that would have been paid to the recipient on the shares of Common Stock specified in the dividend equivalent right if such shares had been issued to and held by the recipient of the dividend equivalent right as of the record date. A dividend equivalent right may be granted to any grantee under the 2015 Plan, but may not be granted in connection with or related to an award of options or SARs under the 2015 Plan. The terms and conditions of any dividend equivalent right shall be as set forth in the award agreement relating to such right. Unless the committee administering the 2015 Plan otherwise provides in an award agreement, a grantee’s rights in all dividend equivalent rights will automatically terminate upon the grantee’s termination of service with the Company.</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Performance-based awards may be granted by the committee administering the 2015 Plan in such amounts and upon such terms as the committee administering the 2015 Plan determines. Generally, performance-based awards will have an actual or target number of shares of Common Stock or initial value that is set by the committee at the time of grant. The committee administering the 2015 Plan has the discretion to set performance goals which, depending on the extent to which they are achieved, will determine the value and/or the number of shares of Common stock subject to a performance-based award that will be paid out to the grantee. The right of a grantee to exercise or receive a grant or settlement of any performance-based award, and the timing thereof, will be subject to the performance conditions specified by the committee, and will entitle the grantee to receive cash or shares of our Common Stock upon the attainment of the specified performance goals over a specified performance period.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in connection with a corporate transaction in which the Company is involved, without obtaining stockholder approval, the 2015 Plan may not be amended to reduce the exercise price of such outstanding options or SARs, cancel outstanding options or SARs in exchange for or in substitution of options or SARs with an exercise price that is less than the exercise price of the original options or SARs, or cancel outstanding options or SARs with an exercise price above the current stock price in exchange for cash or other securities.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3" w:name="page84"/>
    <w:bookmarkEnd w:id="8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 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stock options under the plans described above is as follows:</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left="313"/>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514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Pr>
          <w:p>
            <w:pPr>
              <w:jc w:val="center"/>
              <w:ind w:left="313"/>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16"/>
        </w:trPr>
        <w:tc>
          <w:tcPr>
            <w:tcW w:w="514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120" w:type="dxa"/>
            <w:vAlign w:val="bottom"/>
          </w:tcPr>
          <w:p>
            <w:pPr>
              <w:jc w:val="center"/>
              <w:ind w:left="313"/>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Term</w:t>
            </w:r>
          </w:p>
        </w:tc>
      </w:tr>
      <w:tr>
        <w:trPr>
          <w:trHeight w:val="238"/>
        </w:trPr>
        <w:tc>
          <w:tcPr>
            <w:tcW w:w="514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120" w:type="dxa"/>
            <w:vAlign w:val="bottom"/>
          </w:tcPr>
          <w:p>
            <w:pPr>
              <w:jc w:val="center"/>
              <w:ind w:left="313"/>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 Years)</w:t>
            </w: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2016</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89,303</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42.90</w:t>
            </w:r>
          </w:p>
        </w:tc>
        <w:tc>
          <w:tcPr>
            <w:tcW w:w="18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(23,838)</w:t>
            </w:r>
          </w:p>
        </w:tc>
        <w:tc>
          <w:tcPr>
            <w:tcW w:w="1120" w:type="dxa"/>
            <w:vAlign w:val="bottom"/>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30.38</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171,749</w:t>
            </w:r>
          </w:p>
        </w:tc>
        <w:tc>
          <w:tcPr>
            <w:tcW w:w="220" w:type="dxa"/>
            <w:vAlign w:val="bottom"/>
          </w:tcPr>
          <w:p>
            <w:pPr>
              <w:spacing w:after="0"/>
              <w:rPr>
                <w:sz w:val="18"/>
                <w:szCs w:val="18"/>
                <w:color w:val="auto"/>
              </w:rPr>
            </w:pPr>
          </w:p>
        </w:tc>
        <w:tc>
          <w:tcPr>
            <w:tcW w:w="1120" w:type="dxa"/>
            <w:vAlign w:val="bottom"/>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2017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237,214</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14.64</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197"/>
        </w:trPr>
        <w:tc>
          <w:tcPr>
            <w:tcW w:w="5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April 30, 2017</w:t>
            </w: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134,381</w:t>
            </w:r>
          </w:p>
        </w:tc>
        <w:tc>
          <w:tcPr>
            <w:tcW w:w="220" w:type="dxa"/>
            <w:vAlign w:val="bottom"/>
          </w:tcPr>
          <w:p>
            <w:pPr>
              <w:spacing w:after="0"/>
              <w:rPr>
                <w:sz w:val="17"/>
                <w:szCs w:val="17"/>
                <w:color w:val="auto"/>
              </w:rPr>
            </w:pPr>
          </w:p>
        </w:tc>
        <w:tc>
          <w:tcPr>
            <w:tcW w:w="1120" w:type="dxa"/>
            <w:vAlign w:val="bottom"/>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w w:val="98"/>
              </w:rPr>
              <w:t>23.55</w:t>
            </w:r>
          </w:p>
        </w:tc>
        <w:tc>
          <w:tcPr>
            <w:tcW w:w="16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5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April 30, 2017, the total intrinsic value of outstanding and exercisable options was approximately $5 thousand and $4 thousand, respectively. As of April 30, 2017, approximately 101,262 additional options were unvested, which options had no intrinsic value and a weighted-average remaining contractual term of 9.4 years. There was approximately $0.3 million and $0.1 million of total recognized compensation cost related to employees for stock options during the years ended April 30, 2017 and 2016, respectively. As of April 30, 2017, there was approximately $0.2 million of total unrecognized compensation cost related to non-vested stock options granted under the plans. This cost is expected to be recognized over a weighted-average period of 0.5 years. The Company typically issues newly authorized but unissued shares to satisfy option exercises under these plans.</w:t>
      </w:r>
    </w:p>
    <w:p>
      <w:pPr>
        <w:spacing w:after="0" w:line="4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 Restricted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Compensation expense for non-vested restricted stock is generally recorded based on its market value on the date of grant and recognized ratably over the associated service and performance period. During fiscal 2017, the Company granted 223,662 shares subject to service-based vesting requirements and no shares subject to performance-based vesting requirements. The achievement or vesting requirement of the performance-based grants is tied to the Company’s total shareholder return (TSR) relative to the total shareholder return of three alternative energy Exchange Traded Funds as measured over a specific performance period. No vesting of the relevant shares will occur in instances where the Company’s TSR for the relevant period is below 80% of the peer group. However, additional opportunities to vest some or all of a portion of the shares in a subsequent period may occur. Compensation expense for these awards with market-based vesting is calculated based on the estimated fair value as of the grant date utilizing a Monte Carlo simulation model and is recognized over the service period on a straight-line basis.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2016, the Board of Directors authorized a modification to certain outstanding restricted stock grants, which converted certain grants with performance-based grants to service based grants. The modification of the restricted stock grants did not have a material impact on the Company’s statement of operations for the fiscal year ended April 30, 2017. Restricted stock issued and unvested at April 30, 2017 included 12,000 shares of unvested restricted stock subjected to performance-based vesting requirements.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4" w:name="page85"/>
    <w:bookmarkEnd w:id="84"/>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summary of unvested restricted stock under the plans described above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Issued and unvested at April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-119380</wp:posOffset>
            </wp:positionV>
            <wp:extent cx="651764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-130810</wp:posOffset>
            </wp:positionV>
            <wp:extent cx="651764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82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51764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Issued and unvested at April 30,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7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Price per</w:t>
            </w:r>
          </w:p>
        </w:tc>
      </w:tr>
      <w:tr>
        <w:trPr>
          <w:trHeight w:val="238"/>
        </w:trPr>
        <w:tc>
          <w:tcPr>
            <w:tcW w:w="1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407"/>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44,008</w:t>
            </w:r>
          </w:p>
        </w:tc>
        <w:tc>
          <w:tcPr>
            <w:tcW w:w="140" w:type="dxa"/>
            <w:vAlign w:val="bottom"/>
          </w:tcPr>
          <w:p>
            <w:pPr>
              <w:spacing w:after="0"/>
              <w:rPr>
                <w:sz w:val="24"/>
                <w:szCs w:val="24"/>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223,662</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(28,266)</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4"/>
        </w:trPr>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(135,992)</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10"/>
        </w:trPr>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103,412</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980" w:space="720"/>
            <w:col w:w="3720"/>
          </w:cols>
          <w:pgMar w:left="240" w:top="111" w:right="2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approximately $0.9 million and $0.1 million of total recognized compensation cost relating to restricted stock granted to employees during the years ended April 30, 2017 and 2016, respectively. As of April 30, 2017, there was $27 thousand of total unrecognized compensation cost related to unvested restricted stock granted under the plans. This cost is expected to be recognized over a weighted-average period of 0.5 years.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  Treasury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April 30, 2017 and 2016, 41,171 and 3,029 shares of Common Stock, respectively, were purchased by the Company from employees to pay taxes related to the vesting of restricted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pacing w:after="0" w:line="1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27" w:lineRule="exact"/>
        <w:rPr>
          <w:sz w:val="20"/>
          <w:szCs w:val="20"/>
          <w:color w:val="auto"/>
        </w:rPr>
      </w:pPr>
    </w:p>
    <w:p>
      <w:pPr>
        <w:ind w:left="1120" w:right="320"/>
        <w:spacing w:after="0" w:line="261" w:lineRule="auto"/>
        <w:rPr>
          <w:sz w:val="20"/>
          <w:szCs w:val="20"/>
          <w:color w:val="auto"/>
        </w:rPr>
      </w:pPr>
      <w:r>
        <w:rPr>
          <w:rFonts w:ascii="Times New Roman" w:cs="Times New Roman" w:eastAsia="Times New Roman" w:hAnsi="Times New Roman"/>
          <w:sz w:val="18"/>
          <w:szCs w:val="18"/>
          <w:color w:val="auto"/>
        </w:rPr>
        <w:t>Active markets are considered to be those in which transactions for the assets or liabilities occur in sufficient frequency and volume to provide pricing information on an ongoing basis.</w:t>
      </w:r>
    </w:p>
    <w:p>
      <w:pPr>
        <w:spacing w:after="0" w:line="18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 of</w:t>
      </w:r>
    </w:p>
    <w:p>
      <w:pPr>
        <w:spacing w:after="0" w:line="27" w:lineRule="exact"/>
        <w:rPr>
          <w:sz w:val="20"/>
          <w:szCs w:val="20"/>
          <w:color w:val="auto"/>
        </w:rPr>
      </w:pPr>
    </w:p>
    <w:p>
      <w:pPr>
        <w:ind w:left="1120" w:right="320"/>
        <w:spacing w:after="0" w:line="261" w:lineRule="auto"/>
        <w:rPr>
          <w:sz w:val="20"/>
          <w:szCs w:val="20"/>
          <w:color w:val="auto"/>
        </w:rPr>
      </w:pPr>
      <w:r>
        <w:rPr>
          <w:rFonts w:ascii="Times New Roman" w:cs="Times New Roman" w:eastAsia="Times New Roman" w:hAnsi="Times New Roman"/>
          <w:sz w:val="18"/>
          <w:szCs w:val="18"/>
          <w:color w:val="auto"/>
        </w:rPr>
        <w:t>the asset or liability. This category includes quoted prices for similar assets or liabilities in active markets and quoted prices for identical or similar assets or liabilities in inactive markets.</w:t>
      </w:r>
    </w:p>
    <w:p>
      <w:pPr>
        <w:spacing w:after="0" w:line="18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are not corroborated by market data. This category is comprised of financial and non-financial assets and liabilities</w:t>
      </w:r>
    </w:p>
    <w:p>
      <w:pPr>
        <w:spacing w:after="0" w:line="27" w:lineRule="exact"/>
        <w:rPr>
          <w:sz w:val="20"/>
          <w:szCs w:val="20"/>
          <w:color w:val="auto"/>
        </w:rPr>
      </w:pPr>
    </w:p>
    <w:p>
      <w:pPr>
        <w:ind w:left="1120" w:right="320"/>
        <w:spacing w:after="0" w:line="261" w:lineRule="auto"/>
        <w:rPr>
          <w:sz w:val="20"/>
          <w:szCs w:val="20"/>
          <w:color w:val="auto"/>
        </w:rPr>
      </w:pPr>
      <w:r>
        <w:rPr>
          <w:rFonts w:ascii="Times New Roman" w:cs="Times New Roman" w:eastAsia="Times New Roman" w:hAnsi="Times New Roman"/>
          <w:sz w:val="18"/>
          <w:szCs w:val="18"/>
          <w:color w:val="auto"/>
        </w:rPr>
        <w:t>whose fair value is estimated based on internally developed models or methodologies using significant inputs that are generally less readily observable from objective sources.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Transfers into or out of any hierarchy level are recognized at the end of the reporting period in which the transfers occurred. There were no transfers between any levels during the year ended April 30, 2017 and 2016.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information is provided to help readers gain an understanding of the relationship between amounts reported in the accompanying consolidated financial statements and the related market or fair value. The disclosures include financial instruments and derivative financial instruments, other than investment in affiliates.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85" w:name="page86"/>
    <w:bookmarkEnd w:id="8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 Liabilities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Company's warrant liabilities (refer to Note 9) recorded in the Company's financial statements is determined using the Black-Scholes option pricing model and the quoted price of the Company's common stock in an active market, volatility and expected life, is a Level 3 measurement. Volatility is based on the actual market activity of the Company's stock. The expected life is based on the remaining contractual term of the warrants and the risk free interest rate is based on the implied yield available on U.S. Treasury Securities with a maturity equivalent to the warrants' expected life.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financial assets and liabilities measured at fair value on a recurring basis as of April 30, 2017:</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 Carrying</w:t>
            </w:r>
          </w:p>
        </w:tc>
        <w:tc>
          <w:tcPr>
            <w:tcW w:w="18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active markets for</w:t>
            </w:r>
          </w:p>
        </w:tc>
        <w:tc>
          <w:tcPr>
            <w:tcW w:w="15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2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Value in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identical assts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r>
      <w:tr>
        <w:trPr>
          <w:trHeight w:val="216"/>
        </w:trPr>
        <w:tc>
          <w:tcPr>
            <w:tcW w:w="2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38"/>
        </w:trPr>
        <w:tc>
          <w:tcPr>
            <w:tcW w:w="2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28"/>
        </w:trPr>
        <w:tc>
          <w:tcPr>
            <w:tcW w:w="2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(in</w:t>
            </w: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860" w:type="dxa"/>
            <w:vAlign w:val="bottom"/>
          </w:tcPr>
          <w:p>
            <w:pPr>
              <w:spacing w:after="0"/>
              <w:rPr>
                <w:sz w:val="17"/>
                <w:szCs w:val="17"/>
                <w:color w:val="auto"/>
              </w:rPr>
            </w:pPr>
          </w:p>
        </w:tc>
        <w:tc>
          <w:tcPr>
            <w:tcW w:w="1700" w:type="dxa"/>
            <w:vAlign w:val="bottom"/>
            <w:gridSpan w:val="2"/>
          </w:tcPr>
          <w:p>
            <w:pPr>
              <w:spacing w:after="0"/>
              <w:rPr>
                <w:sz w:val="17"/>
                <w:szCs w:val="17"/>
                <w:color w:val="auto"/>
              </w:rPr>
            </w:pPr>
          </w:p>
        </w:tc>
        <w:tc>
          <w:tcPr>
            <w:tcW w:w="150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gridSpan w:val="3"/>
          </w:tcPr>
          <w:p>
            <w:pPr>
              <w:spacing w:after="0"/>
              <w:rPr>
                <w:sz w:val="17"/>
                <w:szCs w:val="17"/>
                <w:color w:val="auto"/>
              </w:rPr>
            </w:pPr>
          </w:p>
        </w:tc>
        <w:tc>
          <w:tcPr>
            <w:tcW w:w="1560" w:type="dxa"/>
            <w:vAlign w:val="bottom"/>
            <w:gridSpan w:val="3"/>
          </w:tcPr>
          <w:p>
            <w:pPr>
              <w:spacing w:after="0"/>
              <w:rPr>
                <w:sz w:val="17"/>
                <w:szCs w:val="17"/>
                <w:color w:val="auto"/>
              </w:rPr>
            </w:pPr>
          </w:p>
        </w:tc>
        <w:tc>
          <w:tcPr>
            <w:tcW w:w="1380" w:type="dxa"/>
            <w:vAlign w:val="bottom"/>
            <w:gridSpan w:val="2"/>
          </w:tcPr>
          <w:p>
            <w:pPr>
              <w:spacing w:after="0"/>
              <w:rPr>
                <w:sz w:val="17"/>
                <w:szCs w:val="17"/>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323</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the fair value of the warrant liabilities during the year ended April 30, 2017;</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Fair Value Measurement Using Significant Unobservable Inputs ( Level 3)</w:t>
            </w:r>
          </w:p>
        </w:tc>
        <w:tc>
          <w:tcPr>
            <w:tcW w:w="1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Warrant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160" w:type="dxa"/>
            <w:vAlign w:val="bottom"/>
          </w:tcPr>
          <w:p>
            <w:pPr>
              <w:spacing w:after="0"/>
              <w:rPr>
                <w:sz w:val="17"/>
                <w:szCs w:val="17"/>
                <w:color w:val="auto"/>
              </w:rPr>
            </w:pPr>
          </w:p>
        </w:tc>
        <w:tc>
          <w:tcPr>
            <w:tcW w:w="6400" w:type="dxa"/>
            <w:vAlign w:val="bottom"/>
            <w:gridSpan w:val="2"/>
          </w:tcPr>
          <w:p>
            <w:pPr>
              <w:spacing w:after="0"/>
              <w:rPr>
                <w:sz w:val="17"/>
                <w:szCs w:val="17"/>
                <w:color w:val="auto"/>
              </w:rPr>
            </w:pPr>
          </w:p>
        </w:tc>
        <w:tc>
          <w:tcPr>
            <w:tcW w:w="16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April 30, 2016</w:t>
            </w:r>
          </w:p>
        </w:tc>
        <w:tc>
          <w:tcPr>
            <w:tcW w:w="6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p>
        </w:tc>
        <w:tc>
          <w:tcPr>
            <w:tcW w:w="6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w:t>
            </w:r>
          </w:p>
        </w:tc>
        <w:tc>
          <w:tcPr>
            <w:tcW w:w="6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6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April 30, 2017</w:t>
            </w:r>
          </w:p>
        </w:tc>
        <w:tc>
          <w:tcPr>
            <w:tcW w:w="6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 for the years ended April 30, 2017 and 2016 consisted of the following components:</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74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18"/>
                <w:szCs w:val="18"/>
                <w:color w:val="auto"/>
              </w:rPr>
            </w:pPr>
          </w:p>
        </w:tc>
        <w:tc>
          <w:tcPr>
            <w:tcW w:w="1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income tax benefit for the years ended April 30, 2017 and 2016 consist of state income tax benefits of $0.7 million and $1.7 million, respectively, from the sale of New Jersey net operating losses and research and development credits.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6" w:name="page87"/>
    <w:bookmarkEnd w:id="8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Rate Reconciliation</w:t>
      </w:r>
    </w:p>
    <w:p>
      <w:pPr>
        <w:spacing w:after="0" w:line="229"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The effective income tax rate differed from the percentages computed by applying the US federal income tax rate of 34% to loss before income taxes as a result of the following:</w:t>
      </w:r>
    </w:p>
    <w:p>
      <w:pPr>
        <w:spacing w:after="0" w:line="212"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1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April 30, 2017</w:t>
            </w:r>
          </w:p>
        </w:tc>
        <w:tc>
          <w:tcPr>
            <w:tcW w:w="260" w:type="dxa"/>
            <w:vAlign w:val="bottom"/>
          </w:tcPr>
          <w:p>
            <w:pPr>
              <w:spacing w:after="0"/>
              <w:rPr>
                <w:sz w:val="20"/>
                <w:szCs w:val="20"/>
                <w:color w:val="auto"/>
              </w:rPr>
            </w:pPr>
          </w:p>
        </w:tc>
        <w:tc>
          <w:tcPr>
            <w:tcW w:w="1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April 30, 2016</w:t>
            </w:r>
          </w:p>
        </w:tc>
        <w:tc>
          <w:tcPr>
            <w:tcW w:w="160" w:type="dxa"/>
            <w:vAlign w:val="bottom"/>
          </w:tcPr>
          <w:p>
            <w:pPr>
              <w:spacing w:after="0"/>
              <w:rPr>
                <w:sz w:val="20"/>
                <w:szCs w:val="20"/>
                <w:color w:val="auto"/>
              </w:rPr>
            </w:pPr>
          </w:p>
        </w:tc>
      </w:tr>
      <w:tr>
        <w:trPr>
          <w:trHeight w:val="210"/>
        </w:trPr>
        <w:tc>
          <w:tcPr>
            <w:tcW w:w="658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Increase(reduction) in income taxes resulting from:</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research and development tax credits</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of sale of New Jersey tax benefits</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658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65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Components of Deferred Taxes</w:t>
      </w:r>
    </w:p>
    <w:p>
      <w:pPr>
        <w:spacing w:after="0" w:line="229"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and carry forwards that give rise to the Company's deferred tax assets and deferred tax liabilities are presented below.</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720" w:type="dxa"/>
            <w:vAlign w:val="bottom"/>
            <w:gridSpan w:val="4"/>
          </w:tcPr>
          <w:p>
            <w:pPr>
              <w:jc w:val="right"/>
              <w:ind w:right="101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44,355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operating loss carryforwards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and New Jersey research and development tax credits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deferred tax assets before valuation allowance</w:t>
            </w:r>
          </w:p>
        </w:tc>
        <w:tc>
          <w:tcPr>
            <w:tcW w:w="160" w:type="dxa"/>
            <w:vAlign w:val="bottom"/>
          </w:tcPr>
          <w:p>
            <w:pPr>
              <w:spacing w:after="0"/>
              <w:rPr>
                <w:sz w:val="18"/>
                <w:szCs w:val="18"/>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54,709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 forwards become deductible or are utilized. As of April 30, 2017 and 2016, based upon the level of historical taxable losses, valuation allowances of $54.7 million and $52.6 million, respectively, were recorded to fully offset deferred tax assets. The valuation allowance increased $2.1 million and $1.8 during the years ended April 30,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80"/>
          </w:cols>
          <w:pgMar w:left="240" w:top="112" w:right="179" w:bottom="1440" w:gutter="0" w:footer="0" w:header="0"/>
        </w:sectPr>
      </w:pPr>
    </w:p>
    <w:bookmarkStart w:id="87" w:name="page88"/>
    <w:bookmarkEnd w:id="8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April 30, 2017, the Company had net operating loss carry forwards for federal income tax purposes of approximately $130.5 million, which begin to expire in fiscal 2019. The Company also had federal research and development tax credit carry forwards of approximately $2.8 million as of April 30, 2017, which begins to expire in 2019. The Tax Reform Act of 1986 contains provisions that limit the utilization of net operating loss and tax credit carry forwards if there has been an ownership change, as defined. The Company has determined that such an ownership change, as described in Section 382 of the Internal Revenue Code, occurred in conjunction with the Company's U.S. initial public offering in April 2007. The Company's annual Section 382 limitation is approximately $3.3 million. The Section 382 limitation is cumulative from year to year, and thus, to the extent net operating loss or other credit carry forwards are not utilized up to the amount of the available annual limitation, the limitation is carried forward and added to the following year's available limitation. Such limitation only applies to net operating losses incurred in periods prior to the ownership change. The Company has not performed additional analysis on ownership changes that may have occurred subsequently to further limit the ability to utilize net tax attributes. As of April 30, 2017, the Company had state net operating loss carry forwards of approximately $21.6 million which begin to expire in 2019, which also may be limited to utilization limitations. As of April 30, 2017, the Company had foreign net operating loss carry forwards of approximately $16.9 million. The ability to utilize these carry forwards may also be limited in the event of a significant change to ownership.</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April 30, 2017 and 2016, the Company sold New Jersey State net operating losses in the amount of $7.8 million and $19.7 million, respectively, resulting in the recognition of income tax benefits of $0.7 million and $1.7 million, respectively, recorded in the Company’s Statement of Operations.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We are currently undergoing an income tax audit in Spain for the period from 2008 to 2014, when our Spanish branch was closed. The branch reported net operating losses for each of the years reported. It is anticipated that we will be assessed a penalty relating to these tax years for these losses. We have estimated this penalty to be $132 thousand, and as such, for the period ended April 30, 2017, we have recorded $132 thousand for this penalty to Selling, general and administrative costs in the Statement of Operations. At April 30, 2017 and 2016,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any interest or penalties accrued related to uncertain tax positions as it does not have any unrecognized tax benefits.</w:t>
      </w:r>
    </w:p>
    <w:p>
      <w:pPr>
        <w:spacing w:after="0" w:line="221" w:lineRule="exact"/>
        <w:rPr>
          <w:sz w:val="20"/>
          <w:szCs w:val="20"/>
          <w:color w:val="auto"/>
        </w:rPr>
      </w:pPr>
    </w:p>
    <w:p>
      <w:pPr>
        <w:ind w:left="440" w:hanging="432"/>
        <w:spacing w:after="0"/>
        <w:tabs>
          <w:tab w:leader="none" w:pos="4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rFonts w:ascii="Times New Roman" w:cs="Times New Roman" w:eastAsia="Times New Roman" w:hAnsi="Times New Roman"/>
          <w:sz w:val="18"/>
          <w:szCs w:val="18"/>
          <w:b w:val="1"/>
          <w:bCs w:val="1"/>
          <w:color w:val="auto"/>
        </w:rPr>
      </w:pPr>
    </w:p>
    <w:p>
      <w:pPr>
        <w:ind w:left="500" w:hanging="330"/>
        <w:spacing w:after="0"/>
        <w:tabs>
          <w:tab w:leader="none" w:pos="500" w:val="left"/>
        </w:tabs>
        <w:numPr>
          <w:ilvl w:val="1"/>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leases office, laboratory, manufacturing and other space in Pennington, New Jersey under an operating lease that expires on December 31, 2017. On March 31, 2017 the company entered into a lease for approximately 56,000 square feet in Monroe Township, New Jersey (the “Monroe Lease”) that will be used as warehouse/production space and Company’s principal offices and corporate headquarters. The lease commencement date is October 1, 2017, with lease payments beginning the same month. The lease expiration date is seven years from the rent commencement date. The Company provided a cash security deposit of approximately $154,000. The Monroe Lease contains a tenant improvement allowance of up to $138,000 and annual escalations, as such, the Company accounts for rent expense on a straight-line basis. The Company expects to relocate to the new location by the end of 2017. Rent expense under operating leases was approximately $0.3 million and $0.3 million for the years ended April 30,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8" w:name="page89"/>
    <w:bookmarkEnd w:id="8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under operating leases as of April 30, 2016 are as follows:</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April 30, 2017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60" w:type="dxa"/>
            <w:vAlign w:val="bottom"/>
            <w:vMerge w:val="restart"/>
          </w:tcPr>
          <w:p>
            <w:pPr>
              <w:spacing w:after="0"/>
              <w:rPr>
                <w:sz w:val="17"/>
                <w:szCs w:val="17"/>
                <w:color w:val="auto"/>
              </w:rPr>
            </w:pPr>
          </w:p>
        </w:tc>
        <w:tc>
          <w:tcPr>
            <w:tcW w:w="646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6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Shareholder Litigation and Demands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and its former Chief Executive Officer Charles Dunleavy were named as defendants in consolidated securities class action lawsuits that were pending in the United States District Court for the District of New Jersey captioned </w:t>
      </w:r>
      <w:r>
        <w:rPr>
          <w:rFonts w:ascii="Times New Roman" w:cs="Times New Roman" w:eastAsia="Times New Roman" w:hAnsi="Times New Roman"/>
          <w:sz w:val="18"/>
          <w:szCs w:val="18"/>
          <w:i w:val="1"/>
          <w:iCs w:val="1"/>
          <w:color w:val="auto"/>
        </w:rPr>
        <w:t>In Re: Ocean Power Technologies, Inc. Securities Litigation,</w:t>
      </w:r>
      <w:r>
        <w:rPr>
          <w:rFonts w:ascii="Times New Roman" w:cs="Times New Roman" w:eastAsia="Times New Roman" w:hAnsi="Times New Roman"/>
          <w:sz w:val="18"/>
          <w:szCs w:val="18"/>
          <w:color w:val="auto"/>
        </w:rPr>
        <w:t xml:space="preserve"> Civil Action No. 14-3799 (FLW) (LHG).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5, 2016, the parties entered into a Stipulation and Agreement of Class Settlement (“Stipulation”) in which they agreed to a settlement of the consolidated securities class action lawsuits, subject to Court approval. The Stipulation provides, among other things, for a settlement payment by or on behalf of the Company of $3.0 million in cash, of which the Company would pay $0.5 million and the Company’s insurer would pay $2.5 million, and the issuance by the Company of 380,000 shares (valued at $0.6 million on the date the Stipulation was signed by the parties) of its Common Stock to the class members. The Stipulation also provided for mutual releases. The amounts agreed in the Stipulation, including the amount to be contributed by our insurance carrier, were reflected in the Company’s Consolidated Financial Statements as of April 30, 2016. In July 2016, the Company paid the $0.5 million portion of the settlement and the remaining balance of $2.5 million was paid by the Company’s insurer in August 2016. On November 14, 2016, the Court held its previously scheduled Settlement Hearing to consider whether to grant final approval of the settlement, and on November 15, 2016, the Court issued its Final Judgment approving the settlement and dismissing the proceeding with prejudice. The 380,000 shares of common stock were issued on November 22, 2016. The time to file an appeal from the Final Judgment has expired without any appeal being filed.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and certain of its current and former directors and officers are defendants in a derivative lawsuit filed on March 18, 2015 in the United States District Court for the District of New Jersey captioned </w:t>
      </w:r>
      <w:r>
        <w:rPr>
          <w:rFonts w:ascii="Times New Roman" w:cs="Times New Roman" w:eastAsia="Times New Roman" w:hAnsi="Times New Roman"/>
          <w:sz w:val="18"/>
          <w:szCs w:val="18"/>
          <w:i w:val="1"/>
          <w:iCs w:val="1"/>
          <w:color w:val="auto"/>
        </w:rPr>
        <w:t>Labare v. Dunleavy, et. al.,</w:t>
      </w:r>
      <w:r>
        <w:rPr>
          <w:rFonts w:ascii="Times New Roman" w:cs="Times New Roman" w:eastAsia="Times New Roman" w:hAnsi="Times New Roman"/>
          <w:sz w:val="18"/>
          <w:szCs w:val="18"/>
          <w:color w:val="auto"/>
        </w:rPr>
        <w:t xml:space="preserve"> Case No. 3:15-cv-01980-FLW-LHG. The derivative complaint alleges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July 10, 2015, a second derivative lawsuit, captioned </w:t>
      </w:r>
      <w:r>
        <w:rPr>
          <w:rFonts w:ascii="Times New Roman" w:cs="Times New Roman" w:eastAsia="Times New Roman" w:hAnsi="Times New Roman"/>
          <w:sz w:val="18"/>
          <w:szCs w:val="18"/>
          <w:i w:val="1"/>
          <w:iCs w:val="1"/>
          <w:color w:val="auto"/>
        </w:rPr>
        <w:t>Rywolt v. Dunleavy, et al.,</w:t>
      </w:r>
      <w:r>
        <w:rPr>
          <w:rFonts w:ascii="Times New Roman" w:cs="Times New Roman" w:eastAsia="Times New Roman" w:hAnsi="Times New Roman"/>
          <w:sz w:val="18"/>
          <w:szCs w:val="18"/>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Rywolt complaint also seeks unspecified monetary damages and other relief. On February 8, 2016, the Court issued an order consolidating the </w:t>
      </w:r>
      <w:r>
        <w:rPr>
          <w:rFonts w:ascii="Times New Roman" w:cs="Times New Roman" w:eastAsia="Times New Roman" w:hAnsi="Times New Roman"/>
          <w:sz w:val="18"/>
          <w:szCs w:val="18"/>
          <w:i w:val="1"/>
          <w:iCs w:val="1"/>
          <w:color w:val="auto"/>
        </w:rPr>
        <w:t>Labare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Rywolt</w:t>
      </w:r>
      <w:r>
        <w:rPr>
          <w:rFonts w:ascii="Times New Roman" w:cs="Times New Roman" w:eastAsia="Times New Roman" w:hAnsi="Times New Roman"/>
          <w:sz w:val="18"/>
          <w:szCs w:val="18"/>
          <w:color w:val="auto"/>
        </w:rPr>
        <w:t xml:space="preserve"> actions, appointing co-lead plaintiffs and lead counsel, and ordering a consolidated amended complaint to be filed within 30 days of the order. On March 9, 2016, the co-lead plaintiffs filed an amended complaint consolidating their claims and seeking unspecified monetary damages and other relief.</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April 21, 2016, a third derivative lawsuit, captioned </w:t>
      </w:r>
      <w:r>
        <w:rPr>
          <w:rFonts w:ascii="Times New Roman" w:cs="Times New Roman" w:eastAsia="Times New Roman" w:hAnsi="Times New Roman"/>
          <w:sz w:val="18"/>
          <w:szCs w:val="18"/>
          <w:i w:val="1"/>
          <w:iCs w:val="1"/>
          <w:color w:val="auto"/>
        </w:rPr>
        <w:t>LaCalamito v. Dunleavy, et al.</w:t>
      </w:r>
      <w:r>
        <w:rPr>
          <w:rFonts w:ascii="Times New Roman" w:cs="Times New Roman" w:eastAsia="Times New Roman" w:hAnsi="Times New Roman"/>
          <w:sz w:val="18"/>
          <w:szCs w:val="18"/>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Times New Roman" w:cs="Times New Roman" w:eastAsia="Times New Roman" w:hAnsi="Times New Roman"/>
          <w:sz w:val="18"/>
          <w:szCs w:val="18"/>
          <w:i w:val="1"/>
          <w:iCs w:val="1"/>
          <w:color w:val="auto"/>
        </w:rPr>
        <w:t>LaCalamito</w:t>
      </w:r>
      <w:r>
        <w:rPr>
          <w:rFonts w:ascii="Times New Roman" w:cs="Times New Roman" w:eastAsia="Times New Roman" w:hAnsi="Times New Roman"/>
          <w:sz w:val="18"/>
          <w:szCs w:val="18"/>
          <w:color w:val="auto"/>
        </w:rPr>
        <w:t xml:space="preserve"> complaint seeks unspecified monetary damages and other relief. The Company has not been formally served and has not yet responded to the complaint.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9" w:name="page90"/>
    <w:bookmarkEnd w:id="8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June 9, 2016, a fourth derivative lawsuit, captioned </w:t>
      </w:r>
      <w:r>
        <w:rPr>
          <w:rFonts w:ascii="Times New Roman" w:cs="Times New Roman" w:eastAsia="Times New Roman" w:hAnsi="Times New Roman"/>
          <w:sz w:val="18"/>
          <w:szCs w:val="18"/>
          <w:i w:val="1"/>
          <w:iCs w:val="1"/>
          <w:color w:val="auto"/>
        </w:rPr>
        <w:t>Pucillo v. Dunleavy, et al.</w:t>
      </w:r>
      <w:r>
        <w:rPr>
          <w:rFonts w:ascii="Times New Roman" w:cs="Times New Roman" w:eastAsia="Times New Roman" w:hAnsi="Times New Roman"/>
          <w:sz w:val="18"/>
          <w:szCs w:val="18"/>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Times New Roman" w:cs="Times New Roman" w:eastAsia="Times New Roman" w:hAnsi="Times New Roman"/>
          <w:sz w:val="18"/>
          <w:szCs w:val="18"/>
          <w:i w:val="1"/>
          <w:iCs w:val="1"/>
          <w:color w:val="auto"/>
        </w:rPr>
        <w:t>Pucillo</w:t>
      </w:r>
      <w:r>
        <w:rPr>
          <w:rFonts w:ascii="Times New Roman" w:cs="Times New Roman" w:eastAsia="Times New Roman" w:hAnsi="Times New Roman"/>
          <w:sz w:val="18"/>
          <w:szCs w:val="18"/>
          <w:color w:val="auto"/>
        </w:rPr>
        <w:t xml:space="preserve"> complaint seeks unspecified monetary damages and other relief. On August 2, 2016, the parties in the </w:t>
      </w:r>
      <w:r>
        <w:rPr>
          <w:rFonts w:ascii="Times New Roman" w:cs="Times New Roman" w:eastAsia="Times New Roman" w:hAnsi="Times New Roman"/>
          <w:sz w:val="18"/>
          <w:szCs w:val="18"/>
          <w:i w:val="1"/>
          <w:iCs w:val="1"/>
          <w:color w:val="auto"/>
        </w:rPr>
        <w:t>Pucillo</w:t>
      </w:r>
      <w:r>
        <w:rPr>
          <w:rFonts w:ascii="Times New Roman" w:cs="Times New Roman" w:eastAsia="Times New Roman" w:hAnsi="Times New Roman"/>
          <w:sz w:val="18"/>
          <w:szCs w:val="18"/>
          <w:color w:val="auto"/>
        </w:rPr>
        <w:t xml:space="preserve"> lawsuit filed a Stipulation and Proposed Order pursuant to which: (i) the defendants agreed to accept service of the </w:t>
      </w:r>
      <w:r>
        <w:rPr>
          <w:rFonts w:ascii="Times New Roman" w:cs="Times New Roman" w:eastAsia="Times New Roman" w:hAnsi="Times New Roman"/>
          <w:sz w:val="18"/>
          <w:szCs w:val="18"/>
          <w:i w:val="1"/>
          <w:iCs w:val="1"/>
          <w:color w:val="auto"/>
        </w:rPr>
        <w:t>Pucillo</w:t>
      </w:r>
      <w:r>
        <w:rPr>
          <w:rFonts w:ascii="Times New Roman" w:cs="Times New Roman" w:eastAsia="Times New Roman" w:hAnsi="Times New Roman"/>
          <w:sz w:val="18"/>
          <w:szCs w:val="18"/>
          <w:color w:val="auto"/>
        </w:rPr>
        <w:t xml:space="preserve"> complaint; (ii) the parties agreed to stay the </w:t>
      </w:r>
      <w:r>
        <w:rPr>
          <w:rFonts w:ascii="Times New Roman" w:cs="Times New Roman" w:eastAsia="Times New Roman" w:hAnsi="Times New Roman"/>
          <w:sz w:val="18"/>
          <w:szCs w:val="18"/>
          <w:i w:val="1"/>
          <w:iCs w:val="1"/>
          <w:color w:val="auto"/>
        </w:rPr>
        <w:t>Pucillo</w:t>
      </w:r>
      <w:r>
        <w:rPr>
          <w:rFonts w:ascii="Times New Roman" w:cs="Times New Roman" w:eastAsia="Times New Roman" w:hAnsi="Times New Roman"/>
          <w:sz w:val="18"/>
          <w:szCs w:val="18"/>
          <w:color w:val="auto"/>
        </w:rPr>
        <w:t xml:space="preserve"> action pending the filing and resolution of a motion to consolidate the </w:t>
      </w:r>
      <w:r>
        <w:rPr>
          <w:rFonts w:ascii="Times New Roman" w:cs="Times New Roman" w:eastAsia="Times New Roman" w:hAnsi="Times New Roman"/>
          <w:sz w:val="18"/>
          <w:szCs w:val="18"/>
          <w:i w:val="1"/>
          <w:iCs w:val="1"/>
          <w:color w:val="auto"/>
        </w:rPr>
        <w:t>Pucillo</w:t>
      </w:r>
      <w:r>
        <w:rPr>
          <w:rFonts w:ascii="Times New Roman" w:cs="Times New Roman" w:eastAsia="Times New Roman" w:hAnsi="Times New Roman"/>
          <w:sz w:val="18"/>
          <w:szCs w:val="18"/>
          <w:color w:val="auto"/>
        </w:rPr>
        <w:t xml:space="preserve"> action with the </w:t>
      </w:r>
      <w:r>
        <w:rPr>
          <w:rFonts w:ascii="Times New Roman" w:cs="Times New Roman" w:eastAsia="Times New Roman" w:hAnsi="Times New Roman"/>
          <w:sz w:val="18"/>
          <w:szCs w:val="18"/>
          <w:i w:val="1"/>
          <w:iCs w:val="1"/>
          <w:color w:val="auto"/>
        </w:rPr>
        <w:t>Labar</w:t>
      </w:r>
      <w:r>
        <w:rPr>
          <w:rFonts w:ascii="Times New Roman" w:cs="Times New Roman" w:eastAsia="Times New Roman" w:hAnsi="Times New Roman"/>
          <w:sz w:val="18"/>
          <w:szCs w:val="18"/>
          <w:color w:val="auto"/>
        </w:rPr>
        <w:t xml:space="preserve">e and </w:t>
      </w:r>
      <w:r>
        <w:rPr>
          <w:rFonts w:ascii="Times New Roman" w:cs="Times New Roman" w:eastAsia="Times New Roman" w:hAnsi="Times New Roman"/>
          <w:sz w:val="18"/>
          <w:szCs w:val="18"/>
          <w:i w:val="1"/>
          <w:iCs w:val="1"/>
          <w:color w:val="auto"/>
        </w:rPr>
        <w:t>Rywolt</w:t>
      </w:r>
      <w:r>
        <w:rPr>
          <w:rFonts w:ascii="Times New Roman" w:cs="Times New Roman" w:eastAsia="Times New Roman" w:hAnsi="Times New Roman"/>
          <w:sz w:val="18"/>
          <w:szCs w:val="18"/>
          <w:color w:val="auto"/>
        </w:rPr>
        <w:t xml:space="preserve"> actions; and (iii) the parties agreed that the defendants shall not be required to respond to the </w:t>
      </w:r>
      <w:r>
        <w:rPr>
          <w:rFonts w:ascii="Times New Roman" w:cs="Times New Roman" w:eastAsia="Times New Roman" w:hAnsi="Times New Roman"/>
          <w:sz w:val="18"/>
          <w:szCs w:val="18"/>
          <w:i w:val="1"/>
          <w:iCs w:val="1"/>
          <w:color w:val="auto"/>
        </w:rPr>
        <w:t xml:space="preserve">Pucillo </w:t>
      </w:r>
      <w:r>
        <w:rPr>
          <w:rFonts w:ascii="Times New Roman" w:cs="Times New Roman" w:eastAsia="Times New Roman" w:hAnsi="Times New Roman"/>
          <w:sz w:val="18"/>
          <w:szCs w:val="18"/>
          <w:color w:val="auto"/>
        </w:rPr>
        <w:t>complaint during the pendency of the stay. The Court approved the Stipulation on August 3, 2016.</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25, 2016, the Court approved and entered a Stipulation and Order that, among other things, (i) consolidated the four derivative actions;</w:t>
      </w:r>
    </w:p>
    <w:p>
      <w:pPr>
        <w:spacing w:after="0" w:line="27" w:lineRule="exact"/>
        <w:rPr>
          <w:sz w:val="20"/>
          <w:szCs w:val="20"/>
          <w:color w:val="auto"/>
        </w:rPr>
      </w:pPr>
    </w:p>
    <w:p>
      <w:pPr>
        <w:jc w:val="both"/>
        <w:ind w:right="20" w:firstLine="8"/>
        <w:spacing w:after="0" w:line="255" w:lineRule="auto"/>
        <w:tabs>
          <w:tab w:leader="none" w:pos="29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plaintiff Pucillo as the lead plaintiff in the consolidated actions; and (iii) stayed the consolidated actions pending the settlement hearing scheduled for November 14, 2016 in the securities class action and further order of the Court. Defendants have not responded to the consolidated derivative actions because the actions remain stayed pending further order from the Court.</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Company and certain of its current directors are defendants in a lawsuit filed by an alleged shareholder in the Superior Court of New Jersey, Mercer County Chancery Division on January 25, 2016, captioned </w:t>
      </w:r>
      <w:r>
        <w:rPr>
          <w:rFonts w:ascii="Times New Roman" w:cs="Times New Roman" w:eastAsia="Times New Roman" w:hAnsi="Times New Roman"/>
          <w:sz w:val="18"/>
          <w:szCs w:val="18"/>
          <w:i w:val="1"/>
          <w:iCs w:val="1"/>
          <w:color w:val="auto"/>
        </w:rPr>
        <w:t>Stern v. Ocean Power Technologies, Inc., et al.,</w:t>
      </w:r>
      <w:r>
        <w:rPr>
          <w:rFonts w:ascii="Times New Roman" w:cs="Times New Roman" w:eastAsia="Times New Roman" w:hAnsi="Times New Roman"/>
          <w:sz w:val="18"/>
          <w:szCs w:val="18"/>
          <w:color w:val="auto"/>
        </w:rPr>
        <w:t xml:space="preserve"> Civil Action No. C-5-16. The complaint alleges that certain provisions of the Company’s Certificate of Incorporation and By-laws providing that the Company’s directors may be removed only for cause and only by an affirmative vote of at least 75% of the votes which all the stockholders would be entitled to cast in any annual election of directors are invalid under Section 141(k) of the Delaware General Corporation Law. The Complaint asserts a breach of fiduciary claim against the director defendants and a declaratory judgment claim against all defendants seeking, among other things, to invalidate the challenged provisions and declare that the Company’s directors may be removed and replaced without cause and by a simple majority vote. The Complaint sought declaratory and injunctive relief as well as unspecified costs and attorneys’ fees. By Unanimous Written Consent dated June 17, 2016, the Company’s Board of Directors amended the Company’s By-laws to delete the “only for cause” requirement, thereby allowing for removal of directors with or without cause by the Company’s stockholders. In addition, the Board proposed, subject to approval by the Company’s stockholders at the next annual general meeting of stockholders, a similar amendment to the director removal provision in the Company’s Certificate of Incorporation. On June 30, 2016, the Court approved a Stipulation and Proposed Order Staying Proceedings that, among other things, stayed the case pending the stockholder vote on the proposed amendment to the Company’s Certificate of Incorporation; On September 2, 2016, the Company filed a definitive proxy statement with the SEC which included the proposed amendment of the director removal rovision in the Company’s Certificate of Incorporation. At the annual shareholder meeting on October 21, 2016, the proposal was not approved because an insufficient number of votes were cast to satisfy the requirement that the proposal be approved by the holders of at least 75% of the outstanding shares of common stock entitled to vote at the meeting. However, stockholders approved an amendment to the Company’s Certificate of Incorporation to add a provision which requires that any provision of the Certificate of Incorporation that is contrary to a requirement of the Delaware General Corporate Law shall be read in conformity with the applicable requirement of the Delaware General Corporate Law. On April 12, 2017, the parties in the </w:t>
      </w:r>
      <w:r>
        <w:rPr>
          <w:rFonts w:ascii="Times New Roman" w:cs="Times New Roman" w:eastAsia="Times New Roman" w:hAnsi="Times New Roman"/>
          <w:sz w:val="18"/>
          <w:szCs w:val="18"/>
          <w:i w:val="1"/>
          <w:iCs w:val="1"/>
          <w:color w:val="auto"/>
        </w:rPr>
        <w:t>Stern</w:t>
      </w:r>
      <w:r>
        <w:rPr>
          <w:rFonts w:ascii="Times New Roman" w:cs="Times New Roman" w:eastAsia="Times New Roman" w:hAnsi="Times New Roman"/>
          <w:sz w:val="18"/>
          <w:szCs w:val="18"/>
          <w:color w:val="auto"/>
        </w:rPr>
        <w:t xml:space="preserve"> lawsuit executed a settlement that required the Company to file a Form 8-K (which was filed on April 17, 2017) with the U.S. Securities and Exchange Commission announcing that the Company will follow its By-Laws as opposed to its Certificate of Incorporation as regards the director removal provisions; and (2) to pay the </w:t>
      </w:r>
      <w:r>
        <w:rPr>
          <w:rFonts w:ascii="Times New Roman" w:cs="Times New Roman" w:eastAsia="Times New Roman" w:hAnsi="Times New Roman"/>
          <w:sz w:val="18"/>
          <w:szCs w:val="18"/>
          <w:i w:val="1"/>
          <w:iCs w:val="1"/>
          <w:color w:val="auto"/>
        </w:rPr>
        <w:t>Stern</w:t>
      </w:r>
      <w:r>
        <w:rPr>
          <w:rFonts w:ascii="Times New Roman" w:cs="Times New Roman" w:eastAsia="Times New Roman" w:hAnsi="Times New Roman"/>
          <w:sz w:val="18"/>
          <w:szCs w:val="18"/>
          <w:color w:val="auto"/>
        </w:rPr>
        <w:t xml:space="preserve"> plaintiff an amount equal to $22,500 to compensate the plaintiff for the legal costs of bringing the lawsuit. Also on April 17, 2017, the parties executed a Stipulation of Dismissal that was subsequently filed with the court. The Company paid the plaintiff’s counsel the amount required by the settlement agreement within the time period required by the settlement agreement.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0" w:name="page91"/>
    <w:bookmarkEnd w:id="9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On June 23, 2017, the Company responded to the Stockholder Demand, explained the procedures that were followed for the 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misled the stockholders regarding whether their brokers could vote on the reverse stock split proposal, and renewed their requests of the Board. The Company is evaluating further the Stockholder Demand and the reply letter and will respond in due course.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Litigation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 and have since agreed to continue to the suspension pending resolution of the derivatives litigation.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for the Stipulation agreement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72" w:lineRule="exact"/>
        <w:rPr>
          <w:sz w:val="20"/>
          <w:szCs w:val="20"/>
          <w:color w:val="auto"/>
        </w:rPr>
      </w:pPr>
    </w:p>
    <w:p>
      <w:pPr>
        <w:ind w:right="9720" w:firstLine="8"/>
        <w:spacing w:after="0" w:line="503" w:lineRule="auto"/>
        <w:tabs>
          <w:tab w:leader="none" w:pos="255"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Regulatory Matters SEC Investigation</w:t>
      </w:r>
    </w:p>
    <w:p>
      <w:pPr>
        <w:spacing w:after="0" w:line="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4, 2015, the Company received a subpoena from the SEC requesting information related to the VWP Project. The Company has provided information to the SEC in response to that subpoena. As part of the same investigation, on July 12, 2016, the SEC issued second subpoena requesting information related to the Company’s April 4, 2014 public offering. The Company has provided information to the SEC in response to that subpoena. The SEC investigation is ongoing and the Company continues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Spain IVA (sales tax)</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2012, the Company received notice that the Spanish tax authorities are inquiring into its 2010 IVA (value-added tax) filing for which the Company benefitted from the offset of approximately $0.3 million of input tax. The Company believed that the tax credit was properly claimed and, therefore, no liability was recorded. The Company issued two letters of credit totaling €0.3 million ($0.3 million) at the request of the Spanish tax authorities. On January 31, 2017 the Company received $0.2 million from the Spanish tax authorities as a result of the conclusion of the inquiry. In addition, during February 2017, the Spanish tax authorities approved of the release of the two outstanding letters of credit.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1" w:name="page92"/>
    <w:bookmarkEnd w:id="9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Spain Income Tax Audit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currently undergoing an income tax audit in Spain for the period from 2008 to 2014, when our Spanish branch was closed. The branch reported net operating losses for each of the years reported. It is anticipated that we will be assessed a penalty relating to these tax years for these losses. We have estimated this penalty to be $132 thousand, and as such, for the period ended April 30, 2017, we have recorded $132 thousand for this penalty to Selling, general and administrative costs in the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Operating Segments and Geographic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 Geographic information is as follows:</w:t>
      </w: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Year Ended April 30, 2017</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407"/>
        </w:trPr>
        <w:tc>
          <w:tcPr>
            <w:tcW w:w="4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North</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Asia and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4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America</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Europe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Australia</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r>
      <w:tr>
        <w:trPr>
          <w:trHeight w:val="228"/>
        </w:trPr>
        <w:tc>
          <w:tcPr>
            <w:tcW w:w="4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w w:val="74"/>
              </w:rPr>
              <w:t>thousands)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4200" w:type="dxa"/>
            <w:vAlign w:val="bottom"/>
          </w:tcPr>
          <w:p>
            <w:pPr>
              <w:spacing w:after="0"/>
              <w:rPr>
                <w:sz w:val="17"/>
                <w:szCs w:val="17"/>
                <w:color w:val="auto"/>
              </w:rPr>
            </w:pPr>
          </w:p>
        </w:tc>
        <w:tc>
          <w:tcPr>
            <w:tcW w:w="1900" w:type="dxa"/>
            <w:vAlign w:val="bottom"/>
            <w:gridSpan w:val="2"/>
          </w:tcPr>
          <w:p>
            <w:pPr>
              <w:spacing w:after="0"/>
              <w:rPr>
                <w:sz w:val="17"/>
                <w:szCs w:val="17"/>
                <w:color w:val="auto"/>
              </w:rPr>
            </w:pPr>
          </w:p>
        </w:tc>
        <w:tc>
          <w:tcPr>
            <w:tcW w:w="12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(11,270)</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(11,687)</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9,498</w:t>
            </w:r>
          </w:p>
        </w:tc>
        <w:tc>
          <w:tcPr>
            <w:tcW w:w="16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10,073</w:t>
            </w:r>
          </w:p>
        </w:tc>
      </w:tr>
      <w:tr>
        <w:trPr>
          <w:trHeight w:val="738"/>
        </w:trPr>
        <w:tc>
          <w:tcPr>
            <w:tcW w:w="4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Year Ended April 30, 2016</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407"/>
        </w:trPr>
        <w:tc>
          <w:tcPr>
            <w:tcW w:w="4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North</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Asia and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4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America</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Europe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Australia</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r>
      <w:tr>
        <w:trPr>
          <w:trHeight w:val="228"/>
        </w:trPr>
        <w:tc>
          <w:tcPr>
            <w:tcW w:w="4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w w:val="74"/>
              </w:rPr>
              <w:t>thousands)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4200" w:type="dxa"/>
            <w:vAlign w:val="bottom"/>
          </w:tcPr>
          <w:p>
            <w:pPr>
              <w:spacing w:after="0"/>
              <w:rPr>
                <w:sz w:val="17"/>
                <w:szCs w:val="17"/>
                <w:color w:val="auto"/>
              </w:rPr>
            </w:pPr>
          </w:p>
        </w:tc>
        <w:tc>
          <w:tcPr>
            <w:tcW w:w="1900" w:type="dxa"/>
            <w:vAlign w:val="bottom"/>
            <w:gridSpan w:val="2"/>
          </w:tcPr>
          <w:p>
            <w:pPr>
              <w:spacing w:after="0"/>
              <w:rPr>
                <w:sz w:val="17"/>
                <w:szCs w:val="17"/>
                <w:color w:val="auto"/>
              </w:rPr>
            </w:pPr>
          </w:p>
        </w:tc>
        <w:tc>
          <w:tcPr>
            <w:tcW w:w="12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(14,402)</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(14,858)</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9,553</w:t>
            </w:r>
          </w:p>
        </w:tc>
        <w:tc>
          <w:tcPr>
            <w:tcW w:w="16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10,351</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placement agent fees and offering expenses payable by the Company.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F-31</w:t>
      </w:r>
    </w:p>
    <w:p>
      <w:pPr>
        <w:sectPr>
          <w:pgSz w:w="11900" w:h="16838" w:orient="portrait"/>
          <w:cols w:equalWidth="0" w:num="1">
            <w:col w:w="11420"/>
          </w:cols>
          <w:pgMar w:left="240" w:top="112"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354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w w:val="99"/>
              </w:rPr>
              <w:t>EXHIBIT 21.1</w:t>
            </w:r>
          </w:p>
        </w:tc>
        <w:tc>
          <w:tcPr>
            <w:tcW w:w="0" w:type="dxa"/>
            <w:vAlign w:val="bottom"/>
          </w:tcPr>
          <w:p>
            <w:pPr>
              <w:spacing w:after="0"/>
              <w:rPr>
                <w:sz w:val="1"/>
                <w:szCs w:val="1"/>
                <w:color w:val="auto"/>
              </w:rPr>
            </w:pPr>
          </w:p>
        </w:tc>
      </w:tr>
      <w:tr>
        <w:trPr>
          <w:trHeight w:val="864"/>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35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Ocean Power Technologies Ltd</w:t>
            </w:r>
          </w:p>
        </w:tc>
        <w:tc>
          <w:tcPr>
            <w:tcW w:w="3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Ocean Power Technologies (Australasia) Pty Ltd</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Reedsport OPT Wave Park LLC</w:t>
            </w:r>
          </w:p>
        </w:tc>
        <w:tc>
          <w:tcPr>
            <w:tcW w:w="3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Oregon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Oregon Wave Energy Partners I,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Victorian Wave Partners Pty Ltd</w:t>
            </w:r>
          </w:p>
        </w:tc>
        <w:tc>
          <w:tcPr>
            <w:tcW w:w="3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333-217209 and No. 333-213519) on Form S-1, registration statements (No. 333-214316 and No. 333-208522) on From S-8, and the registration statement (No. 333-209517) on Form S-3 of Ocean Power Technologies, Inc. of our report dated July 14, 2017, with respect to the consolidated balance sheets of Ocean Power Technologies, Inc. and subsidiaries as of April 30 2017 and 2016, and the related consolidated statements of operations, comprehensive loss, stockholders’ equity, and cash flows for each of the years in the two-year period ended April 30, 2017, which report appears in the April 30, 2017 Annual Report on Form 10-K of Ocean Power Technologies, Inc.</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report dated July 14, 2017 contains an explanatory paragraph that states that the Company’s cash balance, recurring losses from operations, and accumulated deficit raise substantial doubt about the Company’s ability to continue as a going concern, as discussed in Note 1(b) to the consolidated financial statements. The consolidated financial statements do not include any adjustments that might result from the outcome of that uncertainty.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14, 2017</w:t>
      </w:r>
    </w:p>
    <w:p>
      <w:pPr>
        <w:sectPr>
          <w:pgSz w:w="11900" w:h="16838" w:orient="portrait"/>
          <w:cols w:equalWidth="0" w:num="1">
            <w:col w:w="11420"/>
          </w:cols>
          <w:pgMar w:left="240" w:top="117"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H. Kirby III, certify that:</w:t>
      </w:r>
    </w:p>
    <w:p>
      <w:pPr>
        <w:spacing w:after="0" w:line="261" w:lineRule="exact"/>
        <w:rPr>
          <w:sz w:val="20"/>
          <w:szCs w:val="20"/>
          <w:color w:val="auto"/>
        </w:rPr>
      </w:pPr>
    </w:p>
    <w:p>
      <w:pPr>
        <w:ind w:left="860" w:hanging="366"/>
        <w:spacing w:after="0"/>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Ocean Power Technologies, Inc.;</w:t>
      </w:r>
    </w:p>
    <w:p>
      <w:pPr>
        <w:spacing w:after="0" w:line="225" w:lineRule="exact"/>
        <w:rPr>
          <w:rFonts w:ascii="Times New Roman" w:cs="Times New Roman" w:eastAsia="Times New Roman" w:hAnsi="Times New Roman"/>
          <w:sz w:val="18"/>
          <w:szCs w:val="18"/>
          <w:color w:val="auto"/>
        </w:rPr>
      </w:pPr>
    </w:p>
    <w:p>
      <w:pPr>
        <w:jc w:val="both"/>
        <w:ind w:left="860" w:hanging="366"/>
        <w:spacing w:after="0" w:line="266" w:lineRule="auto"/>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60" w:hanging="366"/>
        <w:spacing w:after="0" w:line="266" w:lineRule="auto"/>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1" w:lineRule="exact"/>
        <w:rPr>
          <w:rFonts w:ascii="Times New Roman" w:cs="Times New Roman" w:eastAsia="Times New Roman" w:hAnsi="Times New Roman"/>
          <w:sz w:val="18"/>
          <w:szCs w:val="18"/>
          <w:color w:val="auto"/>
        </w:rPr>
      </w:pPr>
    </w:p>
    <w:p>
      <w:pPr>
        <w:ind w:left="1460" w:hanging="480"/>
        <w:spacing w:after="0" w:line="282" w:lineRule="auto"/>
        <w:tabs>
          <w:tab w:leader="none" w:pos="1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6484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484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H. Kirby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14, 2017</w:t>
      </w:r>
    </w:p>
    <w:p>
      <w:pPr>
        <w:sectPr>
          <w:pgSz w:w="11900" w:h="16838" w:orient="portrait"/>
          <w:cols w:equalWidth="0" w:num="1">
            <w:col w:w="11420"/>
          </w:cols>
          <w:pgMar w:left="240" w:top="117" w:right="2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T. Shafer, certify that:</w:t>
      </w:r>
    </w:p>
    <w:p>
      <w:pPr>
        <w:spacing w:after="0" w:line="225" w:lineRule="exact"/>
        <w:rPr>
          <w:sz w:val="20"/>
          <w:szCs w:val="20"/>
          <w:color w:val="auto"/>
        </w:rPr>
      </w:pPr>
    </w:p>
    <w:p>
      <w:pPr>
        <w:ind w:left="860" w:hanging="366"/>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Ocean Power Technologies, Inc.;</w:t>
      </w:r>
    </w:p>
    <w:p>
      <w:pPr>
        <w:spacing w:after="0" w:line="225" w:lineRule="exact"/>
        <w:rPr>
          <w:rFonts w:ascii="Times New Roman" w:cs="Times New Roman" w:eastAsia="Times New Roman" w:hAnsi="Times New Roman"/>
          <w:sz w:val="18"/>
          <w:szCs w:val="18"/>
          <w:color w:val="auto"/>
        </w:rPr>
      </w:pPr>
    </w:p>
    <w:p>
      <w:pPr>
        <w:jc w:val="both"/>
        <w:ind w:left="860" w:hanging="366"/>
        <w:spacing w:after="0" w:line="266"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60" w:hanging="366"/>
        <w:spacing w:after="0" w:line="266"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440" w:hanging="473"/>
        <w:spacing w:after="0" w:line="266" w:lineRule="auto"/>
        <w:tabs>
          <w:tab w:leader="none" w:pos="14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440" w:hanging="473"/>
        <w:spacing w:after="0" w:line="266" w:lineRule="auto"/>
        <w:tabs>
          <w:tab w:leader="none" w:pos="14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440" w:right="20" w:hanging="473"/>
        <w:spacing w:after="0" w:line="282" w:lineRule="auto"/>
        <w:tabs>
          <w:tab w:leader="none" w:pos="14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440" w:hanging="473"/>
        <w:spacing w:after="0" w:line="266" w:lineRule="auto"/>
        <w:tabs>
          <w:tab w:leader="none" w:pos="14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1" w:lineRule="exact"/>
        <w:rPr>
          <w:rFonts w:ascii="Times New Roman" w:cs="Times New Roman" w:eastAsia="Times New Roman" w:hAnsi="Times New Roman"/>
          <w:sz w:val="18"/>
          <w:szCs w:val="18"/>
          <w:color w:val="auto"/>
        </w:rPr>
      </w:pPr>
    </w:p>
    <w:p>
      <w:pPr>
        <w:ind w:left="1440" w:hanging="473"/>
        <w:spacing w:after="0" w:line="282" w:lineRule="auto"/>
        <w:tabs>
          <w:tab w:leader="none" w:pos="14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40" w:right="20" w:hanging="473"/>
        <w:spacing w:after="0" w:line="282" w:lineRule="auto"/>
        <w:tabs>
          <w:tab w:leader="none" w:pos="14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21"/>
          <w:szCs w:val="21"/>
          <w:color w:val="auto"/>
        </w:rPr>
        <w:t>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3310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31085"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T. Shafer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14, 2017</w:t>
      </w:r>
    </w:p>
    <w:p>
      <w:pPr>
        <w:sectPr>
          <w:pgSz w:w="11900" w:h="16838" w:orient="portrait"/>
          <w:cols w:equalWidth="0" w:num="1">
            <w:col w:w="11420"/>
          </w:cols>
          <w:pgMar w:left="240" w:top="117"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Ocean Power Technologies, Inc. (the “Company”) for the year ended April 30, 2017 as filed with the Securities and Exchange Commission on the date hereof (the “Report”), the undersigned, George H. Kirby, Chief Executive Officer of the Company, hereby certifies, pursuant to 18 U.S.C. Section 1350, that:</w:t>
      </w:r>
    </w:p>
    <w:p>
      <w:pPr>
        <w:spacing w:after="0" w:line="39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770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7708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George H. Kirby III</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14, 2017</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Ocean Power Technologies, Inc. (the "Company") for the year ended April 30, 2017 as filed with the Securities and Exchange Commission on the date hereof (the "Report"), the undersigned, Matthew T. Shafer, Chief Financial Officer of the Company, hereby certifies, pursuant to 18 U.S.C. Section 1350, that:</w:t>
      </w:r>
    </w:p>
    <w:p>
      <w:pPr>
        <w:spacing w:after="0" w:line="39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453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453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T. Shafer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14, 2017</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609"/>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lvl w:ilvl="1">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lvl w:ilvl="1">
      <w:lvlJc w:val="left"/>
      <w:lvlText w:val="o"/>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lowerRoman"/>
      <w:start w:val="2"/>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lowerLetter"/>
      <w:start w:val="1"/>
    </w:lvl>
    <w:lvl w:ilvl="1">
      <w:lvlJc w:val="left"/>
      <w:lvlText w:val="(%2)"/>
      <w:numFmt w:val="decimal"/>
      <w:start w:val="3"/>
    </w:lvl>
  </w:abstractNum>
  <w:abstractNum w:abstractNumId="25">
    <w:nsid w:val="22221A70"/>
    <w:multiLevelType w:val="hybridMultilevel"/>
    <w:lvl w:ilvl="0">
      <w:lvlJc w:val="left"/>
      <w:lvlText w:val="%1"/>
      <w:numFmt w:val="decimal"/>
      <w:start w:val="10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6">
    <w:nsid w:val="4516DDE9"/>
    <w:multiLevelType w:val="hybridMultilevel"/>
    <w:lvl w:ilvl="0">
      <w:lvlJc w:val="left"/>
      <w:lvlText w:val="%1"/>
      <w:numFmt w:val="decimal"/>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lvl w:ilvl="1">
      <w:lvlJc w:val="left"/>
      <w:lvlText w:val="(%2)"/>
      <w:numFmt w:val="lowerLetter"/>
      <w:start w:val="1"/>
    </w:lvl>
  </w:abstractNum>
  <w:abstractNum w:abstractNumId="29">
    <w:nsid w:val="419AC241"/>
    <w:multiLevelType w:val="hybridMultilevel"/>
    <w:lvl w:ilvl="0">
      <w:lvlJc w:val="left"/>
      <w:lvlText w:val="(%1)"/>
      <w:numFmt w:val="decimal"/>
      <w:start w:val="2"/>
    </w:lvl>
    <w:lvl w:ilvl="1">
      <w:lvlJc w:val="left"/>
      <w:lvlText w:val="(%2)"/>
      <w:numFmt w:val="lowerLetter"/>
      <w:start w:val="1"/>
    </w:lvl>
  </w:abstractNum>
  <w:abstractNum w:abstractNumId="30">
    <w:nsid w:val="5577F8E1"/>
    <w:multiLevelType w:val="hybridMultilevel"/>
    <w:lvl w:ilvl="0">
      <w:lvlJc w:val="left"/>
      <w:lvlText w:val="%1."/>
      <w:numFmt w:val="decimal"/>
      <w:start w:val="480"/>
    </w:lvl>
  </w:abstractNum>
  <w:abstractNum w:abstractNumId="31">
    <w:nsid w:val="440BADFC"/>
    <w:multiLevelType w:val="hybridMultilevel"/>
    <w:lvl w:ilvl="0">
      <w:lvlJc w:val="left"/>
      <w:lvlText w:val="(%1)"/>
      <w:numFmt w:val="decimal"/>
      <w:start w:val="14"/>
    </w:lvl>
  </w:abstractNum>
  <w:abstractNum w:abstractNumId="32">
    <w:nsid w:val="5072367"/>
    <w:multiLevelType w:val="hybridMultilevel"/>
    <w:lvl w:ilvl="0">
      <w:lvlJc w:val="left"/>
      <w:lvlText w:val="(%1)"/>
      <w:numFmt w:val="decimal"/>
      <w:start w:val="15"/>
    </w:lvl>
    <w:lvl w:ilvl="1">
      <w:lvlJc w:val="left"/>
      <w:lvlText w:val="(%2)"/>
      <w:numFmt w:val="lowerLetter"/>
      <w:start w:val="1"/>
    </w:lvl>
  </w:abstractNum>
  <w:abstractNum w:abstractNumId="33">
    <w:nsid w:val="3804823E"/>
    <w:multiLevelType w:val="hybridMultilevel"/>
    <w:lvl w:ilvl="0">
      <w:lvlJc w:val="left"/>
      <w:lvlText w:val="(%1)"/>
      <w:numFmt w:val="lowerRoman"/>
      <w:start w:val="2"/>
    </w:lvl>
  </w:abstractNum>
  <w:abstractNum w:abstractNumId="34">
    <w:nsid w:val="77465F01"/>
    <w:multiLevelType w:val="hybridMultilevel"/>
    <w:lvl w:ilvl="0">
      <w:lvlJc w:val="left"/>
      <w:lvlText w:val="(%1)"/>
      <w:numFmt w:val="lowerLetter"/>
      <w:start w:val="2"/>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2019-12-29T05:14:41Z</dcterms:created>
  <dcterms:modified xsi:type="dcterms:W3CDTF">2019-12-29T05:14:41Z</dcterms:modified>
</cp:coreProperties>
</file>