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5" w:lineRule="exact"/>
        <w:rPr>
          <w:sz w:val="24"/>
          <w:szCs w:val="24"/>
          <w:color w:val="auto"/>
        </w:rPr>
      </w:pPr>
    </w:p>
    <w:p>
      <w:pPr>
        <w:ind w:right="880" w:firstLine="332"/>
        <w:spacing w:after="0" w:line="501" w:lineRule="auto"/>
        <w:tabs>
          <w:tab w:leader="none" w:pos="137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October 31, 2014</w:t>
      </w:r>
    </w:p>
    <w:p>
      <w:pPr>
        <w:jc w:val="center"/>
        <w:spacing w:after="0"/>
        <w:rPr>
          <w:sz w:val="20"/>
          <w:szCs w:val="20"/>
          <w:color w:val="auto"/>
        </w:rPr>
      </w:pPr>
      <w:r>
        <w:rPr>
          <w:rFonts w:ascii="Arial" w:cs="Arial" w:eastAsia="Arial" w:hAnsi="Arial"/>
          <w:sz w:val="18"/>
          <w:szCs w:val="18"/>
          <w:b w:val="1"/>
          <w:bCs w:val="1"/>
          <w:color w:val="auto"/>
        </w:rPr>
        <w:t>Or</w:t>
      </w:r>
    </w:p>
    <w:p>
      <w:pPr>
        <w:spacing w:after="0" w:line="279" w:lineRule="exact"/>
        <w:rPr>
          <w:sz w:val="24"/>
          <w:szCs w:val="24"/>
          <w:color w:val="auto"/>
        </w:rPr>
      </w:pPr>
    </w:p>
    <w:p>
      <w:pPr>
        <w:ind w:left="1380" w:hanging="1048"/>
        <w:spacing w:after="0"/>
        <w:tabs>
          <w:tab w:leader="none" w:pos="1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1578610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001-33417</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OCEAN POWER TECHNOLOGIES,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220" w:right="239" w:bottom="1440" w:gutter="0" w:footer="0" w:header="0"/>
        </w:sectPr>
      </w:pPr>
    </w:p>
    <w:p>
      <w:pPr>
        <w:spacing w:after="0" w:line="259"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220" w:right="2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1590 REED ROAD, PENNINGTON, NJ 08534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0" w:right="239" w:bottom="1440" w:gutter="0" w:footer="0" w:header="0"/>
          <w:type w:val="continuous"/>
        </w:sectPr>
      </w:pPr>
    </w:p>
    <w:p>
      <w:pPr>
        <w:spacing w:after="0" w:line="200" w:lineRule="exact"/>
        <w:rPr>
          <w:sz w:val="24"/>
          <w:szCs w:val="24"/>
          <w:color w:val="auto"/>
        </w:rPr>
      </w:pPr>
    </w:p>
    <w:p>
      <w:pPr>
        <w:spacing w:after="0" w:line="238"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8" w:lineRule="exact"/>
        <w:rPr>
          <w:sz w:val="24"/>
          <w:szCs w:val="24"/>
          <w:color w:val="auto"/>
        </w:rPr>
      </w:pPr>
    </w:p>
    <w:p>
      <w:pPr>
        <w:jc w:val="center"/>
        <w:ind w:right="26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69" w:lineRule="exact"/>
        <w:rPr>
          <w:sz w:val="24"/>
          <w:szCs w:val="24"/>
          <w:color w:val="auto"/>
        </w:rPr>
      </w:pPr>
    </w:p>
    <w:p>
      <w:pPr>
        <w:jc w:val="center"/>
        <w:ind w:right="260"/>
        <w:spacing w:after="0"/>
        <w:rPr>
          <w:sz w:val="20"/>
          <w:szCs w:val="20"/>
          <w:color w:val="auto"/>
        </w:rPr>
      </w:pPr>
      <w:r>
        <w:rPr>
          <w:rFonts w:ascii="Arial" w:cs="Arial" w:eastAsia="Arial" w:hAnsi="Arial"/>
          <w:sz w:val="16"/>
          <w:szCs w:val="16"/>
          <w:color w:val="auto"/>
        </w:rPr>
        <w:t>(Do not check if a smaller</w:t>
      </w:r>
    </w:p>
    <w:p>
      <w:pPr>
        <w:spacing w:after="0" w:line="30" w:lineRule="exact"/>
        <w:rPr>
          <w:sz w:val="24"/>
          <w:szCs w:val="24"/>
          <w:color w:val="auto"/>
        </w:rPr>
      </w:pPr>
    </w:p>
    <w:p>
      <w:pPr>
        <w:jc w:val="center"/>
        <w:ind w:right="260"/>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80" w:lineRule="exact"/>
        <w:rPr>
          <w:sz w:val="24"/>
          <w:szCs w:val="24"/>
          <w:color w:val="auto"/>
        </w:rPr>
      </w:pPr>
    </w:p>
    <w:p>
      <w:pPr>
        <w:sectPr>
          <w:pgSz w:w="11900" w:h="16838" w:orient="portrait"/>
          <w:cols w:equalWidth="0" w:num="4">
            <w:col w:w="2700" w:space="720"/>
            <w:col w:w="2080" w:space="720"/>
            <w:col w:w="2140" w:space="720"/>
            <w:col w:w="2340"/>
          </w:cols>
          <w:pgMar w:left="240" w:top="220"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30, 2014, the number of outstanding shares of common stock of the registrant was 18,066,611.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OCTOBER 31, 2014</w:t>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260" w:type="dxa"/>
            <w:vAlign w:val="bottom"/>
            <w:gridSpan w:val="2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PART I — FINANCIAL INFORMATION</w:t>
            </w:r>
          </w:p>
        </w:tc>
        <w:tc>
          <w:tcPr>
            <w:tcW w:w="11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1. Financial Statements (unaudited):</w:t>
            </w: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60" w:type="dxa"/>
            <w:vAlign w:val="bottom"/>
            <w:gridSpan w:val="21"/>
            <w:shd w:val="clear" w:color="auto" w:fill="CCEEFF"/>
          </w:tcPr>
          <w:p>
            <w:pPr>
              <w:ind w:left="280"/>
              <w:spacing w:after="0" w:line="176" w:lineRule="exact"/>
              <w:rPr>
                <w:sz w:val="20"/>
                <w:szCs w:val="20"/>
                <w:color w:val="auto"/>
              </w:rPr>
            </w:pPr>
            <w:r>
              <w:rPr>
                <w:rFonts w:ascii="Arial" w:cs="Arial" w:eastAsia="Arial" w:hAnsi="Arial"/>
                <w:sz w:val="18"/>
                <w:szCs w:val="18"/>
                <w:color w:val="auto"/>
              </w:rPr>
              <w:t>Consolidated Balance Sheets as of October 31, 2014 and April 30, 2014</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60" w:type="dxa"/>
            <w:vAlign w:val="bottom"/>
            <w:gridSpan w:val="21"/>
            <w:shd w:val="clear" w:color="auto" w:fill="CCEEFF"/>
          </w:tcPr>
          <w:p>
            <w:pPr>
              <w:ind w:left="280"/>
              <w:spacing w:after="0" w:line="176" w:lineRule="exact"/>
              <w:rPr>
                <w:sz w:val="20"/>
                <w:szCs w:val="20"/>
                <w:color w:val="auto"/>
              </w:rPr>
            </w:pPr>
            <w:r>
              <w:rPr>
                <w:rFonts w:ascii="Arial" w:cs="Arial" w:eastAsia="Arial" w:hAnsi="Arial"/>
                <w:sz w:val="18"/>
                <w:szCs w:val="18"/>
                <w:color w:val="auto"/>
              </w:rPr>
              <w:t>Consolidated Statements of Operations for the Three and Six Months Ended October 31, 2014 and 2013</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7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auto"/>
              </w:rPr>
              <w:t>Consolidated Statements of Comprehensive Loss for the Three and Six Months Ended October 31, 2014 and 2013</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60" w:type="dxa"/>
            <w:vAlign w:val="bottom"/>
            <w:gridSpan w:val="21"/>
            <w:shd w:val="clear" w:color="auto" w:fill="CCEEFF"/>
          </w:tcPr>
          <w:p>
            <w:pPr>
              <w:ind w:left="280"/>
              <w:spacing w:after="0" w:line="176" w:lineRule="exact"/>
              <w:rPr>
                <w:sz w:val="20"/>
                <w:szCs w:val="20"/>
                <w:color w:val="auto"/>
              </w:rPr>
            </w:pPr>
            <w:r>
              <w:rPr>
                <w:rFonts w:ascii="Arial" w:cs="Arial" w:eastAsia="Arial" w:hAnsi="Arial"/>
                <w:sz w:val="18"/>
                <w:szCs w:val="18"/>
                <w:color w:val="auto"/>
              </w:rPr>
              <w:t>Consolidated Statements of Stockholders' Equity for the Six Months Ended October 31, 2014 and 2013</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60" w:type="dxa"/>
            <w:vAlign w:val="bottom"/>
            <w:gridSpan w:val="21"/>
            <w:shd w:val="clear" w:color="auto" w:fill="CCEEFF"/>
          </w:tcPr>
          <w:p>
            <w:pPr>
              <w:ind w:left="280"/>
              <w:spacing w:after="0" w:line="176" w:lineRule="exact"/>
              <w:rPr>
                <w:sz w:val="20"/>
                <w:szCs w:val="20"/>
                <w:color w:val="auto"/>
              </w:rPr>
            </w:pPr>
            <w:r>
              <w:rPr>
                <w:rFonts w:ascii="Arial" w:cs="Arial" w:eastAsia="Arial" w:hAnsi="Arial"/>
                <w:sz w:val="18"/>
                <w:szCs w:val="18"/>
                <w:color w:val="auto"/>
              </w:rPr>
              <w:t>Consolidated Statements of Cash Flows for the Six Months Ended October 31, 2014 and 2013</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60" w:type="dxa"/>
            <w:vAlign w:val="bottom"/>
            <w:gridSpan w:val="21"/>
            <w:shd w:val="clear" w:color="auto" w:fill="CCEEFF"/>
          </w:tcPr>
          <w:p>
            <w:pPr>
              <w:ind w:left="280"/>
              <w:spacing w:after="0" w:line="176" w:lineRule="exact"/>
              <w:rPr>
                <w:sz w:val="20"/>
                <w:szCs w:val="20"/>
                <w:color w:val="auto"/>
              </w:rPr>
            </w:pPr>
            <w:r>
              <w:rPr>
                <w:rFonts w:ascii="Arial" w:cs="Arial" w:eastAsia="Arial" w:hAnsi="Arial"/>
                <w:sz w:val="18"/>
                <w:szCs w:val="18"/>
                <w:color w:val="auto"/>
              </w:rPr>
              <w:t>Notes to Consolidated Financial Statements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3. Quantitative and Qualitative Disclosures About Market Risk</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4. Controls and Procedures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 — OTHER INFORMATION</w:t>
            </w: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1. Legal Proceedings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1A. Risk Factors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2. Unregistered Sales of Equity Securities and Use of Proceeds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3. Defaults Upon Senior Securities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ind w:left="40"/>
              <w:spacing w:after="0" w:line="176" w:lineRule="exact"/>
              <w:rPr>
                <w:sz w:val="20"/>
                <w:szCs w:val="20"/>
                <w:color w:val="auto"/>
              </w:rPr>
            </w:pPr>
            <w:r>
              <w:rPr>
                <w:rFonts w:ascii="Arial" w:cs="Arial" w:eastAsia="Arial" w:hAnsi="Arial"/>
                <w:sz w:val="18"/>
                <w:szCs w:val="18"/>
                <w:color w:val="auto"/>
              </w:rPr>
              <w:t>Item 4. Mine Safety Disclosures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5. Other Information</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6. Exhibits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PowerBuoy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495935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“goal” and similar expressions may identify forward-looking statements, but the absence of these words does not necessarily mean that a statement is not forward-looking.</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2014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40" w:type="dxa"/>
            <w:vAlign w:val="bottom"/>
          </w:tcPr>
          <w:p>
            <w:pPr>
              <w:jc w:val="center"/>
              <w:ind w:left="271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4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40" w:type="dxa"/>
            <w:vAlign w:val="bottom"/>
          </w:tcPr>
          <w:p>
            <w:pPr>
              <w:jc w:val="center"/>
              <w:ind w:left="271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40" w:type="dxa"/>
            <w:vAlign w:val="bottom"/>
          </w:tcPr>
          <w:p>
            <w:pPr>
              <w:jc w:val="center"/>
              <w:ind w:left="2710"/>
              <w:spacing w:after="0"/>
              <w:rPr>
                <w:sz w:val="20"/>
                <w:szCs w:val="20"/>
                <w:color w:val="auto"/>
              </w:rPr>
            </w:pPr>
            <w:r>
              <w:rPr>
                <w:rFonts w:ascii="Arial" w:cs="Arial" w:eastAsia="Arial" w:hAnsi="Arial"/>
                <w:sz w:val="18"/>
                <w:szCs w:val="18"/>
                <w:b w:val="1"/>
                <w:bCs w:val="1"/>
                <w:color w:val="auto"/>
                <w:w w:val="87"/>
              </w:rPr>
              <w:t>Consolidated Balance Sheets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October 31, 2014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April 30,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40" w:type="dxa"/>
            <w:vAlign w:val="bottom"/>
            <w:shd w:val="clear" w:color="auto" w:fill="CCEEFF"/>
          </w:tcPr>
          <w:p>
            <w:pPr>
              <w:ind w:left="308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6,238,708</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16,495,278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14,493,881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534,097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308,731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Unbilled receivables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40" w:type="dxa"/>
            <w:vAlign w:val="bottom"/>
          </w:tcPr>
          <w:p>
            <w:pPr>
              <w:ind w:left="6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23,638,581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35,392,018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265,886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317,513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1,221,696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361,229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24,779,847</w:t>
            </w:r>
          </w:p>
        </w:tc>
        <w:tc>
          <w:tcPr>
            <w:tcW w:w="1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38,084,835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74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40" w:type="dxa"/>
            <w:vAlign w:val="bottom"/>
            <w:shd w:val="clear" w:color="auto" w:fill="CCEEFF"/>
          </w:tcPr>
          <w:p>
            <w:pPr>
              <w:ind w:left="146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405,595</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2,885,285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Advance payment received from customer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4,709,055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Unearned revenues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40" w:type="dxa"/>
            <w:vAlign w:val="bottom"/>
          </w:tcPr>
          <w:p>
            <w:pPr>
              <w:ind w:left="6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3,505,953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9,234,138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4,205,953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9,984,138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Ocean Power Technologies, Inc. stockholders’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$0.001 par value; authorized 105,000,000 shares, issued 18,098,769 and 17,593,637 shares,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18,099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Treasury stock, at cost; 38,658 and 37,852 shares, respectively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(132,016)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(130,707)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180,607,639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180,454,341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(159,292,949)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(151,640,503)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(182,530)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(225,733)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7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Ocean Power Technologies, Inc. stockholders’ equity</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21,018,243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28,474,992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(444,349)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(374,295)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20,573,894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28,100,697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24,779,847</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38,084,835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599"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Three Months Ended October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93"/>
              </w:rPr>
              <w:t>Six Months Ended October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1,747,788</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3,288,316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1,998,076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462,336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3,965,240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922,712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Gross (loss) profit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(250,288)</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1,272</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(676,924)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1,224,487</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1,144,432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2,708,878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1,808,892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5,831,850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4,356,651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3,933,365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3,418,981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6,976,282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7,237,685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(4,183,653)</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(3,417,709)</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(7,653,206)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(7,235,862)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185,000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(216,249)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107,357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(221,907)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(4,396,478)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(3,307,473)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(7,745,309)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(7,103,498)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Less: Net loss attributable to the noncontrolling interest in Ocean Power</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26,784</w:t>
            </w:r>
          </w:p>
        </w:tc>
        <w:tc>
          <w:tcPr>
            <w:tcW w:w="240" w:type="dxa"/>
            <w:vAlign w:val="bottom"/>
            <w:tcBorders>
              <w:right w:val="single" w:sz="8" w:color="CCEEFF"/>
            </w:tcBorders>
            <w:vMerge w:val="restart"/>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36,916</w:t>
            </w:r>
          </w:p>
        </w:tc>
        <w:tc>
          <w:tcPr>
            <w:tcW w:w="20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92,863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82,971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Technologies (Australasia) Pty Ltd.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(4,369,694)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(3,270,557)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(7,652,446)</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(7,020,527)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(0.44)</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shares used to compute basic and diluted net loss per share</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17,481,563</w:t>
            </w:r>
          </w:p>
        </w:tc>
        <w:tc>
          <w:tcPr>
            <w:tcW w:w="24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10,510,214</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17,473,123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10,416,021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1"/>
              </w:rPr>
              <w:t>Three Months Ended October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93"/>
              </w:rPr>
              <w:t>Six Months Ended October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(4,396,478)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(3,307,473)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(7,745,309)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(7,103,498)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(4,351,297)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(3,360,373)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(7,702,106)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(7,175,188)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160"/>
              <w:spacing w:after="0" w:line="201" w:lineRule="exact"/>
              <w:rPr>
                <w:sz w:val="20"/>
                <w:szCs w:val="20"/>
                <w:color w:val="auto"/>
              </w:rPr>
            </w:pPr>
            <w:r>
              <w:rPr>
                <w:rFonts w:ascii="Arial" w:cs="Arial" w:eastAsia="Arial" w:hAnsi="Arial"/>
                <w:sz w:val="18"/>
                <w:szCs w:val="18"/>
                <w:color w:val="auto"/>
              </w:rPr>
              <w:t>Comprehensive loss (income) attributable to the noncontrolling interest in</w:t>
            </w: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26,983</w:t>
            </w:r>
          </w:p>
        </w:tc>
        <w:tc>
          <w:tcPr>
            <w:tcW w:w="22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(9,214)</w:t>
            </w:r>
          </w:p>
        </w:tc>
        <w:tc>
          <w:tcPr>
            <w:tcW w:w="220" w:type="dxa"/>
            <w:vAlign w:val="bottom"/>
          </w:tcPr>
          <w:p>
            <w:pPr>
              <w:spacing w:after="0"/>
              <w:rPr>
                <w:sz w:val="17"/>
                <w:szCs w:val="17"/>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22,809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12,905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Ocean Power Technologies (Australasia) Pty Ltd.</w:t>
            </w: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Comprehensive loss attributable to Ocean Power Technologies,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(4,324,314)</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(3,369,587)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(7,679,297)</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(7,162,283)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920" w:type="dxa"/>
            <w:vAlign w:val="bottom"/>
            <w:gridSpan w:val="6"/>
            <w:vMerge w:val="restart"/>
          </w:tcPr>
          <w:p>
            <w:pPr>
              <w:jc w:val="right"/>
              <w:ind w:right="400"/>
              <w:spacing w:after="0"/>
              <w:rPr>
                <w:sz w:val="20"/>
                <w:szCs w:val="20"/>
                <w:color w:val="auto"/>
              </w:rPr>
            </w:pPr>
            <w:r>
              <w:rPr>
                <w:rFonts w:ascii="Arial" w:cs="Arial" w:eastAsia="Arial" w:hAnsi="Arial"/>
                <w:sz w:val="18"/>
                <w:szCs w:val="18"/>
                <w:b w:val="1"/>
                <w:bCs w:val="1"/>
                <w:color w:val="auto"/>
              </w:rPr>
              <w:t>Common Shares</w:t>
            </w:r>
          </w:p>
        </w:tc>
        <w:tc>
          <w:tcPr>
            <w:tcW w:w="1820" w:type="dxa"/>
            <w:vAlign w:val="bottom"/>
            <w:gridSpan w:val="4"/>
            <w:vMerge w:val="restart"/>
          </w:tcPr>
          <w:p>
            <w:pPr>
              <w:jc w:val="right"/>
              <w:ind w:right="360"/>
              <w:spacing w:after="0"/>
              <w:rPr>
                <w:sz w:val="20"/>
                <w:szCs w:val="20"/>
                <w:color w:val="auto"/>
              </w:rPr>
            </w:pPr>
            <w:r>
              <w:rPr>
                <w:rFonts w:ascii="Arial" w:cs="Arial" w:eastAsia="Arial" w:hAnsi="Arial"/>
                <w:sz w:val="18"/>
                <w:szCs w:val="18"/>
                <w:b w:val="1"/>
                <w:bCs w:val="1"/>
                <w:color w:val="auto"/>
              </w:rPr>
              <w:t>Treasury Shares</w:t>
            </w: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920" w:type="dxa"/>
            <w:vAlign w:val="bottom"/>
            <w:gridSpan w:val="6"/>
            <w:vMerge w:val="continue"/>
          </w:tcPr>
          <w:p>
            <w:pPr>
              <w:spacing w:after="0"/>
              <w:rPr>
                <w:sz w:val="19"/>
                <w:szCs w:val="19"/>
                <w:color w:val="auto"/>
              </w:rPr>
            </w:pPr>
          </w:p>
        </w:tc>
        <w:tc>
          <w:tcPr>
            <w:tcW w:w="1820" w:type="dxa"/>
            <w:vAlign w:val="bottom"/>
            <w:gridSpan w:val="4"/>
            <w:vMerge w:val="continue"/>
          </w:tcPr>
          <w:p>
            <w:pPr>
              <w:spacing w:after="0"/>
              <w:rPr>
                <w:sz w:val="19"/>
                <w:szCs w:val="19"/>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Paid-In</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Accumulated</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Noncontrolling</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18"/>
                <w:szCs w:val="18"/>
                <w:color w:val="auto"/>
              </w:rPr>
            </w:pPr>
          </w:p>
        </w:tc>
        <w:tc>
          <w:tcPr>
            <w:tcW w:w="8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9"/>
              </w:rPr>
              <w:t>Shares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Capital</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Loss</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Interest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426"/>
        </w:trPr>
        <w:tc>
          <w:tcPr>
            <w:tcW w:w="20" w:type="dxa"/>
            <w:vAlign w:val="bottom"/>
            <w:vMerge w:val="restart"/>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April 30,</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17,593,637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17,594</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(37,852)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(130,707)</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180,454,341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(151,640,503)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(225,733)</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(374,295)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28,100,697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(7,652,446)</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(92,863)</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(7,745,309)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based</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74,952</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tcPr>
          <w:p>
            <w:pPr>
              <w:spacing w:after="0" w:line="201" w:lineRule="exact"/>
              <w:rPr>
                <w:sz w:val="20"/>
                <w:szCs w:val="20"/>
                <w:color w:val="auto"/>
              </w:rPr>
            </w:pPr>
            <w:r>
              <w:rPr>
                <w:rFonts w:ascii="Arial" w:cs="Arial" w:eastAsia="Arial" w:hAnsi="Arial"/>
                <w:sz w:val="18"/>
                <w:szCs w:val="18"/>
                <w:color w:val="auto"/>
                <w:w w:val="98"/>
              </w:rPr>
              <w:t>Issuance (forfeiture)</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ind w:left="160"/>
              <w:spacing w:after="0"/>
              <w:rPr>
                <w:sz w:val="20"/>
                <w:szCs w:val="20"/>
                <w:color w:val="auto"/>
              </w:rPr>
            </w:pPr>
            <w:r>
              <w:rPr>
                <w:rFonts w:ascii="Arial" w:cs="Arial" w:eastAsia="Arial" w:hAnsi="Arial"/>
                <w:sz w:val="18"/>
                <w:szCs w:val="18"/>
                <w:color w:val="auto"/>
                <w:w w:val="97"/>
              </w:rPr>
              <w:t>of restricted stock,</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tcPr>
          <w:p>
            <w:pPr>
              <w:ind w:left="160"/>
              <w:spacing w:after="0"/>
              <w:rPr>
                <w:sz w:val="20"/>
                <w:szCs w:val="20"/>
                <w:color w:val="auto"/>
              </w:rPr>
            </w:pPr>
            <w:r>
              <w:rPr>
                <w:rFonts w:ascii="Arial" w:cs="Arial" w:eastAsia="Arial" w:hAnsi="Arial"/>
                <w:sz w:val="18"/>
                <w:szCs w:val="18"/>
                <w:color w:val="auto"/>
              </w:rPr>
              <w:t>net</w:t>
            </w:r>
          </w:p>
        </w:tc>
        <w:tc>
          <w:tcPr>
            <w:tcW w:w="900" w:type="dxa"/>
            <w:vAlign w:val="bottom"/>
          </w:tcPr>
          <w:p>
            <w:pPr>
              <w:jc w:val="right"/>
              <w:spacing w:after="0"/>
              <w:rPr>
                <w:sz w:val="20"/>
                <w:szCs w:val="20"/>
                <w:color w:val="auto"/>
              </w:rPr>
            </w:pPr>
            <w:r>
              <w:rPr>
                <w:rFonts w:ascii="Arial" w:cs="Arial" w:eastAsia="Arial" w:hAnsi="Arial"/>
                <w:sz w:val="18"/>
                <w:szCs w:val="18"/>
                <w:color w:val="auto"/>
              </w:rPr>
              <w:t>505,132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505</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77,696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78,201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Sale of stock</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43,203</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22,809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Balance, October 31,</w:t>
            </w: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7"/>
              </w:rPr>
              <w:t>18,098,769</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4"/>
              </w:rPr>
              <w:t>18,099</w:t>
            </w:r>
          </w:p>
        </w:tc>
        <w:tc>
          <w:tcPr>
            <w:tcW w:w="8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(38,658)</w:t>
            </w: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9"/>
              </w:rPr>
              <w:t>$ (132,016)</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7"/>
              </w:rPr>
              <w:t>180,607,639</w:t>
            </w: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8"/>
              </w:rPr>
              <w:t>(159,292,949)</w:t>
            </w:r>
          </w:p>
        </w:tc>
        <w:tc>
          <w:tcPr>
            <w:tcW w:w="1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(182,530)</w:t>
            </w:r>
          </w:p>
        </w:tc>
        <w:tc>
          <w:tcPr>
            <w:tcW w:w="1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(444,349)</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5"/>
              </w:rPr>
              <w:t>20,573,894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2014</w:t>
            </w:r>
          </w:p>
        </w:tc>
        <w:tc>
          <w:tcPr>
            <w:tcW w:w="98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880" w:type="dxa"/>
            <w:vAlign w:val="bottom"/>
            <w:tcBorders>
              <w:right w:val="single" w:sz="8" w:color="CCEEFF"/>
            </w:tcBorders>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40" w:type="dxa"/>
            <w:vAlign w:val="bottom"/>
          </w:tcPr>
          <w:p>
            <w:pPr>
              <w:jc w:val="center"/>
              <w:ind w:left="34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6"/>
              </w:rPr>
              <w:t>Six Months Ended October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(7,745,309)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(7,103,498)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exchange loss (gain)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221,907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486,640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217,079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Treasury note premium amortization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Compensation expense related to stock option grants &amp; restricted stock</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153,153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369,503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308,731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Long-term receivables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Unbilled receivables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18,267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291,903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(131,539)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(138,734)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(38,258)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Return of advanced payment to ARENA</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(4,709,055)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Unearned revenues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(877,374)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(334,630)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Long-term unearned revenues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(180,757)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(12,110,977)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(6,483,460)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(13,746,959)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(9,497,707)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of marketable securities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11,745,562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16,990,850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6,712,559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equipment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cashed provided by investing activities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4,700,266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6,726,952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Proceeds from the sale of common stock, net of issuance costs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3,429,799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Repayment of debt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treasury stock</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3,380,985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(159,086)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(7,619,951)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3,659,496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13,858,659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6,372,788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6,238,708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10,032,284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Capitalized purchases of equipment financed through accounts payable and accrued expenses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10,363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Background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Ocean Power Technologies, Inc. (the “Company”) was incorporated in 1984 in New Jersey, commenced business operations in 1994 and re-incorporated in Delaware in 2007. The Company develops and is seeking to commercialize proprietary systems that generate electricity by harnessing the renewable energy of ocean waves. The Company markets its products in the United States and internationally. Since fiscal 2002, government agencies have accounted for a significant portion of the Company’s revenues. These revenues were largely for the support of product development efforts. The Company’s goal is that an increased portion of its revenues be from the sale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its products and services.</w:t>
      </w:r>
    </w:p>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Basis of Presentation</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2014 filed with the Securities and Exchange Commission (“SEC”) and elsewhere in this Form 10-Q.</w:t>
      </w:r>
    </w:p>
    <w:p>
      <w:pPr>
        <w:spacing w:after="0" w:line="21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incurred net losses and negative operating cash flows since inception. As of October 31, 2014, the Company had an accumulated deficit of $159.3 million. As of October 31, 2014, the Company’s cash and cash equivalents and marketable securities balance was approximately $22.8 million as compared to $28.4 million at April 30, 2014. Based upon the Company’s cash and cash equivalents and marketable securities balance as of October 31, 2014, the Company believes that it will be able to finance its capital requirements and operations through at least the fourth calendar quarter of 2015. In addition, as of October 31, 2014, the Company’s restricted cash balance was approximately $0.6 million, which reflects a significant decrease from the Company’s restricted cash balance of approximately $7.3 million as of April 30, 2014. See Note 2(f).</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2014 and 2013, the Company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insufficiencies of capital, technology development, scalability of technology and production, dependence on skills of key personnel, concentration of customers and suppliers, performance of PowerBuoys, deployment risks and laws, regulations and permitting. In order to complete its future growth strategy, the Company will require additional equity and/or debt financing. There is no assurance that additional equity and/or debt financing will be available to the Company as needed. If sufficient financing is not obtained by the Company, we may be required to further curtail or limit certain product development costs, and/or selling, general and administrative activities in order to reduce our cash expenditures.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January 2013, we filed an S-3 Shelf. The S-3 Shelf was declared effective in February 2013. Under the S-3 Shelf, in June 2013, we established an at the market offering facility (the “ATM Facility”) with Ascendiant Capital Markets, LLC (the “Manager”) via an At the Market Offering Agreement (the “ATM Agreement”). Under the ATM Agreement, we offered and sold shares of our common stock from time to time through the Manager, acting as sales agent, in ordinary brokerage transactions at prevailing market prices. Under the ATM Facility, we issued 3,306,334 shares of our common stock at an average price to the public of $3.02 per share. Net proceeds from the ATM Facility were approximately $9,698,000 during fiscal 2014.</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in fiscal 2014, we entered into an underwriting agreement (the “Underwriting Agreement”) with Roth Capital Partners, LLC (the “Underwriter”) on April 4, 2014, with respect to the issuance and sale in an underwritten public offering (the “Public Offering”) of an aggregate of 3,800,000 shares of our common stock at a price to the public of $3.10 per share. The Underwriting Agreement contained customary representations, warranties and agreements by us, customary conditions to closing and indemnification obligations, and a 90 day lock-up period that limited transactions in our common stock by us. Net proceeds from the Public Offering were approximately $10,828,000.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Form S-3 limits the aggregate market value of securities that we are permitted to offer in any 12-month period under Form S-3, whether under the ATM Agreement, the Underwriting Agreement or otherwise, to one third of our public float. Given the fiscal 2014 share sales, we fully utilized the ATM Agreement and reached the applicable limit under Form S-3. Of the $40 million authorized under the S-3 Shelf, approximately $18.2 million remains available for issuance. During the six months ended October 31, 2014, there were no proceeds from the sale of stock under the S-3 Shelf.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 and Cost Method Investment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October 31, 2014, there was one noncontrolling interest, consisting of 11.8% of the Company's Australian subsidiary, Ocean Power Technologies (Australasia) Pty. Ltd. (“OPTA”). OPTA owns 100% of Victorian Wave Partners Pty. Ltd. (“VWP”), which is also organized under the laws of Australia.</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October 31, 2014, there were no such entities.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estimated costs to complete for projects;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Currently, the Company has two types of fixed price contracts, firm fixed price and cost-sharing. Under firm fixed price contracts, the Company receives an agreed-upon amount for providing products and services specified in the contract. Under cost-sharing contracts, the fixed amount agreed upon with the customer is only intended to fund a portion of the costs on a specific project.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cost plus and firm fixed price contracts, a profit or loss on a project is recognized depending on whether actual costs are more or less than the agreed upon amount. Under cost sharing contracts, an amount corresponding to the revenue is recorded in cost of revenues, resulting in gross profit on these contracts of zero. The Company’s share of the costs is recorded as product development expense.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Most of the Company’s projects are under cost-sharing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equivalents consist of investments in short-term financial instruments with initial maturities of three months or less from the date of purchase. Cash and cash equivalents include the following:</w:t>
      </w:r>
    </w:p>
    <w:p>
      <w:pPr>
        <w:spacing w:after="0" w:line="193"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October 31, 2014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April 30, 2014</w:t>
            </w:r>
          </w:p>
        </w:tc>
        <w:tc>
          <w:tcPr>
            <w:tcW w:w="100" w:type="dxa"/>
            <w:vAlign w:val="bottom"/>
          </w:tcPr>
          <w:p>
            <w:pPr>
              <w:spacing w:after="0"/>
              <w:rPr>
                <w:sz w:val="20"/>
                <w:szCs w:val="20"/>
                <w:color w:val="auto"/>
              </w:rPr>
            </w:pPr>
          </w:p>
        </w:tc>
      </w:tr>
      <w:tr>
        <w:trPr>
          <w:trHeight w:val="210"/>
        </w:trPr>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3,349,284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1,917,176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Certificates of deposits and US Treasury obligations</w:t>
            </w:r>
          </w:p>
        </w:tc>
        <w:tc>
          <w:tcPr>
            <w:tcW w:w="1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847,039</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11,499,768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2,042,385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441,715</w:t>
            </w:r>
          </w:p>
        </w:tc>
      </w:tr>
      <w:tr>
        <w:trPr>
          <w:trHeight w:val="20"/>
        </w:trPr>
        <w:tc>
          <w:tcPr>
            <w:tcW w:w="6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6,238,708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13,858,659</w:t>
            </w:r>
          </w:p>
        </w:tc>
      </w:tr>
      <w:tr>
        <w:trPr>
          <w:trHeight w:val="20"/>
        </w:trPr>
        <w:tc>
          <w:tcPr>
            <w:tcW w:w="6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Marketable securities with original maturities longer than three months but that mature in less than one year from the balance sheet date are classified as current assets. Marketable securities that mature more than one year from the balance sheet date are classified as noncurrent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October 31, 2014 and April 30, 2014, all of the Company’s investments were classified as held-to-maturity.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Restricted Cash and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three security agreements.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One agreement is between Ocean Power Technologies, Inc.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carries a fee of 1% per annum of the amount of any such obligations issued by Barclays Bank. The credit facility does not have an expiration date, but is cancelable at the discretion of the bank. During the three months ended October 31, 2014, the Company reduced the credit facility from €800,000 ($964,656) to approximately €307,000 ($387,097). As of October 31, 2014, there was €278,892 ($351,655) in letters of credit outstanding under this agreement.</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agreement is between Ocean Power Technologies, Inc. and the New Jersey Board of Public Utilities (NJBPU). The Company received a $500,000 recoverable grant award from the NJBPU of which $200,000 is outstanding at October 31, 2014. Under this arrangement, the Company annually assigns to the NJBPU a certificate of deposit in an amount equal to the outstanding grant balance. See Note 6.</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third agreement concerns letters of credit issued by PNC Bank for the benefit of the Oregon Department of State Lands for the removal of certain of the Company’s anchoring and mooring equipment from the seabed off the coast of Oregon. During the three months ended October 31, 2014, the Company substantially completed the removal activity and reduced the letters of credit from $1,200,000 to $22,000. This letter of credit is secured by a certificate of deposit with PNC Bank and has a credit term through January 31,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 w:name="page12"/>
    <w:bookmarkEnd w:id="11"/>
    <w:p>
      <w:pPr>
        <w:jc w:val="center"/>
        <w:ind w:right="10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Company had classified the initial grant funding received from the Australian Renewable Energy Agency (“ARENA”) of A$5,595,723 ($5,179,960), which includes an amount required to be submitted as goods and services tax (GST), as restricted cash as of April 30, 2014.</w:t>
      </w:r>
    </w:p>
    <w:p>
      <w:pPr>
        <w:spacing w:after="0" w:line="170"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During the six months ended October 31, 2014, the Company remitted the GST in the amount of A$508,702 ($470,905) to the Australian Tax Office (ATO) in accordance with local tax laws and also reclaimed this amount from the ATO during such six month period. The Company also returned the initial grant funding received of A$5,595,723 ($5,179,960) and interest of A$109,051 ($102,061) to ARENA in accordance with the Deed Of Variation and Termination of Funding Deed executed between the parties in August 2014. The Company had accrued this amount in accrued expenses and recorded this amount as restricted cash at April 30, 2014. Restricted cash includes the following:</w:t>
      </w:r>
    </w:p>
    <w:p>
      <w:pPr>
        <w:spacing w:after="0" w:line="184"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October 31, 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 2014</w:t>
            </w:r>
          </w:p>
        </w:tc>
      </w:tr>
      <w:tr>
        <w:trPr>
          <w:trHeight w:val="190"/>
        </w:trPr>
        <w:tc>
          <w:tcPr>
            <w:tcW w:w="20" w:type="dxa"/>
            <w:vAlign w:val="bottom"/>
          </w:tcPr>
          <w:p>
            <w:pPr>
              <w:spacing w:after="0"/>
              <w:rPr>
                <w:sz w:val="16"/>
                <w:szCs w:val="16"/>
                <w:color w:val="auto"/>
              </w:rPr>
            </w:pPr>
          </w:p>
        </w:tc>
        <w:tc>
          <w:tcPr>
            <w:tcW w:w="5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6"/>
              </w:rPr>
              <w:t>Current:</w:t>
            </w:r>
          </w:p>
        </w:tc>
        <w:tc>
          <w:tcPr>
            <w:tcW w:w="5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Australian Renewable Energy Agency (ARENA)</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5,179,960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NJBPU agreement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2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Oregon Department of State Lands</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845,000</w:t>
            </w: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387,097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534,097</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6,124,960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October 31, 2014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 2014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Long Term:</w:t>
            </w:r>
          </w:p>
        </w:tc>
        <w:tc>
          <w:tcPr>
            <w:tcW w:w="1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Barclay's Bank Agreement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996,696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NJBPU agreement</w:t>
            </w: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100,000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1,221,696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Foreign Exchange Gains and Losses</w:t>
      </w:r>
    </w:p>
    <w:p>
      <w:pPr>
        <w:spacing w:after="0" w:line="225"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loss in the accompanying consolidated statements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80" w:type="dxa"/>
            <w:vAlign w:val="bottom"/>
            <w:gridSpan w:val="8"/>
          </w:tcPr>
          <w:p>
            <w:pPr>
              <w:jc w:val="center"/>
              <w:spacing w:after="0"/>
              <w:rPr>
                <w:sz w:val="20"/>
                <w:szCs w:val="20"/>
                <w:color w:val="auto"/>
              </w:rPr>
            </w:pPr>
            <w:r>
              <w:rPr>
                <w:rFonts w:ascii="Arial" w:cs="Arial" w:eastAsia="Arial" w:hAnsi="Arial"/>
                <w:sz w:val="18"/>
                <w:szCs w:val="18"/>
                <w:b w:val="1"/>
                <w:bCs w:val="1"/>
                <w:color w:val="auto"/>
                <w:w w:val="92"/>
              </w:rPr>
              <w:t>Three Months Ended October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7"/>
          </w:tcPr>
          <w:p>
            <w:pPr>
              <w:ind w:left="20"/>
              <w:spacing w:after="0"/>
              <w:rPr>
                <w:sz w:val="20"/>
                <w:szCs w:val="20"/>
                <w:color w:val="auto"/>
              </w:rPr>
            </w:pPr>
            <w:r>
              <w:rPr>
                <w:rFonts w:ascii="Arial" w:cs="Arial" w:eastAsia="Arial" w:hAnsi="Arial"/>
                <w:sz w:val="18"/>
                <w:szCs w:val="18"/>
                <w:b w:val="1"/>
                <w:bCs w:val="1"/>
                <w:color w:val="auto"/>
                <w:w w:val="96"/>
              </w:rPr>
              <w:t>Six Months Ended October 31,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297"/>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(216,249)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107,357</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(221,907)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129,127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420" w:type="dxa"/>
            <w:vAlign w:val="bottom"/>
            <w:gridSpan w:val="3"/>
          </w:tcPr>
          <w:p>
            <w:pPr>
              <w:spacing w:after="0"/>
              <w:rPr>
                <w:sz w:val="20"/>
                <w:szCs w:val="20"/>
                <w:color w:val="auto"/>
              </w:rPr>
            </w:pPr>
            <w:r>
              <w:rPr>
                <w:rFonts w:ascii="Arial" w:cs="Arial" w:eastAsia="Arial" w:hAnsi="Arial"/>
                <w:sz w:val="18"/>
                <w:szCs w:val="18"/>
                <w:color w:val="auto"/>
                <w:w w:val="93"/>
              </w:rPr>
              <w:t>Foreign currency denominated certificates of deposit and cash accounts: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October 31, 2014</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April 30, 2014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6,176,656</w:t>
            </w:r>
          </w:p>
        </w:tc>
        <w:tc>
          <w:tcPr>
            <w:tcW w:w="8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Unrestricted</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1,748,725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1,232,111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2,135,822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7,408,767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4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60" w:type="dxa"/>
            <w:vAlign w:val="bottom"/>
            <w:tcBorders>
              <w:left w:val="single" w:sz="8" w:color="808080"/>
            </w:tcBorders>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607" w:right="1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Long-Lived Assets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Long-lived assets, such as property and equipment and patents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 During the six months ended October 31, 2014, the Company reviewed its long-lived assets for impairment and estimated that the remaining useful lives, for purposes of amortizing capitalized external patent costs, should be reduced from approximately five years to one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Concentration of Credit Risk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920" w:type="dxa"/>
            <w:vAlign w:val="bottom"/>
            <w:gridSpan w:val="4"/>
          </w:tcPr>
          <w:p>
            <w:pPr>
              <w:ind w:left="80"/>
              <w:spacing w:after="0"/>
              <w:rPr>
                <w:sz w:val="20"/>
                <w:szCs w:val="20"/>
                <w:color w:val="auto"/>
              </w:rPr>
            </w:pPr>
            <w:r>
              <w:rPr>
                <w:rFonts w:ascii="Arial" w:cs="Arial" w:eastAsia="Arial" w:hAnsi="Arial"/>
                <w:sz w:val="18"/>
                <w:szCs w:val="18"/>
                <w:b w:val="1"/>
                <w:bCs w:val="1"/>
                <w:color w:val="auto"/>
              </w:rPr>
              <w:t>Three months ended October 31,</w:t>
            </w:r>
          </w:p>
        </w:tc>
        <w:tc>
          <w:tcPr>
            <w:tcW w:w="28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4"/>
              </w:rPr>
              <w:t>Six months ended October 31,</w:t>
            </w:r>
          </w:p>
        </w:tc>
      </w:tr>
      <w:tr>
        <w:trPr>
          <w:trHeight w:val="183"/>
        </w:trPr>
        <w:tc>
          <w:tcPr>
            <w:tcW w:w="45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Customer</w:t>
            </w:r>
          </w:p>
        </w:tc>
        <w:tc>
          <w:tcPr>
            <w:tcW w:w="120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2014</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ind w:left="420"/>
              <w:spacing w:after="0" w:line="182" w:lineRule="exact"/>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5"/>
                <w:szCs w:val="15"/>
                <w:color w:val="auto"/>
              </w:rPr>
            </w:pPr>
          </w:p>
        </w:tc>
        <w:tc>
          <w:tcPr>
            <w:tcW w:w="120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2014</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5"/>
                <w:szCs w:val="15"/>
                <w:color w:val="auto"/>
              </w:rPr>
            </w:pP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7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spacing w:after="0"/>
              <w:rPr>
                <w:sz w:val="17"/>
                <w:szCs w:val="17"/>
                <w:color w:val="auto"/>
              </w:rPr>
            </w:pPr>
          </w:p>
        </w:tc>
        <w:tc>
          <w:tcPr>
            <w:tcW w:w="1460" w:type="dxa"/>
            <w:vAlign w:val="bottom"/>
            <w:gridSpan w:val="2"/>
          </w:tcPr>
          <w:p>
            <w:pPr>
              <w:spacing w:after="0"/>
              <w:rPr>
                <w:sz w:val="17"/>
                <w:szCs w:val="17"/>
                <w:color w:val="auto"/>
              </w:rPr>
            </w:pPr>
          </w:p>
        </w:tc>
        <w:tc>
          <w:tcPr>
            <w:tcW w:w="1360" w:type="dxa"/>
            <w:vAlign w:val="bottom"/>
            <w:gridSpan w:val="2"/>
          </w:tcPr>
          <w:p>
            <w:pPr>
              <w:spacing w:after="0"/>
              <w:rPr>
                <w:sz w:val="17"/>
                <w:szCs w:val="17"/>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4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22%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Mitsui Engineering &amp; Shipbuilding</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460" w:type="dxa"/>
            <w:vAlign w:val="bottom"/>
            <w:gridSpan w:val="2"/>
          </w:tcPr>
          <w:p>
            <w:pPr>
              <w:ind w:left="1020"/>
              <w:spacing w:after="0"/>
              <w:rPr>
                <w:sz w:val="20"/>
                <w:szCs w:val="20"/>
                <w:color w:val="auto"/>
              </w:rPr>
            </w:pPr>
            <w:r>
              <w:rPr>
                <w:rFonts w:ascii="Arial" w:cs="Arial" w:eastAsia="Arial" w:hAnsi="Arial"/>
                <w:sz w:val="18"/>
                <w:szCs w:val="18"/>
                <w:color w:val="auto"/>
              </w:rPr>
              <w:t>15%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Union (WavePort project)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61%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UK Government's Technology Strategy Board</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7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76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98%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its customers to maintain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Net Loss per Common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computing diluted net loss per share, options to purchase shares of common stock and non-vested restricted stock issued to employees and non-employee directors, totaling 1,649,813 for the three and six months ended October 31, 2014, and 1,493,353 for the three and six months ended October 31, 2013, were excluded from the computations as the effect would be anti-dilutive due to the Company's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Recently Issued Accounting Standards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May 28,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requires an entity to recognize the amount of revenue to which it expects to be entitled for the transfer of promised goods or services to customers. The ASU will replace most existing revenue recognition guidance in U.S. Generally Accepted Accounting Principles (“GAAP”) when it becomes effective. The new standard is effective for us on January 1, 2017. Early application is not permitted. The standard permits the use of either the retrospective or the cumulative effect transition method. We are evaluating the effect that ASU 2014-09 will have on our consolidated financial statements and related disclosures. We have not yet selected a transition method nor have we determined the effect of the standard on our ongoing financial reporting.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We are evaluating the effect ASU 2014-15 will have on our consolidated financial statements and disclosures and have not yet determined the effect of the standard on our ongoing financial reporting at this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Marketable securities with initial maturities longer than three months but that mature within one year from the balance sheet date are classified as current assets and are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October 31, 2014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94"/>
              </w:rPr>
              <w:t>April 30, 2014</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US Treasury obligations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16,495,278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14,493,881</w:t>
            </w: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5440" w:type="dxa"/>
            <w:vAlign w:val="bottom"/>
            <w:gridSpan w:val="3"/>
          </w:tcPr>
          <w:p>
            <w:pPr>
              <w:spacing w:after="0"/>
              <w:rPr>
                <w:sz w:val="20"/>
                <w:szCs w:val="20"/>
                <w:color w:val="auto"/>
              </w:rPr>
            </w:pPr>
            <w:r>
              <w:rPr>
                <w:rFonts w:ascii="Arial" w:cs="Arial" w:eastAsia="Arial" w:hAnsi="Arial"/>
                <w:sz w:val="18"/>
                <w:szCs w:val="18"/>
                <w:b w:val="1"/>
                <w:bCs w:val="1"/>
                <w:color w:val="auto"/>
              </w:rPr>
              <w:t>(4) Balance Sheet Detail</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October 31, 2014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April 30, 2014</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62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4"/>
          </w:tcPr>
          <w:p>
            <w:pPr>
              <w:jc w:val="right"/>
              <w:ind w:right="120"/>
              <w:spacing w:after="0"/>
              <w:rPr>
                <w:sz w:val="20"/>
                <w:szCs w:val="20"/>
                <w:color w:val="auto"/>
              </w:rPr>
            </w:pPr>
            <w:r>
              <w:rPr>
                <w:rFonts w:ascii="Arial" w:cs="Arial" w:eastAsia="Arial" w:hAnsi="Arial"/>
                <w:sz w:val="18"/>
                <w:szCs w:val="18"/>
                <w:color w:val="auto"/>
              </w:rPr>
              <w:t>308,731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4"/>
          </w:tcPr>
          <w:p>
            <w:pPr>
              <w:jc w:val="right"/>
              <w:ind w:right="120"/>
              <w:spacing w:after="0"/>
              <w:rPr>
                <w:sz w:val="20"/>
                <w:szCs w:val="20"/>
                <w:color w:val="auto"/>
              </w:rPr>
            </w:pPr>
            <w:r>
              <w:rPr>
                <w:rFonts w:ascii="Arial" w:cs="Arial" w:eastAsia="Arial" w:hAnsi="Arial"/>
                <w:sz w:val="18"/>
                <w:szCs w:val="18"/>
                <w:color w:val="auto"/>
              </w:rPr>
              <w:t>308,731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 w:type="dxa"/>
            <w:vAlign w:val="bottom"/>
          </w:tcPr>
          <w:p>
            <w:pPr>
              <w:spacing w:after="0"/>
              <w:rPr>
                <w:sz w:val="17"/>
                <w:szCs w:val="17"/>
                <w:color w:val="auto"/>
              </w:rPr>
            </w:pPr>
          </w:p>
        </w:tc>
        <w:tc>
          <w:tcPr>
            <w:tcW w:w="4620" w:type="dxa"/>
            <w:vAlign w:val="bottom"/>
            <w:gridSpan w:val="2"/>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Patents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Patents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1,536,029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1,536,029</w:t>
            </w:r>
          </w:p>
        </w:tc>
        <w:tc>
          <w:tcPr>
            <w:tcW w:w="12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Accumulated amortization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(1,121,878)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4"/>
          </w:tcPr>
          <w:p>
            <w:pPr>
              <w:jc w:val="right"/>
              <w:ind w:right="60"/>
              <w:spacing w:after="0"/>
              <w:rPr>
                <w:sz w:val="20"/>
                <w:szCs w:val="20"/>
                <w:color w:val="auto"/>
              </w:rPr>
            </w:pPr>
            <w:r>
              <w:rPr>
                <w:rFonts w:ascii="Arial" w:cs="Arial" w:eastAsia="Arial" w:hAnsi="Arial"/>
                <w:sz w:val="18"/>
                <w:szCs w:val="18"/>
                <w:color w:val="auto"/>
              </w:rPr>
              <w:t>(707,731)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5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414,151</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828,298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462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20" w:type="dxa"/>
            <w:vAlign w:val="bottom"/>
            <w:gridSpan w:val="2"/>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Accrued expenses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Project costs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669,412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1,263,293</w:t>
            </w:r>
          </w:p>
        </w:tc>
        <w:tc>
          <w:tcPr>
            <w:tcW w:w="12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Contract loss reserve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308,343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 incentive payments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466,480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310,370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Accrued salary and benefits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464,766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4"/>
          </w:tcPr>
          <w:p>
            <w:pPr>
              <w:jc w:val="right"/>
              <w:ind w:right="120"/>
              <w:spacing w:after="0"/>
              <w:rPr>
                <w:sz w:val="20"/>
                <w:szCs w:val="20"/>
                <w:color w:val="auto"/>
              </w:rPr>
            </w:pPr>
            <w:r>
              <w:rPr>
                <w:rFonts w:ascii="Arial" w:cs="Arial" w:eastAsia="Arial" w:hAnsi="Arial"/>
                <w:sz w:val="18"/>
                <w:szCs w:val="18"/>
                <w:color w:val="auto"/>
              </w:rPr>
              <w:t>455,909</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Legal and accounting fees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739,454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168,402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w w:val="94"/>
              </w:rPr>
              <w:t>Goods and services tax (GST) due to Australian Tax Office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4"/>
          </w:tcPr>
          <w:p>
            <w:pPr>
              <w:jc w:val="right"/>
              <w:ind w:right="120"/>
              <w:spacing w:after="0"/>
              <w:rPr>
                <w:sz w:val="20"/>
                <w:szCs w:val="20"/>
                <w:color w:val="auto"/>
              </w:rPr>
            </w:pPr>
            <w:r>
              <w:rPr>
                <w:rFonts w:ascii="Arial" w:cs="Arial" w:eastAsia="Arial" w:hAnsi="Arial"/>
                <w:sz w:val="18"/>
                <w:szCs w:val="18"/>
                <w:color w:val="auto"/>
              </w:rPr>
              <w:t>470,905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262,360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2,885,285</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2,931,239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80" w:type="dxa"/>
            <w:vAlign w:val="bottom"/>
            <w:vMerge w:val="restart"/>
          </w:tcPr>
          <w:p>
            <w:pPr>
              <w:jc w:val="right"/>
              <w:ind w:right="93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8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50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80" w:type="dxa"/>
            <w:vAlign w:val="bottom"/>
            <w:tcBorders>
              <w:left w:val="single" w:sz="8" w:color="808080"/>
            </w:tcBorders>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(5) Related Party Transactions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86"/>
        </w:trPr>
        <w:tc>
          <w:tcPr>
            <w:tcW w:w="6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91"/>
              </w:rPr>
              <w:t>Three Months Ended October 31,</w:t>
            </w:r>
          </w:p>
        </w:tc>
      </w:tr>
      <w:tr>
        <w:trPr>
          <w:trHeight w:val="210"/>
        </w:trPr>
        <w:tc>
          <w:tcPr>
            <w:tcW w:w="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Related party consulting expense</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151,875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r>
      <w:tr>
        <w:trPr>
          <w:trHeight w:val="756"/>
        </w:trPr>
        <w:tc>
          <w:tcPr>
            <w:tcW w:w="6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0"/>
              </w:rPr>
              <w:t>Six Months Ended October 31,</w:t>
            </w:r>
          </w:p>
        </w:tc>
      </w:tr>
      <w:tr>
        <w:trPr>
          <w:trHeight w:val="210"/>
        </w:trPr>
        <w:tc>
          <w:tcPr>
            <w:tcW w:w="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Related party consulting expense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265,688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2014, the Company entered into an Executive Transition Agreement with George W. Taylor, who was formerly employed by the Company as Executive Vice Chairman and served on the Company’s Board of Directors prior to that date. Under this agreement, Dr. Taylor will receive up to fifteen months of consulting fees at a monthly rate of $20,000. For the three and six months ended October 31, 2014, the Company recorded $60,000 and $120,000 respectively in expense relating to this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2014, the Company entered into an agreement with David L. Keller, who has served as a non-executive director of the Company since October 2013. Under this agreement, Mr. Keller serves as Interim Chief Executive Officer effective with the June 9, 2014 termination of the Company’s former Chief Executive Officer, Charles F. Dunleavy. Mr. Keller will continue in this position while the Company searches for a permanent replacement and will receive a consulting fee of $1,500 per day of services provided. For the three and six months ended October 31, 2014, the Company recorded $91,875 and $145,688 respectively in expense relating to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assign to the NJBPU a certificate of deposit in an amount equal to the outstanding grant balance. See Note 2(f).</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October 31, 2014</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April 30, 2014</w:t>
            </w:r>
          </w:p>
        </w:tc>
        <w:tc>
          <w:tcPr>
            <w:tcW w:w="80" w:type="dxa"/>
            <w:vAlign w:val="bottom"/>
          </w:tcPr>
          <w:p>
            <w:pPr>
              <w:spacing w:after="0"/>
              <w:rPr>
                <w:sz w:val="20"/>
                <w:szCs w:val="20"/>
                <w:color w:val="auto"/>
              </w:rPr>
            </w:pPr>
          </w:p>
        </w:tc>
      </w:tr>
      <w:tr>
        <w:trPr>
          <w:trHeight w:val="210"/>
        </w:trPr>
        <w:tc>
          <w:tcPr>
            <w:tcW w:w="408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r>
      <w:tr>
        <w:trPr>
          <w:trHeight w:val="250"/>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Credits Payable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$600,000, less the aggregate discount on any emission credits sold to the investor prior to such date. In December 2012, the Company and the investor agreed to extend the period for the sale of emission credits until December 31, 2017. As of October 31, 2014, the Company has not generated any emissions credits eligible for purchase under the agreement. The $600,000 has been classified as a noncurrent liability as of October 31, 2014.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Stock-based compensation costs decreased for the three and six month periods ended October 31, 2014 versus October 31, 2013 due primarily to the termination for cause of Charles F. Dunleavy, former Chief Executive Officer, on June 9, 2014. In accordance with the Company’s 2001 Stock Plan and the 2006 Stock Incentive Plan, all vested and unvested grants are forfeited upon termination for cause. In addition, the Company issued stock-based awards during the month of October 2014, where for the prior year, stock based awards were issued during the month of June 2013. The aggregate stock-based compensation expense related to all stock-based transactions recorded in the consolidated statements of operations was approximately $153,000 and $370,000 for the six months ended October 31, 2014 and 2013,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Six Months Ended October 31, 2014 and 2013</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fair value of each stock option granted, for both service-based and performance-based vesting requirements, during the six months ended October 31, 2014 and 2013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was based on the Company’s historical volatility for the six months ended October 31, 2014 and 2013.</w:t>
      </w:r>
    </w:p>
    <w:p>
      <w:pPr>
        <w:spacing w:after="0" w:line="243"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Six Months Ended October 31,</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680" w:type="dxa"/>
            <w:vAlign w:val="bottom"/>
            <w:gridSpan w:val="2"/>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85.49%</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74.61%</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$0.72 and $1.11 for stock options granted during the six months ended October 31, 2014 and 2013,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A summary of stock options under the plans is as follows:</w:t>
            </w: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5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Weighted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200" w:type="dxa"/>
            <w:vAlign w:val="bottom"/>
          </w:tcPr>
          <w:p>
            <w:pPr>
              <w:jc w:val="center"/>
              <w:ind w:left="290"/>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Contractual</w:t>
            </w: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Underlying</w:t>
            </w: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86"/>
              </w:rPr>
              <w:t>Exercise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Term</w:t>
            </w:r>
          </w:p>
        </w:tc>
      </w:tr>
      <w:tr>
        <w:trPr>
          <w:trHeight w:val="234"/>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r>
      <w:tr>
        <w:trPr>
          <w:trHeight w:val="210"/>
        </w:trPr>
        <w:tc>
          <w:tcPr>
            <w:tcW w:w="5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April 30, 2014</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1,472,292</w:t>
            </w: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5.53</w:t>
            </w:r>
          </w:p>
        </w:tc>
        <w:tc>
          <w:tcPr>
            <w:tcW w:w="2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79"/>
              </w:rPr>
              <w:t>5.9</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(490,233)</w:t>
            </w:r>
          </w:p>
        </w:tc>
        <w:tc>
          <w:tcPr>
            <w:tcW w:w="1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7.03</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115,913</w:t>
            </w:r>
          </w:p>
        </w:tc>
        <w:tc>
          <w:tcPr>
            <w:tcW w:w="1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1.02</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31, 2014</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1,097,972</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4.39</w:t>
            </w:r>
          </w:p>
        </w:tc>
        <w:tc>
          <w:tcPr>
            <w:tcW w:w="162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6.2</w:t>
            </w:r>
          </w:p>
        </w:tc>
      </w:tr>
      <w:tr>
        <w:trPr>
          <w:trHeight w:val="197"/>
        </w:trPr>
        <w:tc>
          <w:tcPr>
            <w:tcW w:w="580" w:type="dxa"/>
            <w:vAlign w:val="bottom"/>
          </w:tcPr>
          <w:p>
            <w:pPr>
              <w:spacing w:after="0"/>
              <w:rPr>
                <w:sz w:val="17"/>
                <w:szCs w:val="17"/>
                <w:color w:val="auto"/>
              </w:rPr>
            </w:pPr>
          </w:p>
        </w:tc>
        <w:tc>
          <w:tcPr>
            <w:tcW w:w="5140" w:type="dxa"/>
            <w:vAlign w:val="bottom"/>
          </w:tcPr>
          <w:p>
            <w:pPr>
              <w:spacing w:after="0" w:line="196" w:lineRule="exact"/>
              <w:rPr>
                <w:sz w:val="20"/>
                <w:szCs w:val="20"/>
                <w:color w:val="auto"/>
              </w:rPr>
            </w:pPr>
            <w:r>
              <w:rPr>
                <w:rFonts w:ascii="Arial" w:cs="Arial" w:eastAsia="Arial" w:hAnsi="Arial"/>
                <w:sz w:val="18"/>
                <w:szCs w:val="18"/>
                <w:color w:val="auto"/>
              </w:rPr>
              <w:t>Exercisable as of October 31, 2014</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750,390</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96"/>
              </w:rPr>
              <w:t>5.79</w:t>
            </w:r>
          </w:p>
        </w:tc>
        <w:tc>
          <w:tcPr>
            <w:tcW w:w="1620" w:type="dxa"/>
            <w:vAlign w:val="bottom"/>
            <w:gridSpan w:val="2"/>
          </w:tcPr>
          <w:p>
            <w:pPr>
              <w:ind w:left="1300"/>
              <w:spacing w:after="0" w:line="196" w:lineRule="exact"/>
              <w:rPr>
                <w:sz w:val="20"/>
                <w:szCs w:val="20"/>
                <w:color w:val="auto"/>
              </w:rPr>
            </w:pPr>
            <w:r>
              <w:rPr>
                <w:rFonts w:ascii="Arial" w:cs="Arial" w:eastAsia="Arial" w:hAnsi="Arial"/>
                <w:sz w:val="18"/>
                <w:szCs w:val="18"/>
                <w:color w:val="auto"/>
              </w:rPr>
              <w:t>4.9</w:t>
            </w:r>
          </w:p>
        </w:tc>
      </w:tr>
      <w:tr>
        <w:trPr>
          <w:trHeight w:val="20"/>
        </w:trPr>
        <w:tc>
          <w:tcPr>
            <w:tcW w:w="5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October 31, 2014, the total intrinsic value of outstanding and exercisable options was $0. As of October 31, 2014, approximately 343,000 additional options are expected to vest in the future, which options had no intrinsic value and a weighted average remaining contractual term of 8.9 years. There was approximately $75,000 and $348,000 of total recognized compensation cost related to stock options for the six months ended October 31, 2014 and 2013, respectively. As of October 31, 2014, there was approximately $250,000 of total unrecognized compensation cost related to non-vested stock options granted under the plans. This cost is expected to be recognized over a weighted-average period of 2.2 years. The Company normally issues new shares to satisfy option exercises under these plans. Stock options outstanding as of October 31, 2014 included 115,786 stock options subject to performance-based vesting requirements.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Compensation expense for non-vested restricted stock is historically recorded based on its market value on the date of grant and recognized over the associated service and performance period. During the six months ended October 31, 2014, the Company granted 270,513 shares subject to service-based vesting requirements and 243,999 shares subject to performance-based vesting requirements. The achievement of the performance-based grants will be based on performance of the Company’s share price to a comparable market based indicator to be determined by the Company’s Board of Directors. These 243,999 performance based shares are not included in the table below and no compensation cost will be recorded until this performance market has been determined. During the six months ended October 31, 2014, 9,380 shares of non-vested restricted stock subject to performance-based vesting requirements were forfeited in accordance with performance objectives. Restricted stock issued and unvested at October 31, 2014 included 37,329 shares of non-vested restricted stock subject to performance-based vesting requirements.</w:t>
      </w:r>
    </w:p>
    <w:p>
      <w:pPr>
        <w:sectPr>
          <w:pgSz w:w="11900" w:h="16838" w:orient="portrait"/>
          <w:cols w:equalWidth="0" w:num="1">
            <w:col w:w="11420"/>
          </w:cols>
          <w:pgMar w:left="240" w:top="580" w:right="2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the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Issued and unvested at April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51764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65176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51764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Issued and unvested at October 31, 2014</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7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Number</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Average Price per</w:t>
            </w:r>
          </w:p>
        </w:tc>
      </w:tr>
      <w:tr>
        <w:trPr>
          <w:trHeight w:val="234"/>
        </w:trPr>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of Shares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Share</w:t>
            </w:r>
          </w:p>
        </w:tc>
      </w:tr>
      <w:tr>
        <w:trPr>
          <w:trHeight w:val="411"/>
        </w:trPr>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97,610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1560" w:type="dxa"/>
            <w:vAlign w:val="bottom"/>
          </w:tcPr>
          <w:p>
            <w:pPr>
              <w:jc w:val="right"/>
              <w:spacing w:after="0"/>
              <w:rPr>
                <w:sz w:val="20"/>
                <w:szCs w:val="20"/>
                <w:color w:val="auto"/>
              </w:rPr>
            </w:pPr>
            <w:r>
              <w:rPr>
                <w:rFonts w:ascii="Arial" w:cs="Arial" w:eastAsia="Arial" w:hAnsi="Arial"/>
                <w:sz w:val="18"/>
                <w:szCs w:val="18"/>
                <w:color w:val="auto"/>
              </w:rPr>
              <w:t>270,513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(9,380)</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(50,901)</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426"/>
        </w:trPr>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307,842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40" w:space="720"/>
            <w:col w:w="3960"/>
          </w:cols>
          <w:pgMar w:left="240" w:top="580" w:right="239" w:bottom="1440" w:gutter="0" w:footer="0" w:header="0"/>
          <w:type w:val="continuous"/>
        </w:sectPr>
      </w:pP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approximately $78,000 and $21,000 of total recognized compensation cost related to restricted stock for the six months ended October 31, 2014 and 2013, respectively. As of October 31, 2014, there was approximately $245,000 of total unrecognized compensation cost related to non-vested restricted stock granted under the plans. This cost is expected to be recognized over a weighted average period of 3.1 years.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(c)Treasury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October 31, 2014 and 2013, 806 and 4,081 shares, respectively, of common stock were purchased by the Company from employees to pay taxes related to the vesting of restricted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Company is a defendant in four putative securities class actions pending in the United States District Court for the District of New Jersey. </w:t>
      </w:r>
      <w:r>
        <w:rPr>
          <w:rFonts w:ascii="Arial" w:cs="Arial" w:eastAsia="Arial" w:hAnsi="Arial"/>
          <w:sz w:val="16"/>
          <w:szCs w:val="16"/>
          <w:i w:val="1"/>
          <w:iCs w:val="1"/>
          <w:color w:val="auto"/>
        </w:rPr>
        <w:t>See Roby v.</w:t>
      </w:r>
      <w:r>
        <w:rPr>
          <w:rFonts w:ascii="Arial" w:cs="Arial" w:eastAsia="Arial" w:hAnsi="Arial"/>
          <w:sz w:val="16"/>
          <w:szCs w:val="16"/>
          <w:color w:val="auto"/>
        </w:rPr>
        <w:t xml:space="preserve"> </w:t>
      </w:r>
      <w:r>
        <w:rPr>
          <w:rFonts w:ascii="Arial" w:cs="Arial" w:eastAsia="Arial" w:hAnsi="Arial"/>
          <w:sz w:val="16"/>
          <w:szCs w:val="16"/>
          <w:i w:val="1"/>
          <w:iCs w:val="1"/>
          <w:color w:val="auto"/>
        </w:rPr>
        <w:t>Ocean Power Technologies, Inc., et al.</w:t>
      </w:r>
      <w:r>
        <w:rPr>
          <w:rFonts w:ascii="Arial" w:cs="Arial" w:eastAsia="Arial" w:hAnsi="Arial"/>
          <w:sz w:val="16"/>
          <w:szCs w:val="16"/>
          <w:color w:val="auto"/>
        </w:rPr>
        <w:t>, Case No. 3:14-cv-03799-FLW-LHG;</w:t>
      </w:r>
      <w:r>
        <w:rPr>
          <w:rFonts w:ascii="Arial" w:cs="Arial" w:eastAsia="Arial" w:hAnsi="Arial"/>
          <w:sz w:val="16"/>
          <w:szCs w:val="16"/>
          <w:i w:val="1"/>
          <w:iCs w:val="1"/>
          <w:color w:val="auto"/>
        </w:rPr>
        <w:t xml:space="preserve"> Chew, et al. v. Ocean Power Technologies, Inc. et. al.</w:t>
      </w:r>
      <w:r>
        <w:rPr>
          <w:rFonts w:ascii="Arial" w:cs="Arial" w:eastAsia="Arial" w:hAnsi="Arial"/>
          <w:sz w:val="16"/>
          <w:szCs w:val="16"/>
          <w:color w:val="auto"/>
        </w:rPr>
        <w:t xml:space="preserve">, Case No 3:14-cv-03815-MAS-DEA; </w:t>
      </w:r>
      <w:r>
        <w:rPr>
          <w:rFonts w:ascii="Arial" w:cs="Arial" w:eastAsia="Arial" w:hAnsi="Arial"/>
          <w:sz w:val="16"/>
          <w:szCs w:val="16"/>
          <w:i w:val="1"/>
          <w:iCs w:val="1"/>
          <w:color w:val="auto"/>
        </w:rPr>
        <w:t>Konstantinidis v. Ocean Power Technologies, Inc., et al.</w:t>
      </w:r>
      <w:r>
        <w:rPr>
          <w:rFonts w:ascii="Arial" w:cs="Arial" w:eastAsia="Arial" w:hAnsi="Arial"/>
          <w:sz w:val="16"/>
          <w:szCs w:val="16"/>
          <w:color w:val="auto"/>
        </w:rPr>
        <w:t xml:space="preserve">, Case No. 3:14-cv-04015-FLW-DEA; </w:t>
      </w:r>
      <w:r>
        <w:rPr>
          <w:rFonts w:ascii="Arial" w:cs="Arial" w:eastAsia="Arial" w:hAnsi="Arial"/>
          <w:sz w:val="16"/>
          <w:szCs w:val="16"/>
          <w:i w:val="1"/>
          <w:iCs w:val="1"/>
          <w:color w:val="auto"/>
        </w:rPr>
        <w:t>Turner v. Ocean Power Technologies, Inc., et al.</w:t>
      </w:r>
      <w:r>
        <w:rPr>
          <w:rFonts w:ascii="Arial" w:cs="Arial" w:eastAsia="Arial" w:hAnsi="Arial"/>
          <w:sz w:val="16"/>
          <w:szCs w:val="16"/>
          <w:color w:val="auto"/>
        </w:rPr>
        <w:t>, Case No. 3:14-cv-04592. The Company’s former Chief Executive Officer is named as a defendant in each of the lawsuits and the Company’s Chief Financial Officer is named as a defendant in two of the lawsuits. The complaints allege claims for violations of §10(b) and §20(a) of the Securities Exchange Act of 1934 arising out of public statements relating to a now terminated agreement between Victorian Wave Partners Pty. Ltd. and the Australian Renewable Energy Agency for the development of a wave power station (the “VWP Project”). All four complaints seek unspecified monetary damages and other relief. On August 12, 2014, five motions for appointment of lead plaintiff were filed. The motions also seek to consolidate the actions. The Court has not ruled on the motions. The cases are still in their preliminary stages and defendants have not yet responded to the complaints.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10, 2014, the Company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 The Company is continuing to evaluate the Demand Letter but has also invited the attorney to participate in the Section 220 Demand process discussed below.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received a letter, dated August 19, 2014, (the “Section 220 Demand”) from another attorney claiming to represent a shareholder demanding, pursuant to 8 Del. C. § 220, to inspect certain books and records of the Company relating to the VWP Project and the termination of Charles Dunleavy as the Company’s Chief Executive Officer. The Company has received an additional Section 220 Demand relating to the same subject matter from an attorney claiming to represent a different shareholder. The Company has responded in writing to both Section 220 Demands, and is working with the attorneys to address relevant issues.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10, 2014, the Company announced that it had terminated Charles Dunleavy as Chief Executive Officer and as an employee of the Company,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To the Company’s knowledge, as of the date of filing of this Quarterly Report on Form 10-Q, Mr. Dunleavy has not filed any claims against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is involved from time to time in certain legal actions arising in the ordinary course of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 Spain IVA (sales tax)</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received notice that the Spanish tax authorities are inquiring into its 2010 IVA (value-added tax) filing for which the Company benefitted from the offset of approximately $250,000 of input tax. The Company believes that the inquiry will find that the tax credit was properly claimed and, therefore, no liability has been recorded. The Company issued two letters of credit in the amount of €278,828 ($351,655) at the request of the Spanish tax authorities. This is a customary request during the inquiry period. In November 2014, the Company received a partial refund of the amount under dispute and continues to expect that this matter will be resolved in the Company’s favor.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did not recognize any consolidated income tax benefit (expense) for the six month periods ended October 31, 2014 and 2013.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October 31, 2014, the Company had no material changes in uncertain tax positions.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Segments and Geographic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views its business as one segment, which is the development of its PowerBuoy product for wave energy applications. The Company operates on a worldwide basis with one operating company in the US, one operating subsidiary in the UK and one operating subsidiary in Australia, which are categorized below as North America, Europe, and Asia and Australia, respectively. Revenues are generally attributed to the operating unit that bills the customers.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8" w:name="page19"/>
    <w:bookmarkEnd w:id="18"/>
    <w:p>
      <w:pPr>
        <w:jc w:val="center"/>
        <w:ind w:right="6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4"/>
          </w:tcPr>
          <w:p>
            <w:pPr>
              <w:spacing w:after="0"/>
              <w:rPr>
                <w:sz w:val="20"/>
                <w:szCs w:val="20"/>
                <w:color w:val="auto"/>
              </w:rPr>
            </w:pPr>
            <w:r>
              <w:rPr>
                <w:rFonts w:ascii="Arial" w:cs="Arial" w:eastAsia="Arial" w:hAnsi="Arial"/>
                <w:sz w:val="18"/>
                <w:szCs w:val="18"/>
                <w:color w:val="auto"/>
              </w:rPr>
              <w:t>Geographic information is as follows: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Asia and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North America</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Europe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Australia</w:t>
            </w:r>
          </w:p>
        </w:tc>
        <w:tc>
          <w:tcPr>
            <w:tcW w:w="22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October 31, 2014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1,747,788</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1,747,788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(3,614,964)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(341,804)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(226,885)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(4,183,653)</w:t>
            </w: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October 31, 2013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460,837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463,608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(2,714,747)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(396,523)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(306,439)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(3,417,709)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2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3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October 31, 2014</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3,288,316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(6,197,577)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(734,672)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(720,957)</w:t>
            </w: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(7,653,206)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53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October 31, 2013</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175,946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924,535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(5,837,346)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(711,925)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(686,591)</w:t>
            </w: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(7,235,862)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5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October 31, 2014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Long-lived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259,210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6,676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265,886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23,192,939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909,092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677,816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24,779,847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5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April 30, 2014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Long-lived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305,314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317,513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31,313,240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1,003,205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5,768,390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38,084,835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80"/>
          </w:cols>
          <w:pgMar w:left="240" w:top="607" w:right="179" w:bottom="1440" w:gutter="0" w:footer="0" w:header="0"/>
        </w:sectPr>
      </w:pPr>
    </w:p>
    <w:bookmarkStart w:id="19" w:name="page20"/>
    <w:bookmarkEnd w:id="19"/>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discussion and analysis should be read in conjunction with the accompanying unaudited consolidated financial statements and related notes included in this Quarterly Report on Form 10-Q. Some of the information contained in this discussion and analysis or set forth elsewhere in this Form 10-Q, including information with respect to our plans and strategy for our business, includes forward-looking statements that involve risks and uncertainties. You should review the "Risk Factors" section of our Annual Report on Form 10-K for fiscal 2014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2014 refers to the year ended April 30,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are developing and are seeking to commercialize proprietary systems that generate electricity by harnessing the renewable energy of ocean waves. Our PowerBuoy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systems use proprietary technologies that convert the mechanical energy created by the rising and falling of ocean waves into electricity. We currently have and are continuing to develop both larger and smaller PowerBuoy prototypes which can be utilized in autonomous or other applications. Since fiscal 2002, government agencies have accounted for a significant portion of our revenues. These revenues were largely for the support of our product development efforts. Our goal is that an increased portion of our revenues will be from the sale of products and services, as compared to revenue from grants to support our product development efforts. As we continue to advance our proprietary technologies, we expect to have a net use of cash from operating activities unless and until we achieve positive cash flow from the planned commercialization of our products and services.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PowerBuoy system is based on modular, ocean-going buoys, which we have been periodically ocean testing since 1997. The rising and falling of the waves moves the buoy-like structure, creating mechanical energy that our proprietary technologies convert into electricity. We have tested and developed wave power generation and control technology in novel applications and have deployed and maintained our systems in the ocean for testing. We are developing PowerBuoy technology that has the unique, patented capability to electronically "tune" its performance as wave characteristics change. We expect this will enable the PowerBuoy to optimize its efficiency and resulting power output in dynamic ocean wave conditions. Our two PowerBuoy prototype products are designed for the following applications:</w:t>
      </w:r>
    </w:p>
    <w:p>
      <w:pPr>
        <w:spacing w:after="0" w:line="193" w:lineRule="exact"/>
        <w:rPr>
          <w:sz w:val="20"/>
          <w:szCs w:val="20"/>
          <w:color w:val="auto"/>
        </w:rPr>
      </w:pPr>
    </w:p>
    <w:p>
      <w:pPr>
        <w:jc w:val="both"/>
        <w:ind w:left="660" w:hanging="328"/>
        <w:spacing w:after="0" w:line="26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larger scale prototype PowerBuoy product is designed to supply electricity to a stand-alone power user or local or regional electric power grid. Installations may be comprised of a single PowerBuoy or an integrated array of PowerBuoys, plus the remaining components required to deliver electricity to the end user or power grid. In July 2007, our PowerBuoy interface was certified as compliant with international standards. Intertek, an independent laboratory, provided testing and evaluation services to certify that our grid connection systems comply with designated national and international standards. The PowerBuoy grid interface bears the Electrical Testing Laboratories (ETL) listing mark, and can be connected to the utility grid. In September 2010, working in conjunction with the US Navy and Hawaii Electric Company, our 40 kilowatt (kW)-rated PowerBuoy, located at Marine Corps Base Hawaii, became the first-ever grid connected wave energy device in the United States. In January 2011, our larger scale PowerBuoy design (the “150kW PowerBuoy” or “PB150”) structure and mooring system achieved independent certification from Lloyd’s Register. This certification confirmed that the PB150B1 design complies with certain international standards promulgated for floating offshore installations. The Lloyd’s Register (1999 Rules and Regulations for the classification of Floating Offshore Installation at Fixed Locations) process included detailed design analysis and appraisals, addressing the PB150B1 structure, hydrodynamics, mooring and anchoring. This PowerBuoy was deployed off the coast of Scotland from April 2011 through October 2011. While the PowerBuoy did not produce significant or anticipated power during its deployment period, learning from the deployment was incorporated into subsequent PowerBuoy designs. Best practices from the certification have been incorporated into ongoing design improvements. We anticipate deploying the next version of the large PowerBuoy in the first quarter of calendar 2015.</w:t>
      </w:r>
    </w:p>
    <w:p>
      <w:pPr>
        <w:spacing w:after="0" w:line="183" w:lineRule="exact"/>
        <w:rPr>
          <w:rFonts w:ascii="Arial" w:cs="Arial" w:eastAsia="Arial" w:hAnsi="Arial"/>
          <w:sz w:val="17"/>
          <w:szCs w:val="17"/>
          <w:color w:val="auto"/>
        </w:rPr>
      </w:pPr>
    </w:p>
    <w:p>
      <w:pPr>
        <w:jc w:val="both"/>
        <w:ind w:left="660" w:hanging="328"/>
        <w:spacing w:after="0" w:line="28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smaller prototype PowerBuoy system is designed to generate power for use autonomously (independent of an existing power grid) in remote locations. In 2011, we deployed and operated off the coast of New Jersey an autonomous prototype PowerBuoy (the “APB-350”), which we designed and manufactured for the US Navy’s Littoral Expeditionary Autonomous PowerBuoy (LEAP) contract for coastal security and maritime surveillance. The prototype APB-350 PowerBuoy structure, incorporating a unique power take-off and onboard system for energy storage and management, is significantly smaller than our utility scale PowerBuoy. With the partial funding from the US Navy, we were able to continue to improve our prototype PowerBuoy system. The prototype APB-350 Autonomous PowerBuoy aims at potentially providing persistent, off-grid clean energy in remote ocean locations. We believe there are a variety of potential applications for this system, including ocean-based communication and data gathering such as for tsunami warnings and seismic surveys, homeland security, offshore oil and gas platforms and aquaculture. Within the Homeland Security market sector, in 2012, we executed a Cooperative Research and Development Agreement, or CRADA, with the U.S. Department of Homeland Security, which utilized the same prototype APB-350 Autonomous PowerBuoy. An additional 2013 deployment provided critical data to inform the next design iteration of the prototype APB-350, which will incorporate major modifications to address critical operations and reliability improvements. We anticipate deploying the next version of the smaller PowerBuoy in calendar 2015.</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0" w:name="page21"/>
    <w:bookmarkEnd w:id="20"/>
    <w:p>
      <w:pPr>
        <w:jc w:val="both"/>
        <w:spacing w:after="0" w:line="342" w:lineRule="auto"/>
        <w:rPr>
          <w:sz w:val="20"/>
          <w:szCs w:val="20"/>
          <w:color w:val="auto"/>
        </w:rPr>
      </w:pPr>
      <w:r>
        <w:rPr>
          <w:rFonts w:ascii="Arial" w:cs="Arial" w:eastAsia="Arial" w:hAnsi="Arial"/>
          <w:sz w:val="16"/>
          <w:szCs w:val="16"/>
          <w:color w:val="auto"/>
        </w:rPr>
        <w:t>Our product development and engineering efforts are focused primarily on technologies that aim to increase energy output, reliability and scalability of the design of our PowerBuoy system, with the goal of generating electricity at a competitive levelized cost of energy, initially for autonomous applications.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2014, we worked on projects with the US Department of Energy (“DOE”), our WavePort project in Spain, our project with Mitsui Engineering &amp; Shipbuilding (“MES”) and continued our efforts to increase the power output and reliability of our prototype PowerBuoy systems.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six months ended October 31, 2014, we continued work on our projects with MES and the DOE. We also completed our contract with the European Union (EC) for our WavePort project in Spain. We had announced that the next step in this project would be partially funded by a grant that we received from Ente Vasco de la Energia (“EVE”) a Basque regional energy agency. We had anticipated that the PowerBuoy would be deployed at a site off the north coast of Spain, along with other components of the project to be provided by members of the consortium under the EC contract. Due to a variety of factors, rather than deploying the PowerBuoy off of the coast of Spain, we now intend to deploy off the coast of New Jersey in the first quarter of calendar 2015. Since the EVE grant, which is up to Euro 1.13 million ($1.56 million), depends on a deployment in Spain (among other factors) and runs to December 31, 2015, we have removed the EVE grant from our backlog. However, we remain in communication with EVE in regards to utilizing the grant on a future beneficial project, although there can be no assurance that the EVE grant will ever be utilized, and if so, on what terms.</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PowerBuoy arrived in Bayonne, NJ from Santander, Spain in mid-November and is currently being re-assembled and undergoing final checkout. We are also engaged in the permitting process and contracting with local sources for ocean deployment. Our intent is to deploy and ocean test the PB40 as quickly as possible in order to achieve the original WavePort project objectives to demonstrate performance of a large scale wave energy converter.</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our Reedsport project in Oregon, we had obtained a permit from the Federal Energy Regulatory Commission (“FERC”) for a multi-stage wave power project off the coast of Reedsport, Oregon. In addition, we received two cost-sharing contracts with the (DOE) for approximately $4.4 million to construct and deploy a single PowerBuoy off the coast of Reedsport. We subsequently obtained a license from FERC in August 2012 that authorized installation and operation of a 10-buoy grid connected wave energy array (the “License”). Due to the complexity of the FERC regulations for the single buoy, higher than anticipated project costs, unanticipated technical risks, and uncertainty surrounding permitting, we made the decision not to proceed with the project. Accordingly, we announced in March 2014 our surrender of the permit for one phase of the project and announced in April 2014 that we were taking the steps necessary to close out this project with the DOE. In May 2014, we filed an application to surrender the FERC permit for the remaining phases. In August, we completed the removal of the anchoring and mooring equipment from the seabed off the coast of Oregon. We are in the process of completing the site survey and clearance, and submittal and acceptance of final reports to FERC.</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continued our efforts to increase the output and reliability of our prototype PowerBuoy systems. Our development efforts also remain focused on further optimization of our modular and optimized power takeoff technology.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October 31, 2014, our total negotiated backlog was $1.7 million compared with $5.8 million at October 31, 2013. Some of our backlog at October 31, 2014 and 2013 consisted of cost-sharing contracts as described in the Financial Operations Overview section of Management’s Discussion and Analysis in this Quarterly Report on Form 10-Q. Our backlog can include both funded amounts, which are unfilled firm orders for which funding has been both authorized and appropriated by the customer (Congress, in the case of US Government agencies), and unfunded amounts, which are unfilled firm orders from the DOE for which funding has not been appropriated. If any of our contracts were to be terminated, our backlog would be reduced by the expected value of the remaining terms of such contracts. Our backlog was fully funded at October 31, 2014 and 2013. Further, in September 2013, we were selected for a $1.0 million award from the DOE to enhance the commercial viability of our PowerBuoy system through mechanical component design changes. On September 26, 2014, the DOE notified the Company of DOE’s decision to terminate negotiations with respect to the financial assistance award under the funding opportunity, and the Company accepted DOE’s decision without protest. As previously disclosed, we had not received any funds from DOE with respect to this award and had not included the award in our backlog.</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reduced our backlog by $1.0 million for the grant that we received from Ente Vasco de la Energia (“EVE”) a Basque regional energy agency that would provide partial funding for the deployment of the PowerBuoy off the coast of Spain. It is our intent to deploy the PowerBuoy off the coast of New Jersey as discussed above and we remain in communication with EVE in regards to utilizing the grant on a future beneficial project.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8"/>
          <w:szCs w:val="18"/>
          <w:color w:val="auto"/>
        </w:rPr>
        <w:t>For the three months ended October 31, 2014, we generated revenues of $1.7 million and incurred a net loss attributable to Ocean Power Technologies, Inc. of $4.4 million, and for the three months ended October 31, 2013, we generated revenues of $0.5 million and incurred a net loss attributable to Ocean Power Technologies, Inc. of $3.3 million. As of October 31, 2014, our accumulated deficit was $159.3 million. We have not been profitable since inception, and we do not know whether or when we will become profitable because of the significant uncertainties with respect to our ability to successfully commercialize our PowerBuoy systems in the emerging renewable energy market.</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Currently, the cost of electricity generated from wave energy, without the benefit of subsidies or other economic incentives, substantially exceeds the prevailing price of electricity in all significant markets in the world. As a result, the near-term growth of the market opportunity for our utility PowerBuoy systems, which are designed with the capability to feed electricity into a local or regional power grid, depends significantly on the availability and magnitude of government incentives and subsidies for wave energy. Federal, state and local governmental bodies in many countries have provided subsidies in the form of tariff subsidies, rebates, tax credits and other incentives to utilities, power generators and distributors using renewable energy. However, these incentives and subsidies generally decline over time. Many incentive and subsidy programs have specific expiration dates, and there can be no assurance that our technology will qualify for current or future subsidies. The timing, scope and size of new government programs for renewable energy are uncertain, and there can be no assurances that we or our customers will be successful in obtaining any additional government funding or that projects will be profitable even with available funding.</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 of contract backlog is not necessarily indicative of future revenue because modifications to or terminations of present contracts and delays can provide additional revenue or reduce anticipated revenue. A substantial portion of our revenue is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2009, Leighton Contractors Pty. Ltd. (Leighton) formed Victorian Wave Partners Pty Ltd (“VWP”), a special purpose company for the development of a wave power project off the coast of Victoria, Australia. In 2010, VWP and the Commonwealth of Australia entered into an Energy Demonstration Program Funding Deed (“Funding Deed”), wherein VWP was awarded an A$66.5 million (approximately US$62 million) grant for the wave power project; however, receipt of funds under the grant was subject to certain terms, including achievement of future significant external funding milestones. The grant was expected to be used towards the A$232 million proposed cost of building and deploying a wave power station off the coast of Australia (the “Project”). In March 2012, our Australian subsidiary Ocean Power Technologies (Australasia) Pty. Ltd acquired 100% ownership of VWP from Leighton. In January 2014, VWP signed a Deed of Variation with the Australian Renewable Energy Agency (“ARENA”) that amended the Funding Deed, and, in March 2014, received the initial portion of the grant from ARENA in the amount of approximately A$5.6 million (approximately US$5.2 million) (the “Initial Funding”). The Initial Funding was subject to claw-back provisions if certain contractual requirements, including performance criteria, were not satisfied. In light of the claw-back provisions, the Company determined to classify the Initial Funding as an advance payment, hold the funds as restricted cash and defer recognition of the funds as revenue.</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July 2014, VWP’s Board of Directors concluded that the wave power demonstration project contemplated was no longer commercially viable, and VWP delivered a termination notice to ARENA. In August 2014, the Company and ARENA executed the Deed of Variation and Termination of Funding Deed. Under this agreement the Company returned the initial grant funding received of A$5,595,723 ($5,179,960) and interest of A$109,051 ($102,061).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consolidated statements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Some revenue contracts may contain complex criteria or uncertainty surrounding the terms of performance and customer acceptance. These contracts are subject to interpretation, and management may make a judgment as to the amount of revenue earned and recorded. Because we have a small number of contracts, revisions to the percentage-of-completion determination, management interpretation or delays in meeting performance and contractual criteria or in completing projects may have a significant effect on our revenue for the periods involved. Upon anticipating a loss on a contract, we recognize the full amount of the anticipated loss in the current period.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68" w:lineRule="auto"/>
        <w:rPr>
          <w:sz w:val="20"/>
          <w:szCs w:val="20"/>
          <w:color w:val="auto"/>
        </w:rPr>
      </w:pPr>
      <w:r>
        <w:rPr>
          <w:rFonts w:ascii="Arial" w:cs="Arial" w:eastAsia="Arial" w:hAnsi="Arial"/>
          <w:sz w:val="17"/>
          <w:szCs w:val="17"/>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cost-sharing. Under firm fixed price contracts, we receive an agreed-upon amount for providing products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The majority of our revenue for the three and six months ended October 31, 2014 and 2013 was from cost-sharing contracts, however, in the three and six months ended October 31, 2014 our firm fixed price contract with MES recorded under the percentage-of-completion method had an increase in estimated total costs of the project. This increase in estimated project costs resulted in a gross loss, and we recorded an accrual for the future anticipated loss on the contract.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regarding the breakdown of our revenues by customer for the three and six months ended October 31, 2014 and 2013:</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8"/>
              </w:rPr>
              <w:t>Three months ended October 31,</w:t>
            </w:r>
          </w:p>
        </w:tc>
        <w:tc>
          <w:tcPr>
            <w:tcW w:w="140" w:type="dxa"/>
            <w:vAlign w:val="bottom"/>
          </w:tcPr>
          <w:p>
            <w:pPr>
              <w:spacing w:after="0"/>
              <w:rPr>
                <w:sz w:val="20"/>
                <w:szCs w:val="20"/>
                <w:color w:val="auto"/>
              </w:rPr>
            </w:pPr>
          </w:p>
        </w:tc>
        <w:tc>
          <w:tcPr>
            <w:tcW w:w="258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Six months ended October 31,</w:t>
            </w:r>
          </w:p>
        </w:tc>
      </w:tr>
      <w:tr>
        <w:trPr>
          <w:trHeight w:val="183"/>
        </w:trPr>
        <w:tc>
          <w:tcPr>
            <w:tcW w:w="46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Customer</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50"/>
              <w:spacing w:after="0" w:line="182" w:lineRule="exact"/>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2014</w:t>
            </w:r>
          </w:p>
        </w:tc>
        <w:tc>
          <w:tcPr>
            <w:tcW w:w="1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ind w:left="160"/>
              <w:spacing w:after="0" w:line="182"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5"/>
                <w:szCs w:val="15"/>
                <w:color w:val="auto"/>
              </w:rPr>
            </w:pP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0.2</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Mitsui Engineering &amp; Shipbuilding</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0.1</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Union (WavePort project)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0.4</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UK Government's Technology Strategy Board</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0.2</w:t>
            </w:r>
          </w:p>
        </w:tc>
      </w:tr>
      <w:tr>
        <w:trPr>
          <w:trHeight w:val="250"/>
        </w:trPr>
        <w:tc>
          <w:tcPr>
            <w:tcW w:w="76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0.9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percentage of our revenues by geographical location of our customers for the six months ended October 31, 2014 and 2013:</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46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Six months ended October 31,</w:t>
            </w:r>
          </w:p>
        </w:tc>
        <w:tc>
          <w:tcPr>
            <w:tcW w:w="0" w:type="dxa"/>
            <w:vAlign w:val="bottom"/>
          </w:tcPr>
          <w:p>
            <w:pPr>
              <w:spacing w:after="0"/>
              <w:rPr>
                <w:sz w:val="1"/>
                <w:szCs w:val="1"/>
                <w:color w:val="auto"/>
              </w:rPr>
            </w:pPr>
          </w:p>
        </w:tc>
      </w:tr>
      <w:tr>
        <w:trPr>
          <w:trHeight w:val="183"/>
        </w:trPr>
        <w:tc>
          <w:tcPr>
            <w:tcW w:w="568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Customer Location</w:t>
            </w:r>
          </w:p>
        </w:tc>
        <w:tc>
          <w:tcPr>
            <w:tcW w:w="1540" w:type="dxa"/>
            <w:vAlign w:val="bottom"/>
            <w:tcBorders>
              <w:top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2014</w:t>
            </w:r>
          </w:p>
        </w:tc>
        <w:tc>
          <w:tcPr>
            <w:tcW w:w="2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490"/>
              <w:spacing w:after="0" w:line="182" w:lineRule="exact"/>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16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revenue recorded for the six months ended October 31, 2014 and 2013 was generated from cost-sharing contracts, which result in zero gross profit, however, in the six months ended October 31, 2014 our firm fixed price contract with MES recorded under the percentage-of-completion method had an increase in estimated total costs of the project. This increase in estimated project costs resulted in a gross loss and we recorded an accrual for the future anticipated loss on the contract.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increasing sales of our PowerBuoy systems and our ability to manage costs incurred on fixed price commercial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utility PowerBuoy system, and to our research and development of new products, product applications and complementary technologies. We expense all of our product development costs as incurred. Over the next several years, it is our intent to fund the majority of our research and development expenses, including cost-sharing arrangements, with sources of external funding. If we are unable to obtain external funding, we may curtail our research and development expenses and scope as necessary.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and interest expense paid on certain obligations to third parties. Total cash, cash equivalents, restricted cash, and marketable securities were $23.4 million as of October 31, 2014, compared to $18.7 million as of October 31,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our interest income reported in fiscal 2015 will continue to be lower than the comparable periods of the prior fiscal year as a result of the decrease in invested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invest in certificates of deposit and maintain cash accounts that are denominated in British pounds sterling, Euros and Australian dollars. These foreign-denominated certificates of deposit and cash accounts had a balance of $2.1 million as of October 31, 2014 and October 31, 2013, compared to our total cash, cash equivalents, restricted cash, and marketable securities balances of $23.4 million as of October 31, 2014 and $18.7 million as of October 31, 2013. These foreign currency balances are translated at each month end to our functional currency, the US dollar, and any resulting gain or loss is recognized in our results of operations.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 portion of our international revenues for the six months ended October 31, 2014 and 2013 were recorded in Euros or British pounds sterling.</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2014 Compared to Three Months Ended October 31, 2013</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October 31, 2014 and 2013:</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gridSpan w:val="5"/>
            <w:vMerge w:val="restart"/>
          </w:tcPr>
          <w:p>
            <w:pPr>
              <w:jc w:val="right"/>
              <w:ind w:right="340"/>
              <w:spacing w:after="0"/>
              <w:rPr>
                <w:sz w:val="20"/>
                <w:szCs w:val="20"/>
                <w:color w:val="auto"/>
              </w:rPr>
            </w:pPr>
            <w:r>
              <w:rPr>
                <w:rFonts w:ascii="Arial" w:cs="Arial" w:eastAsia="Arial" w:hAnsi="Arial"/>
                <w:sz w:val="18"/>
                <w:szCs w:val="18"/>
                <w:b w:val="1"/>
                <w:bCs w:val="1"/>
                <w:color w:val="auto"/>
                <w:w w:val="90"/>
              </w:rPr>
              <w:t>Three Months ended October 31,</w:t>
            </w: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21"/>
        </w:trPr>
        <w:tc>
          <w:tcPr>
            <w:tcW w:w="5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gridSpan w:val="5"/>
            <w:vMerge w:val="continue"/>
          </w:tcPr>
          <w:p>
            <w:pPr>
              <w:spacing w:after="0"/>
              <w:rPr>
                <w:sz w:val="19"/>
                <w:szCs w:val="19"/>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2014 Period to</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2013 Period</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1,747,788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463,608</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1,998,076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462,336</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Gross (loss) profit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(250,288)</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(19,777)</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1,224,487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1,610,089</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70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2,708,878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1,808,892</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3,933,365</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3,418,981</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(4,183,653)</w:t>
            </w: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(3,417,709)</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2,879</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(216,249)</w:t>
            </w: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107,357</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(4,396,478)</w:t>
            </w: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(3,307,473)</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5700" w:type="dxa"/>
            <w:vAlign w:val="bottom"/>
          </w:tcPr>
          <w:p>
            <w:pPr>
              <w:ind w:left="160"/>
              <w:spacing w:after="0" w:line="201" w:lineRule="exact"/>
              <w:rPr>
                <w:sz w:val="20"/>
                <w:szCs w:val="20"/>
                <w:color w:val="auto"/>
              </w:rPr>
            </w:pPr>
            <w:r>
              <w:rPr>
                <w:rFonts w:ascii="Arial" w:cs="Arial" w:eastAsia="Arial" w:hAnsi="Arial"/>
                <w:sz w:val="18"/>
                <w:szCs w:val="18"/>
                <w:color w:val="auto"/>
                <w:w w:val="96"/>
              </w:rPr>
              <w:t>Less: Net loss attributable to the noncontrolling interest in Ocean Power</w:t>
            </w:r>
          </w:p>
        </w:tc>
        <w:tc>
          <w:tcPr>
            <w:tcW w:w="12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26,784</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36,916</w:t>
            </w:r>
          </w:p>
        </w:tc>
        <w:tc>
          <w:tcPr>
            <w:tcW w:w="15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7"/>
        </w:trPr>
        <w:tc>
          <w:tcPr>
            <w:tcW w:w="5700" w:type="dxa"/>
            <w:vAlign w:val="bottom"/>
          </w:tcPr>
          <w:p>
            <w:pPr>
              <w:ind w:left="320"/>
              <w:spacing w:after="0"/>
              <w:rPr>
                <w:sz w:val="20"/>
                <w:szCs w:val="20"/>
                <w:color w:val="auto"/>
              </w:rPr>
            </w:pPr>
            <w:r>
              <w:rPr>
                <w:rFonts w:ascii="Arial" w:cs="Arial" w:eastAsia="Arial" w:hAnsi="Arial"/>
                <w:sz w:val="18"/>
                <w:szCs w:val="18"/>
                <w:color w:val="auto"/>
              </w:rPr>
              <w:t>Technologies (Australasia) Pty Ltd.</w:t>
            </w: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(4,369,694)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(3,270,557)</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Revenues increased by $1.3 million, or 277%, to $1.7 million in the three months ended October 31, 2014, as compared to $0.5 million in the three months ended October 31, 2013. The increase in revenue is primarily related to increased billable work for the removal of the anchoring and mooring equipment from the seabed off the coast of Oregon and increased billable work under the current phase of our project with MES. These increases were partially offset by decreased revenue on our WavePort contract with EU for our project in Spain that was completed during the three months ended July 31,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Cost of revenues increased by $1.5 million, or 332%, to $2.0 million in the three months ended October 31, 2014, as compared to $0.5 million in the three months ended October 31, 2013. The increase in cost of revenue is primarily related to costs for increased billable work for the removal of the anchoring and mooring equipment from the seabed off the coast of Oregon and increased billable work under the current phase of our project with MES. Our firm fixed price contract with MES recorded under the percentage-of-completion method had an increase in estimated total costs of the project. This increase in estimated project costs resulted in a gross loss and we recorded an accrual for the future anticipated loss on the contract. These increases were partially offset by decreased cost of revenues on our WavePort contract with the EU for our project in Spain that was completed during the three months ended July 31, 2014.</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Some of our projects in the three month period ended October 31, 2014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development costs decreased by $0.4 million, or 24%, to $1.2 million in the three months ended October 31, 2014, as compared to $1.6 million in the three months ended October 31, 2013. The decrease in product development costs was related primarily to the substantial completion of our cost-sharing contract with the DOE for our Reedsport project in Oregon and decreased costs associated with other internally funded development projects. This decrease was offset by increased product development costs associated with our PB40 PowerBuoy project that we intend to deploy off the coast of New Jersey in the first quarter of calendar 2015. Over the next several years, it is our intent to fund the majority of our research and development expenses, including cost-sharing arrangements, with sources of external funding. If we are unable to obtain external funding, we may curtail product development expenses and/or scope as necessary.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general and administrative costs increased by approximately $0.9 million, or 50%, to $2.7 million for the three months ended October 31, 2014 as compared to $1.8 million for the three months ended October 31, 2013. The increase was related primarily to legal fees to address the shareholder litigation and related matters. In addition, costs increased related to third party consultant fees and patent costs due to shortening the estimated useful lives for recording amortization expense. These increases were offset by decreased site development expenses related to our terminated project in Australia.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approximately $3,000 for the three months ended October 31, 2014, and the three months ended October 31,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 gain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loss was $216,000 for the three months ended October 31, 2014, compared to a foreign exchange gain of $107,000 for the three months ended October 31, 2013.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October 31, 2014 Compared to Six Months Ended October 31, 2013</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six months ended October 31, 2014 and 2013:</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60" w:type="dxa"/>
            <w:vAlign w:val="bottom"/>
            <w:gridSpan w:val="5"/>
            <w:vMerge w:val="restart"/>
          </w:tcPr>
          <w:p>
            <w:pPr>
              <w:jc w:val="right"/>
              <w:ind w:right="640"/>
              <w:spacing w:after="0"/>
              <w:rPr>
                <w:sz w:val="20"/>
                <w:szCs w:val="20"/>
                <w:color w:val="auto"/>
              </w:rPr>
            </w:pPr>
            <w:r>
              <w:rPr>
                <w:rFonts w:ascii="Arial" w:cs="Arial" w:eastAsia="Arial" w:hAnsi="Arial"/>
                <w:sz w:val="18"/>
                <w:szCs w:val="18"/>
                <w:b w:val="1"/>
                <w:bCs w:val="1"/>
                <w:color w:val="auto"/>
                <w:w w:val="96"/>
              </w:rPr>
              <w:t>Six Months ended October 31,</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21"/>
        </w:trPr>
        <w:tc>
          <w:tcPr>
            <w:tcW w:w="5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60" w:type="dxa"/>
            <w:vAlign w:val="bottom"/>
            <w:gridSpan w:val="5"/>
            <w:vMerge w:val="continue"/>
          </w:tcPr>
          <w:p>
            <w:pPr>
              <w:spacing w:after="0"/>
              <w:rPr>
                <w:sz w:val="19"/>
                <w:szCs w:val="19"/>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2014 Period to</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2013 Period</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3,288,316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924,535</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3,965,240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922,712</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Gross (loss) profit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(676,924)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2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(37,232)</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1,144,432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2,881,034</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5,831,850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4,356,651</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6,976,282</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7,237,685</w:t>
            </w:r>
          </w:p>
        </w:tc>
        <w:tc>
          <w:tcPr>
            <w:tcW w:w="2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(7,653,206)</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(7,235,862)</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(55,196)</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3,237</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(221,907)</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129,127</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(7,745,309)</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(7,103,498)</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Less: Net loss attributable to the noncontrolling interest in Ocean</w:t>
            </w:r>
          </w:p>
        </w:tc>
        <w:tc>
          <w:tcPr>
            <w:tcW w:w="28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92,863</w:t>
            </w:r>
          </w:p>
        </w:tc>
        <w:tc>
          <w:tcPr>
            <w:tcW w:w="180" w:type="dxa"/>
            <w:vAlign w:val="bottom"/>
            <w:vMerge w:val="restart"/>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82,971</w:t>
            </w: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Technologies (Australasia) Pty Ltd.</w:t>
            </w:r>
          </w:p>
        </w:tc>
        <w:tc>
          <w:tcPr>
            <w:tcW w:w="2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(7,652,446)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(7,020,527)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increased by $2.4 million, or 256%, to $3.3 million in the six months ended October 31, 2014, as compared to $0.9 million in the six months ended October 31, 2013. The increase in revenue is primarily related to increased billable work for the removal of the anchoring and mooring equipment from the seabed off the coast of Oregon and increased billable work under the current phase of our project with MES and revenue related to the completion of our WavePort contract with the EU. These increases were partially offset by decreased revenue on our development project for our modular power take-off technology.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revenues increased by $3.0 million, or 330%, to $4.0 million in the six months ended October 31, 2014, as compared to $0.9 million in the six months ended October 31, 2013. The increase in cost of revenue is primarily related to costs for increased billable work for the removal of the anchoring and mooring equipment from the seabed off the coast of Oregon and increased billable work under the current phase of our project with MES and cost of revenue related to the completion of our WavePort contract with the EU. Our firm fixed price contract with MES recorded under the percentage-of-completion method had an increase in estimated total costs of the project. This increase in estimated project costs resulted in a gross loss and we recorded an accrual for the future anticipated loss on the contract. These increases were partially offset by decreased cost of revenues on our development project for our modular power take-off technology.</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Some of our projects in the six month period ended October 31, 2014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Product development costs decreased by $1.7 million, or 60%, to $1.1 million in the six months ended October 31, 2014, as compared to $2.9 million in the six months ended October 31, 2013. The decrease in product development costs was related primarily to the substantial completion of our cost-sharing contract with the DOE for our Reedsport project in Oregon and decreased costs associated with other internally funded development projects. Over the next several years, it is our intent to fund the majority of our research and development expenses, including cost-sharing arrangements, with sources of external funding. If we are unable to obtain external funding, we may curtail product development expenses and/or scope as necessary.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costs increased by approximately $1.5 million, or 34%, to $5.8 million for the six months ended October 31, 2014 as compared to $4.4 million for the six months ended October 31, 2013. The increase was related primarily to legal fees to address the shareholder litigation and related matters. In addition, costs increased related to third party consultant fees and patent costs due to shortening the estimated useful lives for recording amortization expense. These increases were offset by decreased accounting fees and decreased employee related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income (expense) decreased to ($55,000) for the six months ended October 31, 2014, as compared to $3,237 in the six months ended October 31, 2013. This change was related primarily to interest expense recorded for the repayment of funds received in March 2014 from ARENA of $5.2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 gain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loss was $222,000 for the six months ended October 31, 2014, compared to a foreign exchange gain of $129,000 for the six months ended October 31, 2013.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October 31, 2014, we reached a favorable settlement with a vendor regarding a disputed transaction, which comprises the amount of $185,000 recorded within Other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two years ended April 30, 2014, our net losses were $26.0 million and our net cash used in operating activities was $17.3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w w:val="97"/>
              </w:rPr>
              <w:t>Cash flows for the six months ended October 31, 2014 and 2013 were as follows:</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7"/>
              </w:rPr>
              <w:t>Six Months Ended October 31,</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(7,745,309)</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noncash operating items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861,700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462,846</w:t>
            </w:r>
          </w:p>
        </w:tc>
        <w:tc>
          <w:tcPr>
            <w:tcW w:w="0" w:type="dxa"/>
            <w:vAlign w:val="bottom"/>
          </w:tcPr>
          <w:p>
            <w:pPr>
              <w:spacing w:after="0"/>
              <w:rPr>
                <w:sz w:val="1"/>
                <w:szCs w:val="1"/>
                <w:color w:val="auto"/>
              </w:rPr>
            </w:pPr>
          </w:p>
        </w:tc>
      </w:tr>
      <w:tr>
        <w:trPr>
          <w:trHeight w:val="210"/>
        </w:trPr>
        <w:tc>
          <w:tcPr>
            <w:tcW w:w="500" w:type="dxa"/>
            <w:vAlign w:val="bottom"/>
            <w:vMerge w:val="restart"/>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cash operating loss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(6,883,609)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(6,640,652)</w:t>
            </w: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operating assets and liabilities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(5,227,368)</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157,192</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(12,110,977)</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(6,483,460)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340" w:type="dxa"/>
            <w:vAlign w:val="bottom"/>
            <w:gridSpan w:val="2"/>
          </w:tcPr>
          <w:p>
            <w:pPr>
              <w:spacing w:after="0"/>
              <w:rPr>
                <w:sz w:val="17"/>
                <w:szCs w:val="17"/>
                <w:color w:val="auto"/>
              </w:rPr>
            </w:pPr>
          </w:p>
        </w:tc>
        <w:tc>
          <w:tcPr>
            <w:tcW w:w="740" w:type="dxa"/>
            <w:vAlign w:val="bottom"/>
            <w:gridSpan w:val="2"/>
          </w:tcPr>
          <w:p>
            <w:pPr>
              <w:spacing w:after="0"/>
              <w:rPr>
                <w:sz w:val="17"/>
                <w:szCs w:val="17"/>
                <w:color w:val="auto"/>
              </w:rPr>
            </w:pPr>
          </w:p>
        </w:tc>
        <w:tc>
          <w:tcPr>
            <w:tcW w:w="148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sz w:val="22"/>
                <w:szCs w:val="22"/>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7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4,700,266</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6,726,952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58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sz w:val="22"/>
                <w:szCs w:val="22"/>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7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(50,154)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3,380,985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58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7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(159,086)</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$12.1 million and $6.5 million for the six months ended October 31, 2014 and 2013, respectively. The change was the result of an increase in net loss of $0.6 million and an increase in cash used by the net change in operating assets and liabilities of $5.4 million primarily due to the return of the advance payment of $4.7 million related to the former ARENA contract, offset by an increase in noncash operating items of $0.4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net loss for the six months ended October 31, 2014 compared to the six months ended October 31, 2013 reflects a gross loss of $0.7 million relating to our project with MES, an increase in selling, general and administrative costs of $1.5 million, offset by a decrease in product development costs of $1.7 million relating primarily to our project in Reedsport, Oregon and a decrease in the net change of $0.1 million in other income and foreign exchange differences.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noncash operating items reflects an increase in amortization expense for patents and foreign exchange losses of $0.6 million offset by a decrease in equity compensation of $0.2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operating assets and liabilities reflects the decrease advanced payment received from customers of $4.7 million, a net decrease of $0.9 million in unearned revenues and other net changes in operating assets and liabilities of $0.2 million. These decreases are offset by the collection of $0.3 million in accounts receivable and a net increase in other assets of $0.3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investing activities was $4.7 million for the six months ended October 31, 2014 and net cash provided by investing activities was $6.7 million for the six months ended October 31, 2013. The change was primarily the result of a net increase of $2.0 million in purchases of marketable securities during the six months ended October 31, 2014 offset by a decrease in restricted cash of $6.7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(provided by) 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was $50,000 and net cash provided by was $3,380,000 for the six months ended October 31, 2014 and 2013,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net cash used was primarily for repayment of long-term debt in the six months ended October 31, 2014 and net cash provided in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October 31, 2013 was primarily from the sale of common stock, net of issuance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 of exchange rates on cash and cash equivalents was a decrease of $159,000 and an increase of $35,000 in the six months ended October 31, 2014 and 2013, respectively. The effect of exchange rates on cash and cash equivalents results primarily from gains or losses on consolidation of foreign subsidiaries and foreign denominated cash and cash equivalents.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 systems and to expand our sales, marketing and manufacturing programs associated with the planned commercialization of the PowerBuoy systems. Our future capital requirements will depend on a number of factors, including:</w:t>
      </w:r>
    </w:p>
    <w:p>
      <w:pPr>
        <w:spacing w:after="0" w:line="235" w:lineRule="exact"/>
        <w:rPr>
          <w:sz w:val="20"/>
          <w:szCs w:val="20"/>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development efforts for our PowerBuoy systems;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developing commercial relationships with major customers;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obtain project-specific financing, grants, subsidies and other sources of funding for some of our projects;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manufacturing activities;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success rate of commercialization activities, including demonstration projects, product marketing and sales;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customer relationships;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expansion plans, including the hiring of new employees as our business increases;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potential acquisitions of other products or technologies;</w:t>
      </w:r>
    </w:p>
    <w:p>
      <w:pPr>
        <w:spacing w:after="0" w:line="225" w:lineRule="exact"/>
        <w:rPr>
          <w:rFonts w:ascii="Arial" w:cs="Arial" w:eastAsia="Arial" w:hAnsi="Arial"/>
          <w:sz w:val="18"/>
          <w:szCs w:val="18"/>
          <w:color w:val="auto"/>
        </w:rPr>
      </w:pPr>
    </w:p>
    <w:p>
      <w:pPr>
        <w:ind w:left="700" w:right="1900" w:hanging="379"/>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and enforcing patent claims and other patent-related costs; and</w:t>
      </w:r>
    </w:p>
    <w:p>
      <w:pPr>
        <w:spacing w:after="0" w:line="170"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shareholder litigation and regulatory inquiries.</w:t>
      </w:r>
    </w:p>
    <w:p>
      <w:pPr>
        <w:spacing w:after="0" w:line="200" w:lineRule="exact"/>
        <w:rPr>
          <w:sz w:val="20"/>
          <w:szCs w:val="20"/>
          <w:color w:val="auto"/>
        </w:rPr>
      </w:pPr>
    </w:p>
    <w:p>
      <w:pPr>
        <w:spacing w:after="0" w:line="2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incurred negative operating cash flows since our inception. As of October 31, 2014, our cash and cash equivalents and marketable securities balance was approximately $22.8 million. Based upon our cash and cash equivalents and marketable securities balance as of October 31, 2014, we believe that we will be able to finance our capital requirements and operations through at least the fourth calendar quarter of 2015. In addition, as of October 31, 2014, our restricted cash balance was approximately $0.6 million, which reflects a significant decrease from our restricted cash balance of approximately $7.3 million as of April 30, 2014. See Note 2(f).</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fiscal 2014 and 2013, we have continued to make investments in ongoing product development efforts in anticipation of future growth. Our future results of operations involve significant risks and uncertainties. Factors that could adversely affect our future operating results and cause actual results to vary materially from expectations include, but are not limited to, risks from competition, new products, technological change, recent economic activity and dependence on key personnel. In order to complete our future growth strategy, we will require additional equity and/or debt financing. There is no assurance that additional equity and/or debt financing will be available to us as needed. If sufficient financing is not obtained, we may be required to further curtail or limit certain product development costs, and/or selling, general and administrative activities in order to reduce our cash expenditures.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January 2013, we filed an S-3 Shelf. The S-3 Shelf was declared effective in February 2013.</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the S-3 Shelf, we established the ATM Facility with Ascendiant Capital Markets, LLC via the ATM Agreement in June 2013. Under the ATM Agreement, we offered and sold shares of our common stock from time to time through the Manager, acting as sales agent, in ordinary brokerage transactions at prevailing market prices. Under the ATM Facility, we issued 3,306,334 shares for net proceeds of approximately $9,698,000 during fiscal 2014.</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entered into an Underwriting Agreement with Roth Capital Partners, LLC on April 4, 2014, with respect to an underwritten Public Offering of an aggregate of 3,800,000 shares of our common stock. The Underwriting Agreement contained customary representations, warranties and agreements by us, customary conditions to closing, indemnification obligations, and a 90 day lock-up period that limited transactions in our common stock by us. Net proceeds from the Public Offering were approximately $10,828,000.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Form S-3 limits the aggregate market value of securities that we are permitted to offer in any 12-month period under Form S-3, whether under the Offering Agreement or otherwise, to one third of our public float. Given the fiscal 2014 share sales, we fully utilized the ATM Agreement and reached the applicable limit under Form S-3. Of the $40 million authorized under the S-3 shelf, approximately $18.2 million remains available for issuance. During the six months ended October 31, 2014, there were no proceeds from the sale of stock under the S-3 Shelf.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9" w:name="page30"/>
    <w:bookmarkEnd w:id="29"/>
    <w:p>
      <w:pPr>
        <w:jc w:val="both"/>
        <w:spacing w:after="0" w:line="302" w:lineRule="auto"/>
        <w:rPr>
          <w:sz w:val="20"/>
          <w:szCs w:val="20"/>
          <w:color w:val="auto"/>
        </w:rPr>
      </w:pPr>
      <w:r>
        <w:rPr>
          <w:rFonts w:ascii="Arial" w:cs="Arial" w:eastAsia="Arial" w:hAnsi="Arial"/>
          <w:sz w:val="16"/>
          <w:szCs w:val="16"/>
          <w:color w:val="auto"/>
        </w:rPr>
        <w:t>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or at all. If we are unable to obtain required financing, we may be required to reduce the scope of our current projects, planned product development and marketing efforts, which could harm our financial condition and operating results.</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 months ended April 30, 2014, our subsidiary VWP received approximately A$5.2 million in initial grant funding from ARENA. The Company recorded this payment as an advance payment within the consolidated balance sheet. We classified the initial grant funding received from ARENA, of A$5,595,723 ($5,179,960), which includes GST, as restricted cash. In July 2014, the VWP Board of Directors determined that the project contemplated by the grant was no longer commercially viable and tendered a notice of its intent to terminate the Funding Deed and return to ARENA the grant funds received.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October 31, 2014, the Company remitted the GST in the amount of A$508,702 ($470,905) to the Australian Tax Office (ATO) in accordance with local tax laws and reclaimed this amount from the ATO during such six month period. In August 2014, the Company returned the initial grant funding received of A$5,595,723 ($5,179,960) and interest of A$109,051 ($102,061) to ARENA in accordance with the Deed Of Variation and Termination of Funding Deed executed between the parties in August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 under the supervision and with the participation of our Interim Chief Executive Officer and Chief Financial Officer, evaluated the effectiveness of the design and operation of our disclosure controls and procedures as of October 31, 2014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timely allow decisions regarding required disclosure. Based on such evaluation, management concluded that our disclosure controls and procedures were effective as of October 31, 2014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October 31, 2014 that has materially affected, or is reasonably likely to materially affect, our internal control over financial reporting.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Item1.</w:t>
      </w:r>
      <w:r>
        <w:rPr>
          <w:sz w:val="20"/>
          <w:szCs w:val="20"/>
          <w:color w:val="auto"/>
        </w:rPr>
        <w:tab/>
      </w: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Company is a defendant in four putative securities class actions pending in the United States District Court for the District of New Jersey. </w:t>
      </w:r>
      <w:r>
        <w:rPr>
          <w:rFonts w:ascii="Arial" w:cs="Arial" w:eastAsia="Arial" w:hAnsi="Arial"/>
          <w:sz w:val="16"/>
          <w:szCs w:val="16"/>
          <w:i w:val="1"/>
          <w:iCs w:val="1"/>
          <w:color w:val="auto"/>
        </w:rPr>
        <w:t>See Roby v.</w:t>
      </w:r>
      <w:r>
        <w:rPr>
          <w:rFonts w:ascii="Arial" w:cs="Arial" w:eastAsia="Arial" w:hAnsi="Arial"/>
          <w:sz w:val="16"/>
          <w:szCs w:val="16"/>
          <w:color w:val="auto"/>
        </w:rPr>
        <w:t xml:space="preserve"> </w:t>
      </w:r>
      <w:r>
        <w:rPr>
          <w:rFonts w:ascii="Arial" w:cs="Arial" w:eastAsia="Arial" w:hAnsi="Arial"/>
          <w:sz w:val="16"/>
          <w:szCs w:val="16"/>
          <w:i w:val="1"/>
          <w:iCs w:val="1"/>
          <w:color w:val="auto"/>
        </w:rPr>
        <w:t>Ocean Power Technologies, Inc., et al.</w:t>
      </w:r>
      <w:r>
        <w:rPr>
          <w:rFonts w:ascii="Arial" w:cs="Arial" w:eastAsia="Arial" w:hAnsi="Arial"/>
          <w:sz w:val="16"/>
          <w:szCs w:val="16"/>
          <w:color w:val="auto"/>
        </w:rPr>
        <w:t>, Case No. 3:14-cv-03799-FLW-LHG;</w:t>
      </w:r>
      <w:r>
        <w:rPr>
          <w:rFonts w:ascii="Arial" w:cs="Arial" w:eastAsia="Arial" w:hAnsi="Arial"/>
          <w:sz w:val="16"/>
          <w:szCs w:val="16"/>
          <w:i w:val="1"/>
          <w:iCs w:val="1"/>
          <w:color w:val="auto"/>
        </w:rPr>
        <w:t xml:space="preserve"> Chew, et al. v. Ocean Power Technologies, Inc. et. al.</w:t>
      </w:r>
      <w:r>
        <w:rPr>
          <w:rFonts w:ascii="Arial" w:cs="Arial" w:eastAsia="Arial" w:hAnsi="Arial"/>
          <w:sz w:val="16"/>
          <w:szCs w:val="16"/>
          <w:color w:val="auto"/>
        </w:rPr>
        <w:t xml:space="preserve">, Case No 3:14-cv-03815-MAS-DEA; </w:t>
      </w:r>
      <w:r>
        <w:rPr>
          <w:rFonts w:ascii="Arial" w:cs="Arial" w:eastAsia="Arial" w:hAnsi="Arial"/>
          <w:sz w:val="16"/>
          <w:szCs w:val="16"/>
          <w:i w:val="1"/>
          <w:iCs w:val="1"/>
          <w:color w:val="auto"/>
        </w:rPr>
        <w:t>Konstantinidis v. Ocean Power Technologies, Inc., et al.</w:t>
      </w:r>
      <w:r>
        <w:rPr>
          <w:rFonts w:ascii="Arial" w:cs="Arial" w:eastAsia="Arial" w:hAnsi="Arial"/>
          <w:sz w:val="16"/>
          <w:szCs w:val="16"/>
          <w:color w:val="auto"/>
        </w:rPr>
        <w:t xml:space="preserve">, Case No. 3:14-cv-04015-FLW-DEA; </w:t>
      </w:r>
      <w:r>
        <w:rPr>
          <w:rFonts w:ascii="Arial" w:cs="Arial" w:eastAsia="Arial" w:hAnsi="Arial"/>
          <w:sz w:val="16"/>
          <w:szCs w:val="16"/>
          <w:i w:val="1"/>
          <w:iCs w:val="1"/>
          <w:color w:val="auto"/>
        </w:rPr>
        <w:t>Turner v. Ocean Power Technologies, Inc., et al.</w:t>
      </w:r>
      <w:r>
        <w:rPr>
          <w:rFonts w:ascii="Arial" w:cs="Arial" w:eastAsia="Arial" w:hAnsi="Arial"/>
          <w:sz w:val="16"/>
          <w:szCs w:val="16"/>
          <w:color w:val="auto"/>
        </w:rPr>
        <w:t>, Case No. 3:14-cv-04592. The Company’s former Chief Executive Officer is named as a defendant in each of the lawsuits and the Company’s Chief Financial Officer is named as a defendant in two of the lawsuits. The complaints allege claims for violations of §10(b) and §20(a) of the Securities Exchange Act of 1934 arising out of public statements relating to a now terminated agreement between Victorian Wave Partners Pty. Ltd. and the Australian Renewable Energy Agency for the development of a wave power station (the “VWP Project”). All four complaints seek unspecified monetary damages and other relief. On August 12, 2014, five motions for appointment of lead plaintiff were filed. The motions also seek to consolidate the actions. The Court has not ruled on the motions. The cases are still in their preliminary stages and defendants have not yet responded to the complaints.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10, 2014, the Company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 The Company is continuing to evaluate the Demand Letter but has also invited the attorney to participate in the Section 220 Demand process discussed below.</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received a letter, dated August 19, 2014, (the “Section 220 Demand”) from another attorney claiming to represent a shareholder demanding, pursuant to 8 Del. C. § 220, to inspect certain books and records of the Company relating to the VWP Project and the termination of Charles Dunleavy as the Company’s Chief Executive Officer. The Company has received an additional Section 220 Demand relating to the same subject matter from an attorney claiming to represent a different shareholder. The Company has responded in writing to both Section 220 Demands and is working with the attorneys to address relevant issues.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10, 2014, the Company announced that it had terminated Charles Dunleavy as Chief Executive Officer and as an employee of the Company,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To the Company’s knowledge, as of the date of filing of this Quarterly Report on Form 10-Q, Mr. Dunleavy has not filed any claims against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FINRA Inquiry</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2014, the Company provided documents to the Financial Industry Regulatory Authority (FINRA) in response to a July 9, 2014 request under NASDAQ Listing Rule 5250(a)(1) seeking information related to the internal investigation of the Special Committee of the Board of Directors. On November 6, 2014, FINRA sent a letter to the Company advising the Company that it had concluded its review of the matter and, as the Company believes is generally routine, that is was referring the matter to the SEC for whatever action, if any, it deems appropriate. There are no outstanding requests to the Company from FINRA or any other regulators at this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is involved from time to time in certain legal actions arising in the ordinary course of business.</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discussion of our business and operations should be read together with the risk factors contained in Item 1A of our Annual Report on Form 10-K for the year ended April 30, 2014.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for the year ended April 30, 2014.</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1" w:name="page32"/>
    <w:bookmarkEnd w:id="31"/>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unregistered sales of equity securities or purchases of equity securities by the Company that are required to be disclosed.</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Statement of the Special Committee coincident with the completion of its investigation</w:t>
      </w:r>
    </w:p>
    <w:p>
      <w:pPr>
        <w:spacing w:after="0" w:line="225" w:lineRule="exact"/>
        <w:rPr>
          <w:sz w:val="20"/>
          <w:szCs w:val="20"/>
          <w:color w:val="auto"/>
        </w:rPr>
      </w:pPr>
    </w:p>
    <w:p>
      <w:pPr>
        <w:jc w:val="both"/>
        <w:ind w:firstLine="53"/>
        <w:spacing w:after="0" w:line="279" w:lineRule="auto"/>
        <w:rPr>
          <w:sz w:val="20"/>
          <w:szCs w:val="20"/>
          <w:color w:val="auto"/>
        </w:rPr>
      </w:pPr>
      <w:r>
        <w:rPr>
          <w:rFonts w:ascii="Arial" w:cs="Arial" w:eastAsia="Arial" w:hAnsi="Arial"/>
          <w:sz w:val="17"/>
          <w:szCs w:val="17"/>
          <w:color w:val="auto"/>
        </w:rPr>
        <w:t>On September 9, 2014, the Special Committee of the Board of Directors of Ocean Power Technologies, Inc. (OPT) completed its internal investigation into the commercial agreement between Victorian Wave Partners Ltd., an indirect consolidated subsidiary of OPT, and the Australian Renewable Energy Agency, including related public statements concerning a proposed wave power demonstration project off the coast of Victoria, Australia. The findings of the Special Committee are contained in the Form 8-K disclosure made on July 29, 2014, and no additional findings have been made.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Special Committee was dissolved in October 2014.</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2" w:name="page33"/>
    <w:bookmarkEnd w:id="32"/>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i w:val="1"/>
          <w:iCs w:val="1"/>
          <w:color w:val="auto"/>
        </w:rPr>
        <w:t>EXHIBITS</w:t>
      </w:r>
    </w:p>
    <w:p>
      <w:pPr>
        <w:spacing w:after="0" w:line="283" w:lineRule="exact"/>
        <w:rPr>
          <w:sz w:val="20"/>
          <w:szCs w:val="20"/>
          <w:color w:val="auto"/>
        </w:rPr>
      </w:pPr>
    </w:p>
    <w:p>
      <w:pPr>
        <w:ind w:left="620"/>
        <w:spacing w:after="0"/>
        <w:tabs>
          <w:tab w:leader="none" w:pos="14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Interim Chief Executive Officer pursuant to Section 302 of the Sarbanes-Oxley Act of 2002</w:t>
      </w:r>
    </w:p>
    <w:p>
      <w:pPr>
        <w:spacing w:after="0" w:line="225" w:lineRule="exact"/>
        <w:rPr>
          <w:sz w:val="20"/>
          <w:szCs w:val="20"/>
          <w:color w:val="auto"/>
        </w:rPr>
      </w:pPr>
    </w:p>
    <w:p>
      <w:pPr>
        <w:ind w:left="620"/>
        <w:spacing w:after="0"/>
        <w:tabs>
          <w:tab w:leader="none" w:pos="14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620"/>
        <w:spacing w:after="0"/>
        <w:tabs>
          <w:tab w:leader="none" w:pos="14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Interim Chief Executive Officer pursuant to Section 906 of the Sarbanes-Oxley Act of 2002</w:t>
      </w:r>
    </w:p>
    <w:p>
      <w:pPr>
        <w:spacing w:after="0" w:line="225" w:lineRule="exact"/>
        <w:rPr>
          <w:sz w:val="20"/>
          <w:szCs w:val="20"/>
          <w:color w:val="auto"/>
        </w:rPr>
      </w:pPr>
    </w:p>
    <w:p>
      <w:pPr>
        <w:ind w:left="620"/>
        <w:spacing w:after="0"/>
        <w:tabs>
          <w:tab w:leader="none" w:pos="14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jc w:val="both"/>
        <w:ind w:left="1420" w:hanging="750"/>
        <w:spacing w:after="0" w:line="272" w:lineRule="auto"/>
        <w:tabs>
          <w:tab w:leader="none" w:pos="1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following materials formatted in eXtensible Business Reporting Language (XBRL) from Ocean Power Technologies, Inc Quarterly Report on Form 10-Q for the quarter ended October 31, 2014, filed December 10, 2014: (i) Consolidated Balance Sheets – October 31, 2014 (unaudited) and April 30, 2014, (ii) Consolidated Statements of Operations (unaudited) – Three and Six Months Ended October 31, 2014 and 2013, (iii) Consolidated Statements of Comprehensive Loss (unaudited) – Three and Six Months Ended October 31, 2014 and 2013, (iv) Consolidated Statements of Cash Flows (unaudited) – Three and Six Months Ended October 31, 2014 and 2013, (v) Consolidated Statements of Stockholders’ Equity (unaudited) – Three and Six Months Ended October 31, 2014 and 2013 and (vi) Notes to Consolidated Financial Statements.*</w:t>
      </w:r>
    </w:p>
    <w:p>
      <w:pPr>
        <w:spacing w:after="0" w:line="393" w:lineRule="exact"/>
        <w:rPr>
          <w:rFonts w:ascii="Arial" w:cs="Arial" w:eastAsia="Arial" w:hAnsi="Arial"/>
          <w:sz w:val="17"/>
          <w:szCs w:val="17"/>
          <w:color w:val="auto"/>
        </w:rPr>
      </w:pPr>
    </w:p>
    <w:p>
      <w:pPr>
        <w:jc w:val="both"/>
        <w:ind w:left="1420"/>
        <w:spacing w:after="0" w:line="286" w:lineRule="auto"/>
        <w:rPr>
          <w:rFonts w:ascii="Arial" w:cs="Arial" w:eastAsia="Arial" w:hAnsi="Arial"/>
          <w:sz w:val="17"/>
          <w:szCs w:val="17"/>
          <w:color w:val="auto"/>
        </w:rPr>
      </w:pPr>
      <w:r>
        <w:rPr>
          <w:rFonts w:ascii="Arial" w:cs="Arial" w:eastAsia="Arial" w:hAnsi="Arial"/>
          <w:sz w:val="17"/>
          <w:szCs w:val="17"/>
          <w:color w:val="auto"/>
        </w:rPr>
        <w:t>* 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00"/>
          </w:cols>
          <w:pgMar w:left="240" w:top="634" w:right="5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L. Keller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6327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Featherstone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6327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4" w:name="page35"/>
    <w:bookmarkEnd w:id="34"/>
    <w:p>
      <w:pPr>
        <w:jc w:val="center"/>
        <w:ind w:right="440"/>
        <w:spacing w:after="0"/>
        <w:rPr>
          <w:sz w:val="20"/>
          <w:szCs w:val="20"/>
          <w:color w:val="auto"/>
        </w:rPr>
      </w:pPr>
      <w:r>
        <w:rPr>
          <w:rFonts w:ascii="Arial" w:cs="Arial" w:eastAsia="Arial" w:hAnsi="Arial"/>
          <w:sz w:val="18"/>
          <w:szCs w:val="18"/>
          <w:b w:val="1"/>
          <w:bCs w:val="1"/>
          <w:color w:val="auto"/>
        </w:rPr>
        <w:t>EXHIBITS INDEX</w:t>
      </w:r>
    </w:p>
    <w:p>
      <w:pPr>
        <w:spacing w:after="0" w:line="2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Interim Chief Executive Officer pursuant to Section 302 of the Sarbanes-Oxley Act of 2002</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Interim Chief Executive Officer pursuant to Section 302 of the Sarbanes-Oxley Act of 2002</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jc w:val="both"/>
        <w:ind w:left="720" w:right="20" w:hanging="669"/>
        <w:spacing w:after="0" w:line="272"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following materials formatted in eXtensible Business Reporting Language (XBRL) from Ocean Power Technologies, Inc Quarterly Report on Form 10-Q for the quarter ended October 31, 2014, filed December 10, 2014: (i) Consolidated Balance Sheets – October 31, 2014 (unaudited) and April 30, 2014, (ii) Consolidated Statements of Operations (unaudited) – Three and Six Months Ended October 31, 2014 and 2013, (iii) Consolidated Statements of Comprehensive Loss (unaudited) – Three and Six Months Ended October 31, 2014 and 2013, (iv) Consolidated Statements of Cash Flows (unaudited) – Three and Six Months Ended October 31, 2014 and 2013, (v) Consolidated Statements of Stockholders’ Equity (unaudited) – Three and Six Months Ended October 31, 2014 and 2013 and (vi) Notes to Consolidated Financial Statements.*</w:t>
      </w:r>
    </w:p>
    <w:p>
      <w:pPr>
        <w:spacing w:after="0" w:line="393" w:lineRule="exact"/>
        <w:rPr>
          <w:rFonts w:ascii="Arial" w:cs="Arial" w:eastAsia="Arial" w:hAnsi="Arial"/>
          <w:sz w:val="17"/>
          <w:szCs w:val="17"/>
          <w:color w:val="auto"/>
        </w:rPr>
      </w:pPr>
    </w:p>
    <w:p>
      <w:pPr>
        <w:jc w:val="both"/>
        <w:ind w:left="720"/>
        <w:spacing w:after="0" w:line="264" w:lineRule="auto"/>
        <w:rPr>
          <w:rFonts w:ascii="Arial" w:cs="Arial" w:eastAsia="Arial" w:hAnsi="Arial"/>
          <w:sz w:val="17"/>
          <w:szCs w:val="17"/>
          <w:color w:val="auto"/>
        </w:rPr>
      </w:pPr>
      <w:r>
        <w:rPr>
          <w:rFonts w:ascii="Arial" w:cs="Arial" w:eastAsia="Arial" w:hAnsi="Arial"/>
          <w:sz w:val="18"/>
          <w:szCs w:val="18"/>
          <w:color w:val="auto"/>
        </w:rPr>
        <w:t>* 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ectPr>
          <w:pgSz w:w="11900" w:h="16838" w:orient="portrait"/>
          <w:cols w:equalWidth="0" w:num="1">
            <w:col w:w="10540"/>
          </w:cols>
          <w:pgMar w:left="900" w:top="607" w:right="4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L. Keller, certify that:</w:t>
      </w:r>
    </w:p>
    <w:p>
      <w:pPr>
        <w:spacing w:after="0" w:line="22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46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hanging="452"/>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440" w:hanging="432"/>
        <w:spacing w:after="0" w:line="277"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20" w:hanging="432"/>
        <w:spacing w:after="0" w:line="277"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David L. Keller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44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2014</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Exhbit 31.2</w:t>
      </w:r>
    </w:p>
    <w:p>
      <w:pPr>
        <w:spacing w:after="0" w:line="27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Featherstone, certify that:</w:t>
      </w:r>
    </w:p>
    <w:p>
      <w:pPr>
        <w:spacing w:after="0" w:line="22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46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440" w:hanging="432"/>
        <w:spacing w:after="0" w:line="277"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20" w:hanging="432"/>
        <w:spacing w:after="0" w:line="277"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Mark A. Featherstone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44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2014</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2014, as filed with the Securities and Exchange Commission on the date hereof (the "Report"), the undersigned, David L. Keller, Interim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David L. Keller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David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52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2014</w:t>
      </w:r>
    </w:p>
    <w:p>
      <w:pPr>
        <w:spacing w:after="0" w:line="200" w:lineRule="exact"/>
        <w:rPr>
          <w:sz w:val="20"/>
          <w:szCs w:val="20"/>
          <w:color w:val="auto"/>
        </w:rPr>
      </w:pP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2014, as filed with the Securities and Exchange Commission on the date hereof (the "Report"), the undersigned, Mark A. Featherstone,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Mark A. Featherstone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52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2014</w:t>
      </w:r>
    </w:p>
    <w:p>
      <w:pPr>
        <w:spacing w:after="0" w:line="200" w:lineRule="exact"/>
        <w:rPr>
          <w:sz w:val="20"/>
          <w:szCs w:val="20"/>
          <w:color w:val="auto"/>
        </w:rPr>
      </w:pP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3"/>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01"/>
    </w:lvl>
    <w:lvl w:ilvl="1">
      <w:lvlJc w:val="left"/>
      <w:lvlText w:val="*"/>
      <w:numFmt w:val="bullet"/>
      <w:start w:val="1"/>
    </w:lvl>
  </w:abstractNum>
  <w:abstractNum w:abstractNumId="6">
    <w:nsid w:val="66EF438D"/>
    <w:multiLevelType w:val="hybridMultilevel"/>
    <w:lvl w:ilvl="0">
      <w:lvlJc w:val="left"/>
      <w:lvlText w:val="%1"/>
      <w:numFmt w:val="decimal"/>
      <w:start w:val="101"/>
    </w:lvl>
    <w:lvl w:ilvl="1">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2019-12-07T14:13:36Z</dcterms:created>
  <dcterms:modified xsi:type="dcterms:W3CDTF">2019-12-07T14:13:36Z</dcterms:modified>
</cp:coreProperties>
</file>