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5" w:lineRule="exact"/>
        <w:rPr>
          <w:sz w:val="24"/>
          <w:szCs w:val="24"/>
          <w:color w:val="auto"/>
        </w:rPr>
      </w:pPr>
    </w:p>
    <w:p>
      <w:pPr>
        <w:ind w:right="1460" w:firstLine="332"/>
        <w:spacing w:after="0" w:line="563" w:lineRule="auto"/>
        <w:tabs>
          <w:tab w:leader="none" w:pos="8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820" w:hanging="452"/>
        <w:spacing w:after="0"/>
        <w:tabs>
          <w:tab w:leader="none" w:pos="8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7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00" w:type="dxa"/>
            <w:vAlign w:val="bottom"/>
          </w:tcPr>
          <w:p>
            <w:pPr>
              <w:ind w:left="60"/>
              <w:spacing w:after="0"/>
              <w:rPr>
                <w:sz w:val="20"/>
                <w:szCs w:val="20"/>
                <w:color w:val="auto"/>
              </w:rPr>
            </w:pPr>
            <w:r>
              <w:rPr>
                <w:rFonts w:ascii="Arial" w:cs="Arial" w:eastAsia="Arial" w:hAnsi="Arial"/>
                <w:sz w:val="18"/>
                <w:szCs w:val="18"/>
                <w:b w:val="1"/>
                <w:bCs w:val="1"/>
                <w:color w:val="auto"/>
                <w:w w:val="70"/>
              </w:rPr>
              <w:t>to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-119380</wp:posOffset>
            </wp:positionV>
            <wp:extent cx="728980"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12890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234" w:right="239" w:bottom="1440" w:gutter="0" w:footer="0" w:header="0"/>
        </w:sectPr>
      </w:pPr>
    </w:p>
    <w:p>
      <w:pPr>
        <w:spacing w:after="0" w:line="25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5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5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234" w:right="239" w:bottom="1440" w:gutter="0" w:footer="0" w:header="0"/>
          <w:type w:val="continuous"/>
        </w:sectPr>
      </w:pP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65"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7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38" w:lineRule="exact"/>
        <w:rPr>
          <w:sz w:val="24"/>
          <w:szCs w:val="24"/>
          <w:color w:val="auto"/>
        </w:rPr>
      </w:pPr>
    </w:p>
    <w:p>
      <w:pPr>
        <w:ind w:right="1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4" w:right="239" w:bottom="1440" w:gutter="0" w:footer="0" w:header="0"/>
          <w:type w:val="continuous"/>
        </w:sectPr>
      </w:pPr>
    </w:p>
    <w:p>
      <w:pPr>
        <w:spacing w:after="0" w:line="363" w:lineRule="exact"/>
        <w:rPr>
          <w:sz w:val="24"/>
          <w:szCs w:val="24"/>
          <w:color w:val="auto"/>
        </w:rPr>
      </w:pPr>
    </w:p>
    <w:p>
      <w:pPr>
        <w:ind w:left="38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jc w:val="center"/>
        <w:spacing w:after="0" w:line="264" w:lineRule="auto"/>
        <w:rPr>
          <w:sz w:val="20"/>
          <w:szCs w:val="20"/>
          <w:color w:val="auto"/>
        </w:rPr>
      </w:pPr>
      <w:r>
        <w:rPr>
          <w:rFonts w:ascii="Arial" w:cs="Arial" w:eastAsia="Arial" w:hAnsi="Arial"/>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1" w:lineRule="exact"/>
        <w:rPr>
          <w:sz w:val="24"/>
          <w:szCs w:val="24"/>
          <w:color w:val="auto"/>
        </w:rPr>
      </w:pPr>
    </w:p>
    <w:p>
      <w:pPr>
        <w:sectPr>
          <w:pgSz w:w="11900" w:h="16838" w:orient="portrait"/>
          <w:cols w:equalWidth="0" w:num="4">
            <w:col w:w="2720" w:space="720"/>
            <w:col w:w="1680" w:space="720"/>
            <w:col w:w="2580" w:space="660"/>
            <w:col w:w="2340"/>
          </w:cols>
          <w:pgMar w:left="240" w:top="234" w:right="239" w:bottom="1440" w:gutter="0" w:footer="0" w:header="0"/>
          <w:type w:val="continuous"/>
        </w:sectPr>
      </w:pP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3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30, 2012, the number of outstanding shares of common stock of the registrant was 10,394,730.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OCTOBER 31, 2012</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280" w:type="dxa"/>
            <w:vAlign w:val="bottom"/>
          </w:tcPr>
          <w:p>
            <w:pPr>
              <w:spacing w:after="0"/>
              <w:rPr>
                <w:sz w:val="20"/>
                <w:szCs w:val="20"/>
                <w:color w:val="auto"/>
              </w:rPr>
            </w:pPr>
          </w:p>
        </w:tc>
        <w:tc>
          <w:tcPr>
            <w:tcW w:w="1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 — FINANCIAL INFORMATION</w:t>
            </w:r>
          </w:p>
        </w:tc>
        <w:tc>
          <w:tcPr>
            <w:tcW w:w="1120" w:type="dxa"/>
            <w:vAlign w:val="bottom"/>
            <w:tcBorders>
              <w:top w:val="single" w:sz="8" w:color="auto"/>
            </w:tcBorders>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 Financial Statements (unaudited):</w:t>
            </w:r>
          </w:p>
        </w:tc>
        <w:tc>
          <w:tcPr>
            <w:tcW w:w="112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Balance Sheets as of October 31, 2012 and April 30, 2012</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Operations for the Three and Six Months Ended October 31, 2012 and 2011</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Comprehensive Loss for the Three and Six Months Ended October 31, 2012 and 2011</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Cash Flows for the Six Months Ended October 31, 2012 and 2011</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Consolidated Statements of Stockholders' Equity for the Six Months Ended October 31, 2012 and 2011</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4. Controls and Procedures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8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PART II — OTHER INFORMATION</w:t>
            </w:r>
          </w:p>
        </w:tc>
        <w:tc>
          <w:tcPr>
            <w:tcW w:w="1120" w:type="dxa"/>
            <w:vAlign w:val="bottom"/>
            <w:shd w:val="clear" w:color="auto" w:fill="C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 Legal Proceedings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1A. Risk Factors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3. Defaults Upon Senior Securities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4. Mine Safety Disclosures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5. Other Information</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Item 6. Exhibits</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60"/>
        <w:spacing w:after="0" w:line="216" w:lineRule="auto"/>
        <w:rPr>
          <w:sz w:val="20"/>
          <w:szCs w:val="20"/>
          <w:color w:val="auto"/>
        </w:rPr>
      </w:pPr>
      <w:r>
        <w:rPr>
          <w:rFonts w:ascii="Arial" w:cs="Arial" w:eastAsia="Arial" w:hAnsi="Arial"/>
          <w:sz w:val="18"/>
          <w:szCs w:val="18"/>
          <w:color w:val="auto"/>
        </w:rPr>
        <w:t>PowerBuoy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22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2012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21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0"/>
        </w:trPr>
        <w:tc>
          <w:tcPr>
            <w:tcW w:w="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Item 1.</w:t>
            </w:r>
          </w:p>
        </w:tc>
        <w:tc>
          <w:tcPr>
            <w:tcW w:w="7120" w:type="dxa"/>
            <w:vAlign w:val="bottom"/>
          </w:tcPr>
          <w:p>
            <w:pPr>
              <w:jc w:val="center"/>
              <w:ind w:left="2390"/>
              <w:spacing w:after="0"/>
              <w:rPr>
                <w:sz w:val="20"/>
                <w:szCs w:val="20"/>
                <w:color w:val="auto"/>
              </w:rPr>
            </w:pPr>
            <w:r>
              <w:rPr>
                <w:rFonts w:ascii="Arial" w:cs="Arial" w:eastAsia="Arial" w:hAnsi="Arial"/>
                <w:sz w:val="18"/>
                <w:szCs w:val="18"/>
                <w:b w:val="1"/>
                <w:bCs w:val="1"/>
                <w:color w:val="auto"/>
              </w:rPr>
              <w:t>PART I — FINANCIAL INFORMATION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20" w:type="dxa"/>
            <w:vAlign w:val="bottom"/>
            <w:gridSpan w:val="2"/>
            <w:vMerge w:val="continue"/>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20" w:type="dxa"/>
            <w:vAlign w:val="bottom"/>
          </w:tcPr>
          <w:p>
            <w:pPr>
              <w:jc w:val="center"/>
              <w:ind w:left="239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20" w:type="dxa"/>
            <w:vAlign w:val="bottom"/>
          </w:tcPr>
          <w:p>
            <w:pPr>
              <w:jc w:val="center"/>
              <w:ind w:left="2390"/>
              <w:spacing w:after="0"/>
              <w:rPr>
                <w:sz w:val="20"/>
                <w:szCs w:val="20"/>
                <w:color w:val="auto"/>
              </w:rPr>
            </w:pPr>
            <w:r>
              <w:rPr>
                <w:rFonts w:ascii="Arial" w:cs="Arial" w:eastAsia="Arial" w:hAnsi="Arial"/>
                <w:sz w:val="18"/>
                <w:szCs w:val="18"/>
                <w:b w:val="1"/>
                <w:bCs w:val="1"/>
                <w:color w:val="auto"/>
                <w:w w:val="87"/>
              </w:rPr>
              <w:t>Consolidated Balance Sheets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20" w:type="dxa"/>
            <w:vAlign w:val="bottom"/>
          </w:tcPr>
          <w:p>
            <w:pPr>
              <w:jc w:val="center"/>
              <w:ind w:right="850"/>
              <w:spacing w:after="0"/>
              <w:rPr>
                <w:sz w:val="20"/>
                <w:szCs w:val="20"/>
                <w:color w:val="auto"/>
              </w:rPr>
            </w:pPr>
            <w:r>
              <w:rPr>
                <w:rFonts w:ascii="Arial" w:cs="Arial" w:eastAsia="Arial" w:hAnsi="Arial"/>
                <w:sz w:val="18"/>
                <w:szCs w:val="18"/>
                <w:b w:val="1"/>
                <w:bCs w:val="1"/>
                <w:color w:val="auto"/>
                <w:w w:val="91"/>
              </w:rPr>
              <w:t>ASSETS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October 31, 2012</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13,446,531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9,353,460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Marketable securities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11,622,260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22,369,484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577,180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1,064,796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Unbilled receivables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657,140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223,050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454,435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842,820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4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26,757,546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33,853,610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845,812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682,933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shd w:val="clear" w:color="auto" w:fill="C0FFFF"/>
          </w:tcPr>
          <w:p>
            <w:pPr>
              <w:spacing w:after="0"/>
              <w:rPr>
                <w:sz w:val="20"/>
                <w:szCs w:val="20"/>
                <w:color w:val="auto"/>
              </w:rPr>
            </w:pPr>
            <w:r>
              <w:rPr>
                <w:rFonts w:ascii="Arial" w:cs="Arial" w:eastAsia="Arial" w:hAnsi="Arial"/>
                <w:sz w:val="18"/>
                <w:szCs w:val="18"/>
                <w:color w:val="auto"/>
                <w:w w:val="91"/>
              </w:rPr>
              <w:t>Patents, net</w:t>
            </w:r>
          </w:p>
        </w:tc>
        <w:tc>
          <w:tcPr>
            <w:tcW w:w="712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1,161,039</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1,269,457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1,356,392</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1,453,712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196,025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181,925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C0FFFF"/>
          </w:tcPr>
          <w:p>
            <w:pPr>
              <w:spacing w:after="0"/>
              <w:rPr>
                <w:sz w:val="2"/>
                <w:szCs w:val="2"/>
                <w:color w:val="auto"/>
              </w:rPr>
            </w:pPr>
          </w:p>
        </w:tc>
        <w:tc>
          <w:tcPr>
            <w:tcW w:w="7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30,316,814</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shd w:val="clear" w:color="auto" w:fill="C0FFFF"/>
          </w:tcPr>
          <w:p>
            <w:pPr>
              <w:spacing w:after="0"/>
              <w:rPr>
                <w:sz w:val="18"/>
                <w:szCs w:val="18"/>
                <w:color w:val="auto"/>
              </w:rPr>
            </w:pPr>
          </w:p>
        </w:tc>
        <w:tc>
          <w:tcPr>
            <w:tcW w:w="7120" w:type="dxa"/>
            <w:vAlign w:val="bottom"/>
            <w:shd w:val="clear" w:color="auto" w:fill="C0FFFF"/>
          </w:tcPr>
          <w:p>
            <w:pPr>
              <w:jc w:val="center"/>
              <w:ind w:right="85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489,850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440,773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3,668,319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2,770,094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Deferred credits payable</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Unearned 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1,619,816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1,073,389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100,000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C0FFFF"/>
          </w:tcPr>
          <w:p>
            <w:pPr>
              <w:spacing w:after="0"/>
              <w:rPr>
                <w:sz w:val="2"/>
                <w:szCs w:val="2"/>
                <w:color w:val="auto"/>
              </w:rPr>
            </w:pPr>
          </w:p>
        </w:tc>
        <w:tc>
          <w:tcPr>
            <w:tcW w:w="7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5,877,985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4,984,256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300,000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Deferred credits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600,000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gridSpan w:val="2"/>
            <w:shd w:val="clear" w:color="auto" w:fill="C0FFFF"/>
          </w:tcPr>
          <w:p>
            <w:pPr>
              <w:ind w:left="4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6,777,985</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5,334,256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C0FFFF"/>
            </w:tcBorders>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Ocean Power Technologies, Inc. Stockholders’ equity:</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gridSpan w:val="2"/>
            <w:shd w:val="clear" w:color="auto" w:fill="C0FFFF"/>
          </w:tcPr>
          <w:p>
            <w:pPr>
              <w:ind w:left="160"/>
              <w:spacing w:after="0" w:line="201" w:lineRule="exact"/>
              <w:rPr>
                <w:sz w:val="20"/>
                <w:szCs w:val="20"/>
                <w:color w:val="auto"/>
              </w:rPr>
            </w:pPr>
            <w:r>
              <w:rPr>
                <w:rFonts w:ascii="Arial" w:cs="Arial" w:eastAsia="Arial" w:hAnsi="Arial"/>
                <w:sz w:val="18"/>
                <w:szCs w:val="18"/>
                <w:color w:val="auto"/>
                <w:w w:val="89"/>
              </w:rPr>
              <w:t>Common stock, $0.001 par value; authorized 105,000,000 shares, issued 10,415,548 and 10,407,389 shares,</w:t>
            </w:r>
          </w:p>
        </w:tc>
        <w:tc>
          <w:tcPr>
            <w:tcW w:w="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140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4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 w:type="dxa"/>
            <w:vAlign w:val="bottom"/>
            <w:shd w:val="clear" w:color="auto" w:fill="C0FFFF"/>
          </w:tcPr>
          <w:p>
            <w:pPr>
              <w:spacing w:after="0"/>
              <w:rPr>
                <w:sz w:val="20"/>
                <w:szCs w:val="20"/>
                <w:color w:val="auto"/>
              </w:rPr>
            </w:pPr>
            <w:r>
              <w:rPr>
                <w:rFonts w:ascii="Arial" w:cs="Arial" w:eastAsia="Arial" w:hAnsi="Arial"/>
                <w:sz w:val="18"/>
                <w:szCs w:val="18"/>
                <w:color w:val="auto"/>
                <w:w w:val="92"/>
              </w:rPr>
              <w:t>respectively</w:t>
            </w:r>
          </w:p>
        </w:tc>
        <w:tc>
          <w:tcPr>
            <w:tcW w:w="7120" w:type="dxa"/>
            <w:vAlign w:val="bottom"/>
            <w:shd w:val="clear" w:color="auto" w:fill="C0FFFF"/>
          </w:tcPr>
          <w:p>
            <w:pPr>
              <w:spacing w:after="0"/>
              <w:rPr>
                <w:sz w:val="20"/>
                <w:szCs w:val="20"/>
                <w:color w:val="auto"/>
              </w:rPr>
            </w:pP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10,416</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Treasury stock, at cost; 27,818 and 23,544 shares, respectively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(111,510)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158,913,651</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158,296,458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(135,077,067)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(125,989,474)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(102,477)</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(78,990)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C0FFFF"/>
          </w:tcPr>
          <w:p>
            <w:pPr>
              <w:spacing w:after="0"/>
              <w:rPr>
                <w:sz w:val="2"/>
                <w:szCs w:val="2"/>
                <w:color w:val="auto"/>
              </w:rPr>
            </w:pPr>
          </w:p>
        </w:tc>
        <w:tc>
          <w:tcPr>
            <w:tcW w:w="7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480"/>
              <w:spacing w:after="0"/>
              <w:rPr>
                <w:sz w:val="20"/>
                <w:szCs w:val="20"/>
                <w:color w:val="auto"/>
              </w:rPr>
            </w:pPr>
            <w:r>
              <w:rPr>
                <w:rFonts w:ascii="Arial" w:cs="Arial" w:eastAsia="Arial" w:hAnsi="Arial"/>
                <w:sz w:val="18"/>
                <w:szCs w:val="18"/>
                <w:color w:val="auto"/>
              </w:rPr>
              <w:t>Total Ocean Power Technologies, Inc. stockholders’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23,633,013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32,136,013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(94,184)</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shd w:val="clear" w:color="auto" w:fill="C0FFFF"/>
          </w:tcPr>
          <w:p>
            <w:pPr>
              <w:spacing w:after="0"/>
              <w:rPr>
                <w:sz w:val="2"/>
                <w:szCs w:val="2"/>
                <w:color w:val="auto"/>
              </w:rPr>
            </w:pPr>
          </w:p>
        </w:tc>
        <w:tc>
          <w:tcPr>
            <w:tcW w:w="712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60"/>
              <w:spacing w:after="0"/>
              <w:rPr>
                <w:sz w:val="20"/>
                <w:szCs w:val="20"/>
                <w:color w:val="auto"/>
              </w:rPr>
            </w:pPr>
            <w:r>
              <w:rPr>
                <w:rFonts w:ascii="Arial" w:cs="Arial" w:eastAsia="Arial" w:hAnsi="Arial"/>
                <w:sz w:val="18"/>
                <w:szCs w:val="18"/>
                <w:color w:val="auto"/>
              </w:rPr>
              <w:t>Total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23,538,829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32,107,381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020" w:type="dxa"/>
            <w:vAlign w:val="bottom"/>
            <w:gridSpan w:val="2"/>
            <w:shd w:val="clear" w:color="auto" w:fill="C0FF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30,316,814</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C0FFFF"/>
            </w:tcBorders>
            <w:shd w:val="clear" w:color="auto" w:fill="C0FFFF"/>
          </w:tcPr>
          <w:p>
            <w:pPr>
              <w:spacing w:after="0" w:line="20" w:lineRule="exact"/>
              <w:rPr>
                <w:sz w:val="1"/>
                <w:szCs w:val="1"/>
                <w:color w:val="auto"/>
              </w:rPr>
            </w:pPr>
          </w:p>
        </w:tc>
        <w:tc>
          <w:tcPr>
            <w:tcW w:w="71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gridSpan w:val="6"/>
          </w:tcPr>
          <w:p>
            <w:pPr>
              <w:jc w:val="center"/>
              <w:ind w:left="36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6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8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20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1,360,299</w:t>
            </w:r>
          </w:p>
        </w:tc>
        <w:tc>
          <w:tcPr>
            <w:tcW w:w="22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1,515,437</w:t>
            </w: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2,342,695</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3,426,289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Cost of revenues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1,246,277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1,483,590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2,226,137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3,385,492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profit</w:t>
            </w:r>
          </w:p>
        </w:tc>
        <w:tc>
          <w:tcPr>
            <w:tcW w:w="198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114,022</w:t>
            </w:r>
          </w:p>
        </w:tc>
        <w:tc>
          <w:tcPr>
            <w:tcW w:w="240" w:type="dxa"/>
            <w:vAlign w:val="bottom"/>
            <w:shd w:val="clear" w:color="auto" w:fill="C0FFFF"/>
          </w:tcPr>
          <w:p>
            <w:pPr>
              <w:spacing w:after="0"/>
              <w:rPr>
                <w:sz w:val="19"/>
                <w:szCs w:val="19"/>
                <w:color w:val="auto"/>
              </w:rPr>
            </w:pPr>
          </w:p>
        </w:tc>
        <w:tc>
          <w:tcPr>
            <w:tcW w:w="220" w:type="dxa"/>
            <w:vAlign w:val="bottom"/>
            <w:shd w:val="clear" w:color="auto" w:fill="C0FFFF"/>
          </w:tcPr>
          <w:p>
            <w:pPr>
              <w:spacing w:after="0"/>
              <w:rPr>
                <w:sz w:val="19"/>
                <w:szCs w:val="19"/>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31,847</w:t>
            </w:r>
          </w:p>
        </w:tc>
        <w:tc>
          <w:tcPr>
            <w:tcW w:w="200" w:type="dxa"/>
            <w:vAlign w:val="bottom"/>
            <w:shd w:val="clear" w:color="auto" w:fill="C0FFFF"/>
          </w:tcPr>
          <w:p>
            <w:pPr>
              <w:spacing w:after="0"/>
              <w:rPr>
                <w:sz w:val="19"/>
                <w:szCs w:val="19"/>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116,558</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40,797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1980" w:type="dxa"/>
            <w:vAlign w:val="bottom"/>
            <w:tcBorders>
              <w:top w:val="single" w:sz="8" w:color="C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0FF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1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2,937,567</w:t>
            </w:r>
          </w:p>
        </w:tc>
        <w:tc>
          <w:tcPr>
            <w:tcW w:w="22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2,062,540</w:t>
            </w: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4,864,994</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5,163,127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2,104,628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2,015,108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4,488,966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4,034,850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1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5,042,195</w:t>
            </w:r>
          </w:p>
        </w:tc>
        <w:tc>
          <w:tcPr>
            <w:tcW w:w="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4,077,648</w:t>
            </w:r>
          </w:p>
        </w:tc>
        <w:tc>
          <w:tcPr>
            <w:tcW w:w="200" w:type="dxa"/>
            <w:vAlign w:val="bottom"/>
            <w:shd w:val="clear" w:color="auto" w:fill="C0FFFF"/>
          </w:tcPr>
          <w:p>
            <w:pPr>
              <w:spacing w:after="0"/>
              <w:rPr>
                <w:sz w:val="18"/>
                <w:szCs w:val="18"/>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9,353,960</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9,197,977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shd w:val="clear" w:color="auto" w:fill="C0FFFF"/>
          </w:tcPr>
          <w:p>
            <w:pPr>
              <w:spacing w:after="0"/>
              <w:rPr>
                <w:sz w:val="2"/>
                <w:szCs w:val="2"/>
                <w:color w:val="auto"/>
              </w:rPr>
            </w:pPr>
          </w:p>
        </w:tc>
        <w:tc>
          <w:tcPr>
            <w:tcW w:w="19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0FF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loss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(4,928,173)</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(4,045,801)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(9,237,402)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(9,157,180)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1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34,888</w:t>
            </w:r>
          </w:p>
        </w:tc>
        <w:tc>
          <w:tcPr>
            <w:tcW w:w="22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125,602</w:t>
            </w: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90,312</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246,370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102,741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29,334</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(5,582)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9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(4,790,544)</w:t>
            </w:r>
          </w:p>
        </w:tc>
        <w:tc>
          <w:tcPr>
            <w:tcW w:w="22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(3,890,865)</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(9,152,672)</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(8,890,517)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 Ocean Power</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39,004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8,508</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65,079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80" w:type="dxa"/>
            <w:vAlign w:val="bottom"/>
            <w:shd w:val="clear" w:color="auto" w:fill="C0FFFF"/>
          </w:tcPr>
          <w:p>
            <w:pPr>
              <w:spacing w:after="0"/>
              <w:rPr>
                <w:sz w:val="20"/>
                <w:szCs w:val="20"/>
                <w:color w:val="auto"/>
              </w:rPr>
            </w:pPr>
            <w:r>
              <w:rPr>
                <w:rFonts w:ascii="Arial" w:cs="Arial" w:eastAsia="Arial" w:hAnsi="Arial"/>
                <w:sz w:val="18"/>
                <w:szCs w:val="18"/>
                <w:color w:val="auto"/>
                <w:w w:val="92"/>
              </w:rPr>
              <w:t>Net loss attributable to Ocean Power Technologies, Inc</w:t>
            </w:r>
          </w:p>
        </w:tc>
        <w:tc>
          <w:tcPr>
            <w:tcW w:w="20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(4,751,540)</w:t>
            </w:r>
          </w:p>
        </w:tc>
        <w:tc>
          <w:tcPr>
            <w:tcW w:w="220" w:type="dxa"/>
            <w:vAlign w:val="bottom"/>
            <w:shd w:val="clear" w:color="auto" w:fill="C0FFFF"/>
          </w:tcPr>
          <w:p>
            <w:pPr>
              <w:spacing w:after="0"/>
              <w:rPr>
                <w:sz w:val="20"/>
                <w:szCs w:val="20"/>
                <w:color w:val="auto"/>
              </w:rPr>
            </w:pPr>
          </w:p>
        </w:tc>
        <w:tc>
          <w:tcPr>
            <w:tcW w:w="11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(3,882,357)</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(9,087,593)</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(8,877,421)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tcBorders>
              <w:top w:val="single" w:sz="8" w:color="C0FFFF"/>
            </w:tcBorders>
            <w:shd w:val="clear" w:color="auto" w:fill="C0FFFF"/>
          </w:tcPr>
          <w:p>
            <w:pPr>
              <w:spacing w:after="0" w:line="20" w:lineRule="exact"/>
              <w:rPr>
                <w:sz w:val="1"/>
                <w:szCs w:val="1"/>
                <w:color w:val="auto"/>
              </w:rPr>
            </w:pPr>
          </w:p>
        </w:tc>
        <w:tc>
          <w:tcPr>
            <w:tcW w:w="19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(0.46)</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(0.88)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gridSpan w:val="2"/>
            <w:shd w:val="clear" w:color="auto" w:fill="C0FFFF"/>
          </w:tcPr>
          <w:p>
            <w:pPr>
              <w:spacing w:after="0"/>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shd w:val="clear" w:color="auto" w:fill="C0FFFF"/>
          </w:tcPr>
          <w:p>
            <w:pPr>
              <w:spacing w:after="0"/>
              <w:rPr>
                <w:sz w:val="20"/>
                <w:szCs w:val="20"/>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10,301,601</w:t>
            </w:r>
          </w:p>
        </w:tc>
        <w:tc>
          <w:tcPr>
            <w:tcW w:w="24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92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9"/>
              </w:rPr>
              <w:t>10,275,964</w:t>
            </w:r>
          </w:p>
        </w:tc>
        <w:tc>
          <w:tcPr>
            <w:tcW w:w="200" w:type="dxa"/>
            <w:vAlign w:val="bottom"/>
            <w:shd w:val="clear" w:color="auto" w:fill="C0FFFF"/>
          </w:tcPr>
          <w:p>
            <w:pPr>
              <w:spacing w:after="0"/>
              <w:rPr>
                <w:sz w:val="20"/>
                <w:szCs w:val="20"/>
                <w:color w:val="auto"/>
              </w:rPr>
            </w:pPr>
          </w:p>
        </w:tc>
        <w:tc>
          <w:tcPr>
            <w:tcW w:w="13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10,298,800</w:t>
            </w:r>
          </w:p>
        </w:tc>
        <w:tc>
          <w:tcPr>
            <w:tcW w:w="12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10,272,059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0FFFF"/>
            </w:tcBorders>
            <w:shd w:val="clear" w:color="auto" w:fill="C0FFFF"/>
          </w:tcPr>
          <w:p>
            <w:pPr>
              <w:spacing w:after="0" w:line="20" w:lineRule="exact"/>
              <w:rPr>
                <w:sz w:val="1"/>
                <w:szCs w:val="1"/>
                <w:color w:val="auto"/>
              </w:rPr>
            </w:pPr>
          </w:p>
        </w:tc>
        <w:tc>
          <w:tcPr>
            <w:tcW w:w="19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00" w:type="dxa"/>
            <w:vAlign w:val="bottom"/>
            <w:gridSpan w:val="6"/>
          </w:tcPr>
          <w:p>
            <w:pPr>
              <w:jc w:val="center"/>
              <w:ind w:left="36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700" w:type="dxa"/>
            <w:vAlign w:val="bottom"/>
            <w:gridSpan w:val="6"/>
          </w:tcPr>
          <w:p>
            <w:pPr>
              <w:jc w:val="center"/>
              <w:ind w:left="359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1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(4,790,544)</w:t>
            </w:r>
          </w:p>
        </w:tc>
        <w:tc>
          <w:tcPr>
            <w:tcW w:w="240" w:type="dxa"/>
            <w:vAlign w:val="bottom"/>
            <w:shd w:val="clear" w:color="auto" w:fill="C0FFFF"/>
          </w:tcPr>
          <w:p>
            <w:pPr>
              <w:spacing w:after="0"/>
              <w:rPr>
                <w:sz w:val="18"/>
                <w:szCs w:val="18"/>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(3,890,865)</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(9,152,672)</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(8,890,517)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(13,476)</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(129,770)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(23,960)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(219,849)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0FFFF"/>
          </w:tcPr>
          <w:p>
            <w:pPr>
              <w:spacing w:after="0"/>
              <w:rPr>
                <w:sz w:val="20"/>
                <w:szCs w:val="20"/>
                <w:color w:val="auto"/>
              </w:rPr>
            </w:pPr>
            <w:r>
              <w:rPr>
                <w:rFonts w:ascii="Arial" w:cs="Arial" w:eastAsia="Arial" w:hAnsi="Arial"/>
                <w:sz w:val="18"/>
                <w:szCs w:val="18"/>
                <w:color w:val="auto"/>
              </w:rPr>
              <w:t>Total comprehensive loss</w:t>
            </w:r>
          </w:p>
        </w:tc>
        <w:tc>
          <w:tcPr>
            <w:tcW w:w="1040" w:type="dxa"/>
            <w:vAlign w:val="bottom"/>
            <w:shd w:val="clear" w:color="auto" w:fill="C0FFFF"/>
          </w:tcPr>
          <w:p>
            <w:pPr>
              <w:spacing w:after="0"/>
              <w:rPr>
                <w:sz w:val="19"/>
                <w:szCs w:val="19"/>
                <w:color w:val="auto"/>
              </w:rPr>
            </w:pPr>
          </w:p>
        </w:tc>
        <w:tc>
          <w:tcPr>
            <w:tcW w:w="100" w:type="dxa"/>
            <w:vAlign w:val="bottom"/>
            <w:shd w:val="clear" w:color="auto" w:fill="C0FFFF"/>
          </w:tcPr>
          <w:p>
            <w:pPr>
              <w:spacing w:after="0"/>
              <w:rPr>
                <w:sz w:val="19"/>
                <w:szCs w:val="19"/>
                <w:color w:val="auto"/>
              </w:rPr>
            </w:pP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(4,804,020)</w:t>
            </w:r>
          </w:p>
        </w:tc>
        <w:tc>
          <w:tcPr>
            <w:tcW w:w="240" w:type="dxa"/>
            <w:vAlign w:val="bottom"/>
            <w:shd w:val="clear" w:color="auto" w:fill="C0FFFF"/>
          </w:tcPr>
          <w:p>
            <w:pPr>
              <w:spacing w:after="0"/>
              <w:rPr>
                <w:sz w:val="19"/>
                <w:szCs w:val="19"/>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(4,020,635)</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(9,176,632)</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(9,110,366)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Borders>
              <w:top w:val="single" w:sz="8" w:color="C0FFFF"/>
            </w:tcBorders>
            <w:gridSpan w:val="2"/>
          </w:tcPr>
          <w:p>
            <w:pPr>
              <w:ind w:left="160"/>
              <w:spacing w:after="0" w:line="201" w:lineRule="exact"/>
              <w:rPr>
                <w:sz w:val="20"/>
                <w:szCs w:val="20"/>
                <w:color w:val="auto"/>
              </w:rPr>
            </w:pPr>
            <w:r>
              <w:rPr>
                <w:rFonts w:ascii="Arial" w:cs="Arial" w:eastAsia="Arial" w:hAnsi="Arial"/>
                <w:sz w:val="18"/>
                <w:szCs w:val="18"/>
                <w:color w:val="auto"/>
                <w:w w:val="94"/>
              </w:rPr>
              <w:t>Comprehensive loss attributable to the noncontrolling interest in Ocean Power</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0FF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0FF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rPr>
              <w:t>Technologies (Australasia) Pty Ltd.</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38,416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9,224</w:t>
            </w: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65,552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13,819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20" w:type="dxa"/>
            <w:vAlign w:val="bottom"/>
            <w:shd w:val="clear" w:color="auto" w:fill="C0FFFF"/>
          </w:tcPr>
          <w:p>
            <w:pPr>
              <w:spacing w:after="0"/>
              <w:rPr>
                <w:sz w:val="20"/>
                <w:szCs w:val="20"/>
                <w:color w:val="auto"/>
              </w:rPr>
            </w:pPr>
            <w:r>
              <w:rPr>
                <w:rFonts w:ascii="Arial" w:cs="Arial" w:eastAsia="Arial" w:hAnsi="Arial"/>
                <w:sz w:val="18"/>
                <w:szCs w:val="18"/>
                <w:color w:val="auto"/>
                <w:w w:val="93"/>
              </w:rPr>
              <w:t>Comprehensive loss attributable to Ocean Power Technologies, Inc</w:t>
            </w:r>
          </w:p>
        </w:tc>
        <w:tc>
          <w:tcPr>
            <w:tcW w:w="114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(4,765,604)</w:t>
            </w:r>
          </w:p>
        </w:tc>
        <w:tc>
          <w:tcPr>
            <w:tcW w:w="240" w:type="dxa"/>
            <w:vAlign w:val="bottom"/>
            <w:shd w:val="clear" w:color="auto" w:fill="C0FFFF"/>
          </w:tcPr>
          <w:p>
            <w:pPr>
              <w:spacing w:after="0"/>
              <w:rPr>
                <w:sz w:val="20"/>
                <w:szCs w:val="20"/>
                <w:color w:val="auto"/>
              </w:rPr>
            </w:pPr>
          </w:p>
        </w:tc>
        <w:tc>
          <w:tcPr>
            <w:tcW w:w="11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(4,011,411)</w:t>
            </w:r>
          </w:p>
        </w:tc>
        <w:tc>
          <w:tcPr>
            <w:tcW w:w="1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(9,111,080)</w:t>
            </w:r>
          </w:p>
        </w:tc>
        <w:tc>
          <w:tcPr>
            <w:tcW w:w="124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(9,096,547)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Borders>
              <w:top w:val="single" w:sz="8" w:color="C0FFFF"/>
            </w:tcBorders>
            <w:shd w:val="clear" w:color="auto" w:fill="C0FFFF"/>
          </w:tcPr>
          <w:p>
            <w:pPr>
              <w:spacing w:after="0" w:line="20" w:lineRule="exact"/>
              <w:rPr>
                <w:sz w:val="1"/>
                <w:szCs w:val="1"/>
                <w:color w:val="auto"/>
              </w:rPr>
            </w:pPr>
          </w:p>
        </w:tc>
        <w:tc>
          <w:tcPr>
            <w:tcW w:w="10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(9,152,672)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(8,890,517)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Foreign exchange (gain) loss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5,582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245,382</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196,078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26,023</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27,828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617,200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482,671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588,779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(434,090)</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(108,395)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387,395</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(75,511)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(14,121)</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67,360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82,601</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(605,704)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4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910,155</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(583,477)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8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542,993</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801,253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shd w:val="clear" w:color="auto" w:fill="C0FF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0FFFF"/>
          </w:tcPr>
          <w:p>
            <w:pPr>
              <w:spacing w:after="0"/>
              <w:rPr>
                <w:sz w:val="19"/>
                <w:szCs w:val="19"/>
                <w:color w:val="auto"/>
              </w:rPr>
            </w:pPr>
          </w:p>
        </w:tc>
        <w:tc>
          <w:tcPr>
            <w:tcW w:w="260" w:type="dxa"/>
            <w:vAlign w:val="bottom"/>
            <w:shd w:val="clear" w:color="auto" w:fill="C0FFFF"/>
          </w:tcPr>
          <w:p>
            <w:pPr>
              <w:spacing w:after="0"/>
              <w:rPr>
                <w:sz w:val="19"/>
                <w:szCs w:val="19"/>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(6,300,881)</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(7,889,184)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(10,041,162)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(860,380)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20,753,357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10,580,936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75,000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(340,248)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Payments of patent costs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(96,039)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10,446,947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9,551,012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0FFFF"/>
          </w:tcPr>
          <w:p>
            <w:pPr>
              <w:spacing w:after="0"/>
              <w:rPr>
                <w:sz w:val="18"/>
                <w:szCs w:val="18"/>
                <w:color w:val="auto"/>
              </w:rPr>
            </w:pPr>
          </w:p>
        </w:tc>
        <w:tc>
          <w:tcPr>
            <w:tcW w:w="260" w:type="dxa"/>
            <w:vAlign w:val="bottom"/>
            <w:tcBorders>
              <w:top w:val="single" w:sz="8" w:color="auto"/>
            </w:tcBorders>
            <w:shd w:val="clear" w:color="auto" w:fill="C0FFFF"/>
          </w:tcPr>
          <w:p>
            <w:pPr>
              <w:spacing w:after="0"/>
              <w:rPr>
                <w:sz w:val="18"/>
                <w:szCs w:val="18"/>
                <w:color w:val="auto"/>
              </w:rPr>
            </w:pPr>
          </w:p>
        </w:tc>
        <w:tc>
          <w:tcPr>
            <w:tcW w:w="1240" w:type="dxa"/>
            <w:vAlign w:val="bottom"/>
            <w:tcBorders>
              <w:top w:val="single" w:sz="8" w:color="auto"/>
            </w:tcBorders>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tcBorders>
              <w:top w:val="single" w:sz="8" w:color="auto"/>
            </w:tcBorders>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(89,378)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(9,122)</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(38,867)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(59,122)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(128,245)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6,127</w:t>
            </w:r>
          </w:p>
        </w:tc>
        <w:tc>
          <w:tcPr>
            <w:tcW w:w="15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(153,281)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4,093,071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1,380,302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9,353,460</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4,376,136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4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13,446,531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5,756,438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24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Capitalized patent costs financed through accounts payable and accrued espenses expenses</w:t>
            </w:r>
          </w:p>
        </w:tc>
        <w:tc>
          <w:tcPr>
            <w:tcW w:w="5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47,694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3,336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38,461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96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rPr>
              <w:t>Common Shares</w:t>
            </w:r>
          </w:p>
        </w:tc>
        <w:tc>
          <w:tcPr>
            <w:tcW w:w="1820" w:type="dxa"/>
            <w:vAlign w:val="bottom"/>
            <w:gridSpan w:val="6"/>
          </w:tcPr>
          <w:p>
            <w:pPr>
              <w:jc w:val="right"/>
              <w:ind w:right="270"/>
              <w:spacing w:after="0"/>
              <w:rPr>
                <w:sz w:val="20"/>
                <w:szCs w:val="20"/>
                <w:color w:val="auto"/>
              </w:rPr>
            </w:pPr>
            <w:r>
              <w:rPr>
                <w:rFonts w:ascii="Arial" w:cs="Arial" w:eastAsia="Arial" w:hAnsi="Arial"/>
                <w:sz w:val="18"/>
                <w:szCs w:val="18"/>
                <w:b w:val="1"/>
                <w:bCs w:val="1"/>
                <w:color w:val="auto"/>
              </w:rPr>
              <w:t>Treasury Shares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Noncontrolling</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19"/>
                <w:szCs w:val="19"/>
                <w:color w:val="auto"/>
              </w:rPr>
            </w:pPr>
          </w:p>
        </w:tc>
        <w:tc>
          <w:tcPr>
            <w:tcW w:w="82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9"/>
              </w:rPr>
              <w:t>Shares</w:t>
            </w: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16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Capital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April 30,</w:t>
            </w:r>
          </w:p>
        </w:tc>
        <w:tc>
          <w:tcPr>
            <w:tcW w:w="9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2011</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7"/>
              </w:rPr>
              <w:t>10,419,183</w:t>
            </w:r>
          </w:p>
        </w:tc>
        <w:tc>
          <w:tcPr>
            <w:tcW w:w="120" w:type="dxa"/>
            <w:vAlign w:val="bottom"/>
            <w:shd w:val="clear" w:color="auto" w:fill="C0FFFF"/>
          </w:tcPr>
          <w:p>
            <w:pPr>
              <w:spacing w:after="0"/>
              <w:rPr>
                <w:sz w:val="20"/>
                <w:szCs w:val="20"/>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10,419</w:t>
            </w:r>
          </w:p>
        </w:tc>
        <w:tc>
          <w:tcPr>
            <w:tcW w:w="8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(7,685)</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(42,734)</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157,174,930</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(110,848,972)</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175,907</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21,948</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46,491,498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(8,877,421)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(13,096)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(8,890,517)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compensation</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621,579</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621,579</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w w:val="96"/>
              </w:rPr>
              <w:t>Issuance (forfeiture)</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spacing w:after="0"/>
              <w:rPr>
                <w:sz w:val="20"/>
                <w:szCs w:val="20"/>
                <w:color w:val="auto"/>
              </w:rPr>
            </w:pPr>
            <w:r>
              <w:rPr>
                <w:rFonts w:ascii="Arial" w:cs="Arial" w:eastAsia="Arial" w:hAnsi="Arial"/>
                <w:sz w:val="18"/>
                <w:szCs w:val="18"/>
                <w:color w:val="auto"/>
              </w:rPr>
              <w:t>of restricted stock,</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net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(4,794)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82,296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82,291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treasury stock</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(8,890)</w:t>
            </w:r>
          </w:p>
        </w:tc>
        <w:tc>
          <w:tcPr>
            <w:tcW w:w="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(38,867)</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(38,867)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580" w:type="dxa"/>
            <w:vAlign w:val="bottom"/>
            <w:gridSpan w:val="2"/>
          </w:tcPr>
          <w:p>
            <w:pPr>
              <w:spacing w:after="0"/>
              <w:rPr>
                <w:sz w:val="20"/>
                <w:szCs w:val="20"/>
                <w:color w:val="auto"/>
              </w:rPr>
            </w:pPr>
            <w:r>
              <w:rPr>
                <w:rFonts w:ascii="Arial" w:cs="Arial" w:eastAsia="Arial" w:hAnsi="Arial"/>
                <w:sz w:val="18"/>
                <w:szCs w:val="18"/>
                <w:color w:val="auto"/>
                <w:w w:val="98"/>
              </w:rPr>
              <w:t>comprehensive loss</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(219,126)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(723)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(219,849)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Balance, October</w:t>
            </w:r>
          </w:p>
        </w:tc>
        <w:tc>
          <w:tcPr>
            <w:tcW w:w="900" w:type="dxa"/>
            <w:vAlign w:val="bottom"/>
            <w:tcBorders>
              <w:top w:val="single" w:sz="8" w:color="auto"/>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tcBorders>
              <w:top w:val="single" w:sz="8" w:color="auto"/>
            </w:tcBorders>
            <w:shd w:val="clear" w:color="auto" w:fill="C0FFFF"/>
          </w:tcPr>
          <w:p>
            <w:pPr>
              <w:spacing w:after="0"/>
              <w:rPr>
                <w:sz w:val="17"/>
                <w:szCs w:val="17"/>
                <w:color w:val="auto"/>
              </w:rPr>
            </w:pPr>
          </w:p>
        </w:tc>
        <w:tc>
          <w:tcPr>
            <w:tcW w:w="560" w:type="dxa"/>
            <w:vAlign w:val="bottom"/>
            <w:tcBorders>
              <w:top w:val="single" w:sz="8" w:color="auto"/>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tcBorders>
              <w:top w:val="single" w:sz="8" w:color="auto"/>
            </w:tcBorders>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tcBorders>
              <w:top w:val="single" w:sz="8" w:color="auto"/>
            </w:tcBorders>
            <w:shd w:val="clear" w:color="auto" w:fill="C0FFFF"/>
          </w:tcPr>
          <w:p>
            <w:pPr>
              <w:spacing w:after="0"/>
              <w:rPr>
                <w:sz w:val="17"/>
                <w:szCs w:val="17"/>
                <w:color w:val="auto"/>
              </w:rPr>
            </w:pPr>
          </w:p>
        </w:tc>
        <w:tc>
          <w:tcPr>
            <w:tcW w:w="660" w:type="dxa"/>
            <w:vAlign w:val="bottom"/>
            <w:tcBorders>
              <w:top w:val="single" w:sz="8" w:color="auto"/>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tcBorders>
              <w:top w:val="single" w:sz="8" w:color="auto"/>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tcBorders>
              <w:top w:val="single" w:sz="8" w:color="auto"/>
            </w:tcBorders>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tcBorders>
              <w:top w:val="single" w:sz="8" w:color="auto"/>
            </w:tcBorders>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tcBorders>
              <w:top w:val="single" w:sz="8" w:color="auto"/>
            </w:tcBorders>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tcBorders>
              <w:top w:val="single" w:sz="8" w:color="auto"/>
            </w:tcBorders>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31, 2011</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97"/>
              </w:rPr>
              <w:t>10,414,389</w:t>
            </w:r>
          </w:p>
        </w:tc>
        <w:tc>
          <w:tcPr>
            <w:tcW w:w="120" w:type="dxa"/>
            <w:vAlign w:val="bottom"/>
            <w:shd w:val="clear" w:color="auto" w:fill="C0FFFF"/>
          </w:tcPr>
          <w:p>
            <w:pPr>
              <w:spacing w:after="0"/>
              <w:rPr>
                <w:sz w:val="23"/>
                <w:szCs w:val="23"/>
                <w:color w:val="auto"/>
              </w:rPr>
            </w:pPr>
          </w:p>
        </w:tc>
        <w:tc>
          <w:tcPr>
            <w:tcW w:w="2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8"/>
              </w:rPr>
              <w:t>10,414</w:t>
            </w:r>
          </w:p>
        </w:tc>
        <w:tc>
          <w:tcPr>
            <w:tcW w:w="8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(16,575)</w:t>
            </w:r>
          </w:p>
        </w:tc>
        <w:tc>
          <w:tcPr>
            <w:tcW w:w="1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10"/>
              <w:spacing w:after="0"/>
              <w:rPr>
                <w:sz w:val="20"/>
                <w:szCs w:val="20"/>
                <w:color w:val="auto"/>
              </w:rPr>
            </w:pPr>
            <w:r>
              <w:rPr>
                <w:rFonts w:ascii="Arial" w:cs="Arial" w:eastAsia="Arial" w:hAnsi="Arial"/>
                <w:sz w:val="18"/>
                <w:szCs w:val="18"/>
                <w:color w:val="auto"/>
              </w:rPr>
              <w:t>(81,601)</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w w:val="97"/>
              </w:rPr>
              <w:t>157,878,805</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8"/>
              </w:rPr>
              <w:t>(119,726,393)</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(43,219)</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8,129</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w w:val="95"/>
              </w:rPr>
              <w:t>38,046,135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60" w:type="dxa"/>
            <w:vAlign w:val="bottom"/>
            <w:tcBorders>
              <w:top w:val="single" w:sz="8" w:color="C0FFFF"/>
            </w:tcBorders>
          </w:tcPr>
          <w:p>
            <w:pPr>
              <w:spacing w:after="0" w:line="195" w:lineRule="exact"/>
              <w:rPr>
                <w:sz w:val="20"/>
                <w:szCs w:val="20"/>
                <w:color w:val="auto"/>
              </w:rPr>
            </w:pPr>
            <w:r>
              <w:rPr>
                <w:rFonts w:ascii="Arial" w:cs="Arial" w:eastAsia="Arial" w:hAnsi="Arial"/>
                <w:sz w:val="18"/>
                <w:szCs w:val="18"/>
                <w:color w:val="auto"/>
              </w:rPr>
              <w:t>Balance, April 30,</w:t>
            </w: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60" w:type="dxa"/>
            <w:vAlign w:val="bottom"/>
            <w:tcBorders>
              <w:top w:val="single" w:sz="8" w:color="C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C0FFFF"/>
            </w:tcBorders>
          </w:tcPr>
          <w:p>
            <w:pPr>
              <w:spacing w:after="0"/>
              <w:rPr>
                <w:sz w:val="16"/>
                <w:szCs w:val="16"/>
                <w:color w:val="auto"/>
              </w:rPr>
            </w:pPr>
          </w:p>
        </w:tc>
        <w:tc>
          <w:tcPr>
            <w:tcW w:w="60" w:type="dxa"/>
            <w:vAlign w:val="bottom"/>
            <w:tcBorders>
              <w:top w:val="single" w:sz="8" w:color="C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0FFFF"/>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Borders>
              <w:top w:val="single" w:sz="8" w:color="C0FFFF"/>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2012</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10,407,389</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10,407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(23,544)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(102,388)</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158,296,458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(125,989,474)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(78,990)</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(28,632)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32,107,381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(9,087,593)</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(65,079)</w:t>
            </w:r>
          </w:p>
        </w:tc>
        <w:tc>
          <w:tcPr>
            <w:tcW w:w="9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w w:val="99"/>
              </w:rPr>
              <w:t>(9,152,672)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Stock based</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590,344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590,344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w w:val="96"/>
              </w:rPr>
              <w:t>Issuance (forfeiture)</w:t>
            </w:r>
          </w:p>
        </w:tc>
        <w:tc>
          <w:tcPr>
            <w:tcW w:w="9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of restricted stock,</w:t>
            </w:r>
          </w:p>
        </w:tc>
        <w:tc>
          <w:tcPr>
            <w:tcW w:w="9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5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70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0" w:type="dxa"/>
            <w:vAlign w:val="bottom"/>
            <w:shd w:val="clear" w:color="auto" w:fill="C0FFFF"/>
          </w:tcPr>
          <w:p>
            <w:pPr>
              <w:spacing w:after="0"/>
              <w:rPr>
                <w:sz w:val="18"/>
                <w:szCs w:val="18"/>
                <w:color w:val="auto"/>
              </w:rPr>
            </w:pPr>
          </w:p>
        </w:tc>
        <w:tc>
          <w:tcPr>
            <w:tcW w:w="120" w:type="dxa"/>
            <w:vAlign w:val="bottom"/>
            <w:shd w:val="clear" w:color="auto" w:fill="C0FFFF"/>
          </w:tcPr>
          <w:p>
            <w:pPr>
              <w:spacing w:after="0"/>
              <w:rPr>
                <w:sz w:val="18"/>
                <w:szCs w:val="18"/>
                <w:color w:val="auto"/>
              </w:rPr>
            </w:pPr>
          </w:p>
        </w:tc>
        <w:tc>
          <w:tcPr>
            <w:tcW w:w="6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0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06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20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8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rPr>
              <w:t>net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8,159</w:t>
            </w:r>
          </w:p>
        </w:tc>
        <w:tc>
          <w:tcPr>
            <w:tcW w:w="120" w:type="dxa"/>
            <w:vAlign w:val="bottom"/>
            <w:shd w:val="clear" w:color="auto" w:fill="C0FFFF"/>
          </w:tcPr>
          <w:p>
            <w:pPr>
              <w:spacing w:after="0"/>
              <w:rPr>
                <w:sz w:val="20"/>
                <w:szCs w:val="20"/>
                <w:color w:val="auto"/>
              </w:rPr>
            </w:pPr>
          </w:p>
        </w:tc>
        <w:tc>
          <w:tcPr>
            <w:tcW w:w="6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26,849</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0FF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26,858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treasury stock</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(4,274)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(9,122)</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shd w:val="clear" w:color="auto" w:fill="C0FFFF"/>
          </w:tcPr>
          <w:p>
            <w:pPr>
              <w:spacing w:after="0" w:line="201" w:lineRule="exact"/>
              <w:rPr>
                <w:sz w:val="20"/>
                <w:szCs w:val="20"/>
                <w:color w:val="auto"/>
              </w:rPr>
            </w:pPr>
            <w:r>
              <w:rPr>
                <w:rFonts w:ascii="Arial" w:cs="Arial" w:eastAsia="Arial" w:hAnsi="Arial"/>
                <w:sz w:val="18"/>
                <w:szCs w:val="18"/>
                <w:color w:val="auto"/>
              </w:rPr>
              <w:t>Other</w:t>
            </w:r>
          </w:p>
        </w:tc>
        <w:tc>
          <w:tcPr>
            <w:tcW w:w="9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5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70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6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0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060" w:type="dxa"/>
            <w:vAlign w:val="bottom"/>
            <w:shd w:val="clear" w:color="auto" w:fill="C0FFFF"/>
          </w:tcPr>
          <w:p>
            <w:pPr>
              <w:spacing w:after="0"/>
              <w:rPr>
                <w:sz w:val="17"/>
                <w:szCs w:val="17"/>
                <w:color w:val="auto"/>
              </w:rPr>
            </w:pPr>
          </w:p>
        </w:tc>
        <w:tc>
          <w:tcPr>
            <w:tcW w:w="160" w:type="dxa"/>
            <w:vAlign w:val="bottom"/>
            <w:shd w:val="clear" w:color="auto" w:fill="C0FFFF"/>
          </w:tcPr>
          <w:p>
            <w:pPr>
              <w:spacing w:after="0"/>
              <w:rPr>
                <w:sz w:val="17"/>
                <w:szCs w:val="17"/>
                <w:color w:val="auto"/>
              </w:rPr>
            </w:pPr>
          </w:p>
        </w:tc>
        <w:tc>
          <w:tcPr>
            <w:tcW w:w="120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1140" w:type="dxa"/>
            <w:vAlign w:val="bottom"/>
            <w:shd w:val="clear" w:color="auto" w:fill="C0FFFF"/>
          </w:tcPr>
          <w:p>
            <w:pPr>
              <w:spacing w:after="0"/>
              <w:rPr>
                <w:sz w:val="17"/>
                <w:szCs w:val="17"/>
                <w:color w:val="auto"/>
              </w:rPr>
            </w:pPr>
          </w:p>
        </w:tc>
        <w:tc>
          <w:tcPr>
            <w:tcW w:w="180" w:type="dxa"/>
            <w:vAlign w:val="bottom"/>
            <w:shd w:val="clear" w:color="auto" w:fill="C0FFFF"/>
          </w:tcPr>
          <w:p>
            <w:pPr>
              <w:spacing w:after="0"/>
              <w:rPr>
                <w:sz w:val="17"/>
                <w:szCs w:val="17"/>
                <w:color w:val="auto"/>
              </w:rPr>
            </w:pPr>
          </w:p>
        </w:tc>
        <w:tc>
          <w:tcPr>
            <w:tcW w:w="88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60" w:type="dxa"/>
            <w:vAlign w:val="bottom"/>
            <w:shd w:val="clear" w:color="auto" w:fill="C0FFFF"/>
          </w:tcPr>
          <w:p>
            <w:pPr>
              <w:spacing w:after="0"/>
              <w:rPr>
                <w:sz w:val="20"/>
                <w:szCs w:val="20"/>
                <w:color w:val="auto"/>
              </w:rPr>
            </w:pPr>
            <w:r>
              <w:rPr>
                <w:rFonts w:ascii="Arial" w:cs="Arial" w:eastAsia="Arial" w:hAnsi="Arial"/>
                <w:sz w:val="18"/>
                <w:szCs w:val="18"/>
                <w:color w:val="auto"/>
                <w:w w:val="96"/>
              </w:rPr>
              <w:t>comprehensive loss</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60" w:type="dxa"/>
            <w:vAlign w:val="bottom"/>
            <w:shd w:val="clear" w:color="auto" w:fill="C0FFFF"/>
          </w:tcPr>
          <w:p>
            <w:pPr>
              <w:spacing w:after="0"/>
              <w:rPr>
                <w:sz w:val="20"/>
                <w:szCs w:val="20"/>
                <w:color w:val="auto"/>
              </w:rPr>
            </w:pPr>
          </w:p>
        </w:tc>
        <w:tc>
          <w:tcPr>
            <w:tcW w:w="7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0FFFF"/>
          </w:tcPr>
          <w:p>
            <w:pPr>
              <w:spacing w:after="0"/>
              <w:rPr>
                <w:sz w:val="20"/>
                <w:szCs w:val="20"/>
                <w:color w:val="auto"/>
              </w:rPr>
            </w:pPr>
          </w:p>
        </w:tc>
        <w:tc>
          <w:tcPr>
            <w:tcW w:w="120" w:type="dxa"/>
            <w:vAlign w:val="bottom"/>
            <w:shd w:val="clear" w:color="auto" w:fill="C0FFFF"/>
          </w:tcPr>
          <w:p>
            <w:pPr>
              <w:spacing w:after="0"/>
              <w:rPr>
                <w:sz w:val="20"/>
                <w:szCs w:val="20"/>
                <w:color w:val="auto"/>
              </w:rPr>
            </w:pPr>
          </w:p>
        </w:tc>
        <w:tc>
          <w:tcPr>
            <w:tcW w:w="820" w:type="dxa"/>
            <w:vAlign w:val="bottom"/>
            <w:gridSpan w:val="2"/>
            <w:shd w:val="clear" w:color="auto" w:fill="C0FF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(23,487)</w:t>
            </w:r>
          </w:p>
        </w:tc>
        <w:tc>
          <w:tcPr>
            <w:tcW w:w="132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(473)</w:t>
            </w:r>
          </w:p>
        </w:tc>
        <w:tc>
          <w:tcPr>
            <w:tcW w:w="98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(23,960)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60" w:type="dxa"/>
            <w:vAlign w:val="bottom"/>
            <w:tcBorders>
              <w:top w:val="single" w:sz="8" w:color="C0FFFF"/>
            </w:tcBorders>
          </w:tcPr>
          <w:p>
            <w:pPr>
              <w:spacing w:after="0" w:line="201" w:lineRule="exact"/>
              <w:rPr>
                <w:sz w:val="20"/>
                <w:szCs w:val="20"/>
                <w:color w:val="auto"/>
              </w:rPr>
            </w:pPr>
            <w:r>
              <w:rPr>
                <w:rFonts w:ascii="Arial" w:cs="Arial" w:eastAsia="Arial" w:hAnsi="Arial"/>
                <w:sz w:val="18"/>
                <w:szCs w:val="18"/>
                <w:color w:val="auto"/>
              </w:rPr>
              <w:t>Balance, October</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0FFFF"/>
            </w:tcBorders>
          </w:tcPr>
          <w:p>
            <w:pPr>
              <w:spacing w:after="0"/>
              <w:rPr>
                <w:sz w:val="17"/>
                <w:szCs w:val="17"/>
                <w:color w:val="auto"/>
              </w:rPr>
            </w:pPr>
          </w:p>
        </w:tc>
        <w:tc>
          <w:tcPr>
            <w:tcW w:w="60" w:type="dxa"/>
            <w:vAlign w:val="bottom"/>
            <w:tcBorders>
              <w:top w:val="single" w:sz="8" w:color="C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0FF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0FFFF"/>
            </w:tcBorders>
          </w:tcPr>
          <w:p>
            <w:pPr>
              <w:spacing w:after="0"/>
              <w:rPr>
                <w:sz w:val="17"/>
                <w:szCs w:val="17"/>
                <w:color w:val="auto"/>
              </w:rPr>
            </w:pPr>
          </w:p>
        </w:tc>
        <w:tc>
          <w:tcPr>
            <w:tcW w:w="60" w:type="dxa"/>
            <w:vAlign w:val="bottom"/>
            <w:tcBorders>
              <w:top w:val="single" w:sz="8" w:color="C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60" w:type="dxa"/>
            <w:vAlign w:val="bottom"/>
            <w:tcBorders>
              <w:top w:val="single" w:sz="8" w:color="C0FF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0FF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0FF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0FF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C0FF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80" w:type="dxa"/>
            <w:vAlign w:val="bottom"/>
            <w:gridSpan w:val="2"/>
          </w:tcPr>
          <w:p>
            <w:pPr>
              <w:spacing w:after="0"/>
              <w:rPr>
                <w:sz w:val="20"/>
                <w:szCs w:val="20"/>
                <w:color w:val="auto"/>
              </w:rPr>
            </w:pPr>
            <w:r>
              <w:rPr>
                <w:rFonts w:ascii="Arial" w:cs="Arial" w:eastAsia="Arial" w:hAnsi="Arial"/>
                <w:sz w:val="18"/>
                <w:szCs w:val="18"/>
                <w:color w:val="auto"/>
              </w:rPr>
              <w:t>31, 2012</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10,415,548</w:t>
            </w:r>
          </w:p>
        </w:tc>
        <w:tc>
          <w:tcPr>
            <w:tcW w:w="1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10,416</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(27,818)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(111,510)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158,913,651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(135,077,067)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(102,477)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(94,184)</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23,538,829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and Basis of Presentation</w:t>
      </w:r>
    </w:p>
    <w:p>
      <w:pPr>
        <w:spacing w:after="0" w:line="28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Ocean Power Technologies, Inc. (the “Company”) was incorporated in April 1984 in New Jersey, commenced business operations in 1994 and re-incorporated in Delaware in April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over time, is to generate revenues from the sale of products and maintenance services to utilities and other non-government commercial customers, and to have such revenues represent a greater portion of its total revenues. As we continue to advance our proprietary technologies, we expect to continue to have a net decrease in cash from operating activities unless or until we achieve positive cash flow from the planned commercialization of our products and services.</w:t>
      </w:r>
    </w:p>
    <w:p>
      <w:pPr>
        <w:spacing w:after="0" w:line="2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2012 filed with the Securities and Exchange Commission (“SEC”) and elsewhere in this Form 10-Q.</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2012, there was one noncontrolling interest, consisting of 11.8% of the Company's Australian subsidiary, Ocean Power Technologies (Australasia) Pty. Ltd.</w:t>
      </w:r>
    </w:p>
    <w:p>
      <w:pPr>
        <w:spacing w:after="0" w:line="2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2012, there were no such entities.</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10% investment in Iberdrola Energias Marinas de Cantabria, S.A. (Iberdrola Cantabria). During the fourth quarter of fiscal 2012, the Company evaluated the realizability of this investment and concluded that it was impaired. Accordingly, the Company recorded an impairment expense of $0.3 million representing 100% of the investment amount. In addition, outstanding receivables from Iberdrola Cantabria in the amount of $0.3 million as of April 2012 were fully reserved during the fourth quarter of fiscal 2012. The investment in Iberdrola Cantabria and net accounts receivable and unbilled receivables from Iberdrola Cantabria were $0 as of October 31, 2012 and April 30, 2012. See Note 9.</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7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Revenue Recognition</w:t>
      </w:r>
    </w:p>
    <w:p>
      <w:pPr>
        <w:spacing w:after="0" w:line="200" w:lineRule="exact"/>
        <w:rPr>
          <w:sz w:val="20"/>
          <w:szCs w:val="20"/>
          <w:color w:val="auto"/>
        </w:rPr>
      </w:pPr>
    </w:p>
    <w:p>
      <w:pPr>
        <w:spacing w:after="0" w:line="3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there is a profit or loss on the project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Cash and Cash Equivalents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October 31, 2012</w:t>
            </w: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April 30, 2012</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0FFFF"/>
          </w:tcPr>
          <w:p>
            <w:pPr>
              <w:spacing w:after="0"/>
              <w:rPr>
                <w:sz w:val="20"/>
                <w:szCs w:val="20"/>
                <w:color w:val="auto"/>
              </w:rPr>
            </w:pPr>
            <w:r>
              <w:rPr>
                <w:rFonts w:ascii="Arial" w:cs="Arial" w:eastAsia="Arial" w:hAnsi="Arial"/>
                <w:sz w:val="18"/>
                <w:szCs w:val="18"/>
                <w:color w:val="auto"/>
              </w:rPr>
              <w:t>Checking and savings accounts</w:t>
            </w:r>
          </w:p>
        </w:tc>
        <w:tc>
          <w:tcPr>
            <w:tcW w:w="228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3,256,928</w:t>
            </w:r>
          </w:p>
        </w:tc>
        <w:tc>
          <w:tcPr>
            <w:tcW w:w="220" w:type="dxa"/>
            <w:vAlign w:val="bottom"/>
            <w:shd w:val="clear" w:color="auto" w:fill="C0FFFF"/>
          </w:tcPr>
          <w:p>
            <w:pPr>
              <w:spacing w:after="0"/>
              <w:rPr>
                <w:sz w:val="18"/>
                <w:szCs w:val="18"/>
                <w:color w:val="auto"/>
              </w:rPr>
            </w:pPr>
          </w:p>
        </w:tc>
        <w:tc>
          <w:tcPr>
            <w:tcW w:w="1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2,051,918</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Certificates of deposits and US Treasury obligations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5,998,925</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0FFFF"/>
          </w:tcPr>
          <w:p>
            <w:pPr>
              <w:spacing w:after="0"/>
              <w:rPr>
                <w:sz w:val="20"/>
                <w:szCs w:val="20"/>
                <w:color w:val="auto"/>
              </w:rPr>
            </w:pPr>
            <w:r>
              <w:rPr>
                <w:rFonts w:ascii="Arial" w:cs="Arial" w:eastAsia="Arial" w:hAnsi="Arial"/>
                <w:sz w:val="18"/>
                <w:szCs w:val="18"/>
                <w:color w:val="auto"/>
              </w:rPr>
              <w:t>Money market funds</w:t>
            </w:r>
          </w:p>
        </w:tc>
        <w:tc>
          <w:tcPr>
            <w:tcW w:w="218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10,189,603</w:t>
            </w:r>
          </w:p>
        </w:tc>
        <w:tc>
          <w:tcPr>
            <w:tcW w:w="15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1,302,617</w:t>
            </w:r>
          </w:p>
        </w:tc>
        <w:tc>
          <w:tcPr>
            <w:tcW w:w="100" w:type="dxa"/>
            <w:vAlign w:val="bottom"/>
            <w:shd w:val="clear" w:color="auto" w:fill="C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00" w:type="dxa"/>
            <w:vAlign w:val="bottom"/>
            <w:shd w:val="clear" w:color="auto" w:fill="C0FFFF"/>
          </w:tcPr>
          <w:p>
            <w:pPr>
              <w:spacing w:after="0"/>
              <w:rPr>
                <w:sz w:val="2"/>
                <w:szCs w:val="2"/>
                <w:color w:val="auto"/>
              </w:rPr>
            </w:pPr>
          </w:p>
        </w:tc>
        <w:tc>
          <w:tcPr>
            <w:tcW w:w="218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13,446,531</w:t>
            </w:r>
          </w:p>
        </w:tc>
        <w:tc>
          <w:tcPr>
            <w:tcW w:w="1520" w:type="dxa"/>
            <w:vAlign w:val="bottom"/>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180" w:type="dxa"/>
            <w:vAlign w:val="bottom"/>
            <w:vMerge w:val="restart"/>
          </w:tcPr>
          <w:p>
            <w:pPr>
              <w:jc w:val="right"/>
              <w:ind w:right="105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c>
          <w:tcPr>
            <w:tcW w:w="2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Cash and Credit Facility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two security agreements.</w:t>
      </w: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credit facility established by Barclays Bank for Ocean Power Technologies Ltd. The credit facility is for the issuance of letters of credit and bank guarantees and carries a fee of 1% per annum of the amount of any such obligations issued by Barclays Bank. As of October 31, 2012, there were €266,000 in letters of credit outstanding under this agreement. The credit facility does not have an expiration date, but is cancelable at the discretion of the bank.</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other agreement is between Ocean Power Technologies, Inc. and the New Jersey Board of Public Utilities (NJBPU). The Company received a $500,000 recoverable grant award from the NJBPU. Under this agreement, the Company is required to assign to the NJBPU a certificate of deposit in an amount equal to the outstanding grant balance. See Note 6.</w:t>
      </w:r>
    </w:p>
    <w:p>
      <w:pPr>
        <w:spacing w:after="0" w:line="23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5300" w:type="dxa"/>
            <w:vAlign w:val="bottom"/>
            <w:gridSpan w:val="2"/>
          </w:tcPr>
          <w:p>
            <w:pPr>
              <w:spacing w:after="0"/>
              <w:rPr>
                <w:sz w:val="20"/>
                <w:szCs w:val="20"/>
                <w:color w:val="auto"/>
              </w:rPr>
            </w:pPr>
            <w:r>
              <w:rPr>
                <w:rFonts w:ascii="Arial" w:cs="Arial" w:eastAsia="Arial" w:hAnsi="Arial"/>
                <w:sz w:val="18"/>
                <w:szCs w:val="18"/>
                <w:color w:val="auto"/>
              </w:rPr>
              <w:t>Cash restricted under security agreements is as follows:</w:t>
            </w: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October 31, 2012</w:t>
            </w:r>
          </w:p>
        </w:tc>
        <w:tc>
          <w:tcPr>
            <w:tcW w:w="1540" w:type="dxa"/>
            <w:vAlign w:val="bottom"/>
            <w:gridSpan w:val="2"/>
          </w:tcPr>
          <w:p>
            <w:pPr>
              <w:ind w:left="18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0FFFF"/>
          </w:tcPr>
          <w:p>
            <w:pPr>
              <w:spacing w:after="0"/>
              <w:rPr>
                <w:sz w:val="20"/>
                <w:szCs w:val="20"/>
                <w:color w:val="auto"/>
              </w:rPr>
            </w:pPr>
            <w:r>
              <w:rPr>
                <w:rFonts w:ascii="Arial" w:cs="Arial" w:eastAsia="Arial" w:hAnsi="Arial"/>
                <w:sz w:val="18"/>
                <w:szCs w:val="18"/>
                <w:color w:val="auto"/>
              </w:rPr>
              <w:t>Barclays Bank agreement</w:t>
            </w:r>
          </w:p>
        </w:tc>
        <w:tc>
          <w:tcPr>
            <w:tcW w:w="13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931,392</w:t>
            </w:r>
          </w:p>
        </w:tc>
        <w:tc>
          <w:tcPr>
            <w:tcW w:w="15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953,712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NJBPU agreement</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425,000</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80" w:type="dxa"/>
            <w:vAlign w:val="bottom"/>
            <w:shd w:val="clear" w:color="auto" w:fill="C0FFFF"/>
          </w:tcPr>
          <w:p>
            <w:pPr>
              <w:spacing w:after="0"/>
              <w:rPr>
                <w:sz w:val="20"/>
                <w:szCs w:val="20"/>
                <w:color w:val="auto"/>
              </w:rPr>
            </w:pPr>
          </w:p>
        </w:tc>
        <w:tc>
          <w:tcPr>
            <w:tcW w:w="13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1,356,392</w:t>
            </w:r>
          </w:p>
        </w:tc>
        <w:tc>
          <w:tcPr>
            <w:tcW w:w="200" w:type="dxa"/>
            <w:vAlign w:val="bottom"/>
            <w:shd w:val="clear" w:color="auto" w:fill="C0FFFF"/>
          </w:tcPr>
          <w:p>
            <w:pPr>
              <w:spacing w:after="0"/>
              <w:rPr>
                <w:sz w:val="20"/>
                <w:szCs w:val="20"/>
                <w:color w:val="auto"/>
              </w:rPr>
            </w:pPr>
          </w:p>
        </w:tc>
        <w:tc>
          <w:tcPr>
            <w:tcW w:w="15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1,453,712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0FFFF"/>
            </w:tcBorders>
            <w:shd w:val="clear" w:color="auto" w:fill="C0FFFF"/>
          </w:tcPr>
          <w:p>
            <w:pPr>
              <w:spacing w:after="0" w:line="20" w:lineRule="exact"/>
              <w:rPr>
                <w:sz w:val="1"/>
                <w:szCs w:val="1"/>
                <w:color w:val="auto"/>
              </w:rPr>
            </w:pPr>
          </w:p>
        </w:tc>
        <w:tc>
          <w:tcPr>
            <w:tcW w:w="130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Foreign Exchange Gains and Losses</w:t>
      </w:r>
    </w:p>
    <w:p>
      <w:pPr>
        <w:spacing w:after="0" w:line="2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2"/>
              </w:rPr>
              <w:t>Three Months Ended October</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31,</w:t>
            </w: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40" w:type="dxa"/>
            <w:vAlign w:val="bottom"/>
            <w:shd w:val="clear" w:color="auto" w:fill="C0FFFF"/>
          </w:tcPr>
          <w:p>
            <w:pPr>
              <w:spacing w:after="0"/>
              <w:rPr>
                <w:sz w:val="20"/>
                <w:szCs w:val="20"/>
                <w:color w:val="auto"/>
              </w:rPr>
            </w:pPr>
            <w:r>
              <w:rPr>
                <w:rFonts w:ascii="Arial" w:cs="Arial" w:eastAsia="Arial" w:hAnsi="Arial"/>
                <w:sz w:val="18"/>
                <w:szCs w:val="18"/>
                <w:color w:val="auto"/>
              </w:rPr>
              <w:t>Foreign exchange gain (loss)</w:t>
            </w:r>
          </w:p>
        </w:tc>
        <w:tc>
          <w:tcPr>
            <w:tcW w:w="1480" w:type="dxa"/>
            <w:vAlign w:val="bottom"/>
            <w:shd w:val="clear" w:color="auto" w:fill="C0FFFF"/>
          </w:tcPr>
          <w:p>
            <w:pPr>
              <w:spacing w:after="0"/>
              <w:rPr>
                <w:sz w:val="20"/>
                <w:szCs w:val="20"/>
                <w:color w:val="auto"/>
              </w:rPr>
            </w:pPr>
          </w:p>
        </w:tc>
        <w:tc>
          <w:tcPr>
            <w:tcW w:w="260" w:type="dxa"/>
            <w:vAlign w:val="bottom"/>
            <w:shd w:val="clear" w:color="auto" w:fill="C0FF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102,741</w:t>
            </w:r>
          </w:p>
        </w:tc>
        <w:tc>
          <w:tcPr>
            <w:tcW w:w="20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9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29,334</w:t>
            </w:r>
          </w:p>
        </w:tc>
        <w:tc>
          <w:tcPr>
            <w:tcW w:w="80" w:type="dxa"/>
            <w:vAlign w:val="bottom"/>
            <w:shd w:val="clear" w:color="auto" w:fill="C0FFFF"/>
          </w:tcPr>
          <w:p>
            <w:pPr>
              <w:spacing w:after="0"/>
              <w:rPr>
                <w:sz w:val="20"/>
                <w:szCs w:val="20"/>
                <w:color w:val="auto"/>
              </w:rPr>
            </w:pPr>
          </w:p>
        </w:tc>
        <w:tc>
          <w:tcPr>
            <w:tcW w:w="100" w:type="dxa"/>
            <w:vAlign w:val="bottom"/>
            <w:shd w:val="clear" w:color="auto" w:fill="C0FFFF"/>
          </w:tcPr>
          <w:p>
            <w:pPr>
              <w:spacing w:after="0"/>
              <w:rPr>
                <w:sz w:val="20"/>
                <w:szCs w:val="20"/>
                <w:color w:val="auto"/>
              </w:rPr>
            </w:pPr>
          </w:p>
        </w:tc>
        <w:tc>
          <w:tcPr>
            <w:tcW w:w="1320" w:type="dxa"/>
            <w:vAlign w:val="bottom"/>
            <w:gridSpan w:val="4"/>
            <w:shd w:val="clear" w:color="auto" w:fill="C0FFFF"/>
          </w:tcPr>
          <w:p>
            <w:pPr>
              <w:jc w:val="right"/>
              <w:ind w:right="50"/>
              <w:spacing w:after="0"/>
              <w:rPr>
                <w:sz w:val="20"/>
                <w:szCs w:val="20"/>
                <w:color w:val="auto"/>
              </w:rPr>
            </w:pPr>
            <w:r>
              <w:rPr>
                <w:rFonts w:ascii="Arial" w:cs="Arial" w:eastAsia="Arial" w:hAnsi="Arial"/>
                <w:sz w:val="18"/>
                <w:szCs w:val="18"/>
                <w:color w:val="auto"/>
              </w:rPr>
              <w:t>(5,582)</w:t>
            </w:r>
          </w:p>
        </w:tc>
        <w:tc>
          <w:tcPr>
            <w:tcW w:w="12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20,293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6"/>
          </w:tcPr>
          <w:p>
            <w:pPr>
              <w:ind w:left="120"/>
              <w:spacing w:after="0"/>
              <w:rPr>
                <w:sz w:val="20"/>
                <w:szCs w:val="20"/>
                <w:color w:val="auto"/>
              </w:rPr>
            </w:pPr>
            <w:r>
              <w:rPr>
                <w:rFonts w:ascii="Arial" w:cs="Arial" w:eastAsia="Arial" w:hAnsi="Arial"/>
                <w:sz w:val="18"/>
                <w:szCs w:val="18"/>
                <w:b w:val="1"/>
                <w:bCs w:val="1"/>
                <w:color w:val="auto"/>
              </w:rPr>
              <w:t>October 31, 2012</w:t>
            </w:r>
          </w:p>
        </w:tc>
        <w:tc>
          <w:tcPr>
            <w:tcW w:w="1420" w:type="dxa"/>
            <w:vAlign w:val="bottom"/>
            <w:gridSpan w:val="3"/>
          </w:tcPr>
          <w:p>
            <w:pPr>
              <w:ind w:left="2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280" w:type="dxa"/>
            <w:vAlign w:val="bottom"/>
            <w:gridSpan w:val="3"/>
            <w:shd w:val="clear" w:color="auto" w:fill="C0FFFF"/>
          </w:tcPr>
          <w:p>
            <w:pPr>
              <w:spacing w:after="0"/>
              <w:rPr>
                <w:sz w:val="20"/>
                <w:szCs w:val="20"/>
                <w:color w:val="auto"/>
              </w:rPr>
            </w:pPr>
            <w:r>
              <w:rPr>
                <w:rFonts w:ascii="Arial" w:cs="Arial" w:eastAsia="Arial" w:hAnsi="Arial"/>
                <w:sz w:val="18"/>
                <w:szCs w:val="18"/>
                <w:color w:val="auto"/>
                <w:w w:val="91"/>
              </w:rPr>
              <w:t>Foreign currency denominated certificates of deposit and cash accounts</w:t>
            </w:r>
          </w:p>
        </w:tc>
        <w:tc>
          <w:tcPr>
            <w:tcW w:w="9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220" w:type="dxa"/>
            <w:vAlign w:val="bottom"/>
            <w:shd w:val="clear" w:color="auto" w:fill="C0FFFF"/>
          </w:tcPr>
          <w:p>
            <w:pPr>
              <w:spacing w:after="0"/>
              <w:rPr>
                <w:sz w:val="20"/>
                <w:szCs w:val="20"/>
                <w:color w:val="auto"/>
              </w:rPr>
            </w:pPr>
          </w:p>
        </w:tc>
        <w:tc>
          <w:tcPr>
            <w:tcW w:w="940" w:type="dxa"/>
            <w:vAlign w:val="bottom"/>
            <w:gridSpan w:val="2"/>
            <w:shd w:val="clear" w:color="auto" w:fill="C0FFFF"/>
          </w:tcPr>
          <w:p>
            <w:pPr>
              <w:jc w:val="right"/>
              <w:ind w:right="49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20"/>
                <w:szCs w:val="20"/>
                <w:color w:val="auto"/>
              </w:rPr>
            </w:pPr>
          </w:p>
        </w:tc>
        <w:tc>
          <w:tcPr>
            <w:tcW w:w="8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w w:val="97"/>
              </w:rPr>
              <w:t>3,593,971</w:t>
            </w:r>
          </w:p>
        </w:tc>
        <w:tc>
          <w:tcPr>
            <w:tcW w:w="22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200" w:type="dxa"/>
            <w:vAlign w:val="bottom"/>
            <w:shd w:val="clear" w:color="auto" w:fill="C0FFFF"/>
          </w:tcPr>
          <w:p>
            <w:pPr>
              <w:spacing w:after="0"/>
              <w:rPr>
                <w:sz w:val="20"/>
                <w:szCs w:val="20"/>
                <w:color w:val="auto"/>
              </w:rPr>
            </w:pP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2,826,000</w:t>
            </w:r>
          </w:p>
        </w:tc>
        <w:tc>
          <w:tcPr>
            <w:tcW w:w="100" w:type="dxa"/>
            <w:vAlign w:val="bottom"/>
            <w:shd w:val="clear" w:color="auto" w:fill="C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0FFFF"/>
            </w:tcBorders>
            <w:shd w:val="clear" w:color="auto" w:fill="C0FFFF"/>
          </w:tcPr>
          <w:p>
            <w:pPr>
              <w:spacing w:after="0" w:line="20" w:lineRule="exact"/>
              <w:rPr>
                <w:sz w:val="1"/>
                <w:szCs w:val="1"/>
                <w:color w:val="auto"/>
              </w:rPr>
            </w:pPr>
          </w:p>
        </w:tc>
        <w:tc>
          <w:tcPr>
            <w:tcW w:w="148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Long-Lived Assets</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six months ended October 31,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Concentration of Credit Risk</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The Company invests its excess cash in highly liquid investments (principally, short-term bank deposits, Treasury bills, Treasury notes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and does not believe that it is exposed to any significant risks related to its cash accounts, money market funds or certificates of deposit.</w:t>
      </w:r>
    </w:p>
    <w:p>
      <w:pPr>
        <w:spacing w:after="0" w:line="2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4"/>
          </w:tcPr>
          <w:p>
            <w:pPr>
              <w:ind w:left="80"/>
              <w:spacing w:after="0"/>
              <w:rPr>
                <w:sz w:val="20"/>
                <w:szCs w:val="20"/>
                <w:color w:val="auto"/>
              </w:rPr>
            </w:pPr>
            <w:r>
              <w:rPr>
                <w:rFonts w:ascii="Arial" w:cs="Arial" w:eastAsia="Arial" w:hAnsi="Arial"/>
                <w:sz w:val="18"/>
                <w:szCs w:val="18"/>
                <w:b w:val="1"/>
                <w:bCs w:val="1"/>
                <w:color w:val="auto"/>
              </w:rPr>
              <w:t>Three months ended October 31,</w:t>
            </w:r>
          </w:p>
        </w:tc>
        <w:tc>
          <w:tcPr>
            <w:tcW w:w="28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5"/>
              </w:rPr>
              <w:t>Six months ended October 31,</w:t>
            </w:r>
          </w:p>
        </w:tc>
      </w:tr>
      <w:tr>
        <w:trPr>
          <w:trHeight w:val="223"/>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Customer</w:t>
            </w: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r>
      <w:tr>
        <w:trPr>
          <w:trHeight w:val="216"/>
        </w:trPr>
        <w:tc>
          <w:tcPr>
            <w:tcW w:w="5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49%</w:t>
            </w:r>
          </w:p>
        </w:tc>
        <w:tc>
          <w:tcPr>
            <w:tcW w:w="1460" w:type="dxa"/>
            <w:vAlign w:val="bottom"/>
            <w:gridSpan w:val="2"/>
            <w:shd w:val="clear" w:color="auto" w:fill="C0FFFF"/>
          </w:tcPr>
          <w:p>
            <w:pPr>
              <w:ind w:left="1020"/>
              <w:spacing w:after="0"/>
              <w:rPr>
                <w:sz w:val="20"/>
                <w:szCs w:val="20"/>
                <w:color w:val="auto"/>
              </w:rPr>
            </w:pPr>
            <w:r>
              <w:rPr>
                <w:rFonts w:ascii="Arial" w:cs="Arial" w:eastAsia="Arial" w:hAnsi="Arial"/>
                <w:sz w:val="18"/>
                <w:szCs w:val="18"/>
                <w:color w:val="auto"/>
              </w:rPr>
              <w:t>23%</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3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European Union (WavePort project)</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0FFFF"/>
          </w:tcPr>
          <w:p>
            <w:pPr>
              <w:ind w:left="1020"/>
              <w:spacing w:after="0"/>
              <w:rPr>
                <w:sz w:val="20"/>
                <w:szCs w:val="20"/>
                <w:color w:val="auto"/>
              </w:rPr>
            </w:pPr>
            <w:r>
              <w:rPr>
                <w:rFonts w:ascii="Arial" w:cs="Arial" w:eastAsia="Arial" w:hAnsi="Arial"/>
                <w:sz w:val="18"/>
                <w:szCs w:val="18"/>
                <w:color w:val="auto"/>
              </w:rPr>
              <w:t>11%</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15%</w:t>
            </w:r>
          </w:p>
        </w:tc>
        <w:tc>
          <w:tcPr>
            <w:tcW w:w="13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5%</w:t>
            </w:r>
          </w:p>
        </w:tc>
      </w:tr>
      <w:tr>
        <w:trPr>
          <w:trHeight w:val="216"/>
        </w:trPr>
        <w:tc>
          <w:tcPr>
            <w:tcW w:w="534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31%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534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UK Government's Technology Strategy Board</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0FFFF"/>
          </w:tcPr>
          <w:p>
            <w:pPr>
              <w:ind w:left="1020"/>
              <w:spacing w:after="0"/>
              <w:rPr>
                <w:sz w:val="20"/>
                <w:szCs w:val="20"/>
                <w:color w:val="auto"/>
              </w:rPr>
            </w:pPr>
            <w:r>
              <w:rPr>
                <w:rFonts w:ascii="Arial" w:cs="Arial" w:eastAsia="Arial" w:hAnsi="Arial"/>
                <w:sz w:val="18"/>
                <w:szCs w:val="18"/>
                <w:color w:val="auto"/>
              </w:rPr>
              <w:t>32%</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21%</w:t>
            </w:r>
          </w:p>
        </w:tc>
      </w:tr>
      <w:tr>
        <w:trPr>
          <w:trHeight w:val="27"/>
        </w:trPr>
        <w:tc>
          <w:tcPr>
            <w:tcW w:w="5240" w:type="dxa"/>
            <w:vAlign w:val="bottom"/>
            <w:shd w:val="clear" w:color="auto" w:fill="C0FFFF"/>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80" w:type="dxa"/>
            <w:vAlign w:val="bottom"/>
            <w:shd w:val="clear" w:color="auto" w:fill="C0FF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r>
      <w:tr>
        <w:trPr>
          <w:trHeight w:val="216"/>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460" w:type="dxa"/>
            <w:vAlign w:val="bottom"/>
            <w:gridSpan w:val="2"/>
          </w:tcPr>
          <w:p>
            <w:pPr>
              <w:ind w:left="1020"/>
              <w:spacing w:after="0"/>
              <w:rPr>
                <w:sz w:val="20"/>
                <w:szCs w:val="20"/>
                <w:color w:val="auto"/>
              </w:rPr>
            </w:pPr>
            <w:r>
              <w:rPr>
                <w:rFonts w:ascii="Arial" w:cs="Arial" w:eastAsia="Arial" w:hAnsi="Arial"/>
                <w:sz w:val="18"/>
                <w:szCs w:val="18"/>
                <w:color w:val="auto"/>
              </w:rPr>
              <w:t>97%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r>
      <w:tr>
        <w:trPr>
          <w:trHeight w:val="21"/>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 Net Loss per Common Share</w:t>
      </w:r>
    </w:p>
    <w:p>
      <w:pPr>
        <w:spacing w:after="0" w:line="27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2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computing diluted net loss per share, options to purchase shares of common stock and non-vested restricted stock issued to employees and non-employee directors, totaling 1,618,371 for the three and six months ended October 31, 2012, and 1,551,433 for the three and six months ended October 31, 2011, were excluded from the computations as the effect would be anti-dilutive due to the Company's losses.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Recently Issued Accounting Standards</w:t>
      </w:r>
    </w:p>
    <w:p>
      <w:pPr>
        <w:spacing w:after="0" w:line="27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quarter ended July 31, 2012, the Company adopted the Financial Accounting Standards Board (FASB) amendment to the disclosure requirements for presentation of comprehensive income. The amendment requires that all non-owner changes in stockholders’ equity be presented either in a single continuous statement of comprehensive income or in two separate but consecutive statements. This guidance became effective retrospectively for the interim periods and annual periods beginning after December 15, 2011; however, the FASB agreed to an indefinite deferral of the reclassification requirement. See page 5 for the Consolidated Statements of Comprehensive Income.</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October 31,</w:t>
            </w:r>
          </w:p>
        </w:tc>
        <w:tc>
          <w:tcPr>
            <w:tcW w:w="1540" w:type="dxa"/>
            <w:vAlign w:val="bottom"/>
            <w:gridSpan w:val="2"/>
          </w:tcPr>
          <w:p>
            <w:pPr>
              <w:ind w:left="380"/>
              <w:spacing w:after="0"/>
              <w:rPr>
                <w:sz w:val="20"/>
                <w:szCs w:val="20"/>
                <w:color w:val="auto"/>
              </w:rPr>
            </w:pPr>
            <w:r>
              <w:rPr>
                <w:rFonts w:ascii="Arial" w:cs="Arial" w:eastAsia="Arial" w:hAnsi="Arial"/>
                <w:sz w:val="18"/>
                <w:szCs w:val="18"/>
                <w:b w:val="1"/>
                <w:bCs w:val="1"/>
                <w:color w:val="auto"/>
              </w:rPr>
              <w:t>April 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0FFFF"/>
          </w:tcPr>
          <w:p>
            <w:pPr>
              <w:spacing w:after="0"/>
              <w:rPr>
                <w:sz w:val="20"/>
                <w:szCs w:val="20"/>
                <w:color w:val="auto"/>
              </w:rPr>
            </w:pPr>
            <w:r>
              <w:rPr>
                <w:rFonts w:ascii="Arial" w:cs="Arial" w:eastAsia="Arial" w:hAnsi="Arial"/>
                <w:sz w:val="18"/>
                <w:szCs w:val="18"/>
                <w:color w:val="auto"/>
              </w:rPr>
              <w:t>Certificates of deposit denominated in Australian dollars</w:t>
            </w:r>
          </w:p>
        </w:tc>
        <w:tc>
          <w:tcPr>
            <w:tcW w:w="332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260,125</w:t>
            </w:r>
          </w:p>
        </w:tc>
        <w:tc>
          <w:tcPr>
            <w:tcW w:w="15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556,437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Certificate of deposit denominated in US dollars</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3,360,000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3,806,808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0FFFF"/>
          </w:tcPr>
          <w:p>
            <w:pPr>
              <w:spacing w:after="0"/>
              <w:rPr>
                <w:sz w:val="20"/>
                <w:szCs w:val="20"/>
                <w:color w:val="auto"/>
              </w:rPr>
            </w:pPr>
            <w:r>
              <w:rPr>
                <w:rFonts w:ascii="Arial" w:cs="Arial" w:eastAsia="Arial" w:hAnsi="Arial"/>
                <w:sz w:val="18"/>
                <w:szCs w:val="18"/>
                <w:color w:val="auto"/>
              </w:rPr>
              <w:t>US Treasury obligations</w:t>
            </w:r>
          </w:p>
        </w:tc>
        <w:tc>
          <w:tcPr>
            <w:tcW w:w="314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50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8,002,135</w:t>
            </w:r>
          </w:p>
        </w:tc>
        <w:tc>
          <w:tcPr>
            <w:tcW w:w="15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18,006,239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shd w:val="clear" w:color="auto" w:fill="C0FFFF"/>
          </w:tcPr>
          <w:p>
            <w:pPr>
              <w:spacing w:after="0"/>
              <w:rPr>
                <w:sz w:val="2"/>
                <w:szCs w:val="2"/>
                <w:color w:val="auto"/>
              </w:rPr>
            </w:pPr>
          </w:p>
        </w:tc>
        <w:tc>
          <w:tcPr>
            <w:tcW w:w="314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100" w:type="dxa"/>
            <w:vAlign w:val="bottom"/>
            <w:shd w:val="clear" w:color="auto" w:fill="C0FFFF"/>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11,622,260</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22,369,484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140" w:type="dxa"/>
            <w:vAlign w:val="bottom"/>
            <w:vMerge w:val="restart"/>
          </w:tcPr>
          <w:p>
            <w:pPr>
              <w:jc w:val="right"/>
              <w:ind w:right="2190"/>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October 31, 2012</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April 30, 2012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Accounts Receivable, net</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877,943</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1,369,400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Allowance for doubtful accounts</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(300,763)</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(304,604)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0FFFF"/>
          </w:tcPr>
          <w:p>
            <w:pPr>
              <w:spacing w:after="0"/>
              <w:rPr>
                <w:sz w:val="2"/>
                <w:szCs w:val="2"/>
                <w:color w:val="auto"/>
              </w:rPr>
            </w:pPr>
          </w:p>
        </w:tc>
        <w:tc>
          <w:tcPr>
            <w:tcW w:w="13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577,180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1,064,796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Property and Equipment</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2,506,853</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2,213,820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depreciation and amortization</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(1,661,041)</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(1,530,887)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0FFFF"/>
          </w:tcPr>
          <w:p>
            <w:pPr>
              <w:spacing w:after="0"/>
              <w:rPr>
                <w:sz w:val="2"/>
                <w:szCs w:val="2"/>
                <w:color w:val="auto"/>
              </w:rPr>
            </w:pPr>
          </w:p>
        </w:tc>
        <w:tc>
          <w:tcPr>
            <w:tcW w:w="13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845,812</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682,933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Patents</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Patents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1,574,044</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1,574,044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Accumulated amortization</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(413,005)</w:t>
            </w:r>
          </w:p>
        </w:tc>
        <w:tc>
          <w:tcPr>
            <w:tcW w:w="162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(304,587)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shd w:val="clear" w:color="auto" w:fill="C0FFFF"/>
          </w:tcPr>
          <w:p>
            <w:pPr>
              <w:spacing w:after="0"/>
              <w:rPr>
                <w:sz w:val="2"/>
                <w:szCs w:val="2"/>
                <w:color w:val="auto"/>
              </w:rPr>
            </w:pPr>
          </w:p>
        </w:tc>
        <w:tc>
          <w:tcPr>
            <w:tcW w:w="1300" w:type="dxa"/>
            <w:vAlign w:val="bottom"/>
            <w:shd w:val="clear" w:color="auto" w:fill="C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1,161,039</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1,269,457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0FFFF"/>
          </w:tcPr>
          <w:p>
            <w:pPr>
              <w:spacing w:after="0"/>
              <w:rPr>
                <w:sz w:val="18"/>
                <w:szCs w:val="18"/>
                <w:color w:val="auto"/>
              </w:rPr>
            </w:pP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0FFFF"/>
          </w:tcPr>
          <w:p>
            <w:pPr>
              <w:spacing w:after="0"/>
              <w:rPr>
                <w:sz w:val="20"/>
                <w:szCs w:val="20"/>
                <w:color w:val="auto"/>
              </w:rPr>
            </w:pPr>
            <w:r>
              <w:rPr>
                <w:rFonts w:ascii="Arial" w:cs="Arial" w:eastAsia="Arial" w:hAnsi="Arial"/>
                <w:sz w:val="18"/>
                <w:szCs w:val="18"/>
                <w:b w:val="1"/>
                <w:bCs w:val="1"/>
                <w:color w:val="auto"/>
              </w:rPr>
              <w:t>Accrued Expenses</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480" w:type="dxa"/>
            <w:vAlign w:val="bottom"/>
            <w:shd w:val="clear" w:color="auto" w:fill="C0FFFF"/>
          </w:tcPr>
          <w:p>
            <w:pPr>
              <w:spacing w:after="0"/>
              <w:rPr>
                <w:sz w:val="18"/>
                <w:szCs w:val="18"/>
                <w:color w:val="auto"/>
              </w:rPr>
            </w:pPr>
          </w:p>
        </w:tc>
        <w:tc>
          <w:tcPr>
            <w:tcW w:w="160" w:type="dxa"/>
            <w:vAlign w:val="bottom"/>
            <w:shd w:val="clear" w:color="auto" w:fill="C0FFFF"/>
          </w:tcPr>
          <w:p>
            <w:pPr>
              <w:spacing w:after="0"/>
              <w:rPr>
                <w:sz w:val="18"/>
                <w:szCs w:val="18"/>
                <w:color w:val="auto"/>
              </w:rPr>
            </w:pPr>
          </w:p>
        </w:tc>
        <w:tc>
          <w:tcPr>
            <w:tcW w:w="1540" w:type="dxa"/>
            <w:vAlign w:val="bottom"/>
            <w:shd w:val="clear" w:color="auto" w:fill="C0FFFF"/>
          </w:tcPr>
          <w:p>
            <w:pPr>
              <w:spacing w:after="0"/>
              <w:rPr>
                <w:sz w:val="18"/>
                <w:szCs w:val="18"/>
                <w:color w:val="auto"/>
              </w:rPr>
            </w:pPr>
          </w:p>
        </w:tc>
        <w:tc>
          <w:tcPr>
            <w:tcW w:w="80" w:type="dxa"/>
            <w:vAlign w:val="bottom"/>
            <w:shd w:val="clear" w:color="auto" w:fill="C0FF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1,574,835</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244,892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Contract loss reserves</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785,000</w:t>
            </w: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785,000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167,131</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661,328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164,146</w:t>
            </w: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187,986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Vacation and payroll</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420,446</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354,966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Payroll tax withholdings</w:t>
            </w:r>
          </w:p>
        </w:tc>
        <w:tc>
          <w:tcPr>
            <w:tcW w:w="13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64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164,621</w:t>
            </w:r>
          </w:p>
        </w:tc>
        <w:tc>
          <w:tcPr>
            <w:tcW w:w="162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166,092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Investment in joint venture</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172,032</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176,110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C0FFFF"/>
            </w:tcBorders>
            <w:shd w:val="clear" w:color="auto" w:fill="C0FFFF"/>
          </w:tcPr>
          <w:p>
            <w:pPr>
              <w:ind w:left="160"/>
              <w:spacing w:after="0"/>
              <w:rPr>
                <w:sz w:val="20"/>
                <w:szCs w:val="20"/>
                <w:color w:val="auto"/>
              </w:rPr>
            </w:pPr>
            <w:r>
              <w:rPr>
                <w:rFonts w:ascii="Arial" w:cs="Arial" w:eastAsia="Arial" w:hAnsi="Arial"/>
                <w:sz w:val="18"/>
                <w:szCs w:val="18"/>
                <w:color w:val="auto"/>
              </w:rPr>
              <w:t>Legal and accounting fees</w:t>
            </w:r>
          </w:p>
        </w:tc>
        <w:tc>
          <w:tcPr>
            <w:tcW w:w="1300" w:type="dxa"/>
            <w:vAlign w:val="bottom"/>
            <w:tcBorders>
              <w:bottom w:val="single" w:sz="8" w:color="C0FFFF"/>
            </w:tcBorders>
            <w:shd w:val="clear" w:color="auto" w:fill="C0FFFF"/>
          </w:tcPr>
          <w:p>
            <w:pPr>
              <w:spacing w:after="0"/>
              <w:rPr>
                <w:sz w:val="19"/>
                <w:szCs w:val="19"/>
                <w:color w:val="auto"/>
              </w:rPr>
            </w:pPr>
          </w:p>
        </w:tc>
        <w:tc>
          <w:tcPr>
            <w:tcW w:w="100" w:type="dxa"/>
            <w:vAlign w:val="bottom"/>
            <w:tcBorders>
              <w:bottom w:val="single" w:sz="8" w:color="auto"/>
            </w:tcBorders>
            <w:shd w:val="clear" w:color="auto" w:fill="C0FFFF"/>
          </w:tcPr>
          <w:p>
            <w:pPr>
              <w:spacing w:after="0"/>
              <w:rPr>
                <w:sz w:val="19"/>
                <w:szCs w:val="19"/>
                <w:color w:val="auto"/>
              </w:rPr>
            </w:pPr>
          </w:p>
        </w:tc>
        <w:tc>
          <w:tcPr>
            <w:tcW w:w="148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220,108</w:t>
            </w:r>
          </w:p>
        </w:tc>
        <w:tc>
          <w:tcPr>
            <w:tcW w:w="160" w:type="dxa"/>
            <w:vAlign w:val="bottom"/>
            <w:tcBorders>
              <w:bottom w:val="single" w:sz="8" w:color="C0FFFF"/>
            </w:tcBorders>
            <w:shd w:val="clear" w:color="auto" w:fill="C0FFFF"/>
          </w:tcPr>
          <w:p>
            <w:pPr>
              <w:spacing w:after="0"/>
              <w:rPr>
                <w:sz w:val="19"/>
                <w:szCs w:val="19"/>
                <w:color w:val="auto"/>
              </w:rPr>
            </w:pPr>
          </w:p>
        </w:tc>
        <w:tc>
          <w:tcPr>
            <w:tcW w:w="154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193,720</w:t>
            </w:r>
          </w:p>
        </w:tc>
        <w:tc>
          <w:tcPr>
            <w:tcW w:w="80" w:type="dxa"/>
            <w:vAlign w:val="bottom"/>
            <w:tcBorders>
              <w:bottom w:val="single" w:sz="8" w:color="C0FFFF"/>
            </w:tcBorders>
            <w:shd w:val="clear" w:color="auto" w:fill="C0FFFF"/>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3,668,319</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2,770,094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4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August 1999, the Company entered into a consulting agreement with an individual for the provision of marketing services. This agreement provides for fees at a rate of $950 per day of services provided. The individual became a member of the board of directors in June 2006. In addition, this individual is also the chief executive officer of a company that provides engineering and technical services to the Company. The Company also provides services to the company where this individual is the chief executive officer. This individual did not stand for re-election to the board of directors at the Company’s Annual Meeting on October 4, 2012, and is no longer considered a related party.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88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October 31,</w:t>
            </w:r>
          </w:p>
        </w:tc>
        <w:tc>
          <w:tcPr>
            <w:tcW w:w="2920" w:type="dxa"/>
            <w:vAlign w:val="bottom"/>
            <w:gridSpan w:val="6"/>
          </w:tcPr>
          <w:p>
            <w:pPr>
              <w:ind w:left="120"/>
              <w:spacing w:after="0"/>
              <w:rPr>
                <w:sz w:val="20"/>
                <w:szCs w:val="20"/>
                <w:color w:val="auto"/>
              </w:rPr>
            </w:pPr>
            <w:r>
              <w:rPr>
                <w:rFonts w:ascii="Arial" w:cs="Arial" w:eastAsia="Arial" w:hAnsi="Arial"/>
                <w:sz w:val="18"/>
                <w:szCs w:val="18"/>
                <w:b w:val="1"/>
                <w:bCs w:val="1"/>
                <w:color w:val="auto"/>
              </w:rPr>
              <w:t>Six Months Ended October 31,</w:t>
            </w: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Related party consulting expense</w:t>
            </w:r>
          </w:p>
        </w:tc>
        <w:tc>
          <w:tcPr>
            <w:tcW w:w="260" w:type="dxa"/>
            <w:vAlign w:val="bottom"/>
            <w:shd w:val="clear" w:color="auto" w:fill="C0FF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21,000</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23,000</w:t>
            </w:r>
          </w:p>
        </w:tc>
        <w:tc>
          <w:tcPr>
            <w:tcW w:w="380" w:type="dxa"/>
            <w:vAlign w:val="bottom"/>
            <w:gridSpan w:val="2"/>
            <w:shd w:val="clear" w:color="auto" w:fill="C0FF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42,000</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44,000</w:t>
            </w: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Expenses for services provided by related party company</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29,000</w:t>
            </w:r>
          </w:p>
        </w:tc>
      </w:tr>
      <w:tr>
        <w:trPr>
          <w:trHeight w:val="216"/>
        </w:trPr>
        <w:tc>
          <w:tcPr>
            <w:tcW w:w="20" w:type="dxa"/>
            <w:vAlign w:val="bottom"/>
          </w:tcPr>
          <w:p>
            <w:pPr>
              <w:spacing w:after="0"/>
              <w:rPr>
                <w:sz w:val="18"/>
                <w:szCs w:val="18"/>
                <w:color w:val="auto"/>
              </w:rPr>
            </w:pPr>
          </w:p>
        </w:tc>
        <w:tc>
          <w:tcPr>
            <w:tcW w:w="5600" w:type="dxa"/>
            <w:vAlign w:val="bottom"/>
            <w:shd w:val="clear" w:color="auto" w:fill="C0FFFF"/>
          </w:tcPr>
          <w:p>
            <w:pPr>
              <w:spacing w:after="0"/>
              <w:rPr>
                <w:sz w:val="20"/>
                <w:szCs w:val="20"/>
                <w:color w:val="auto"/>
              </w:rPr>
            </w:pPr>
            <w:r>
              <w:rPr>
                <w:rFonts w:ascii="Arial" w:cs="Arial" w:eastAsia="Arial" w:hAnsi="Arial"/>
                <w:sz w:val="18"/>
                <w:szCs w:val="18"/>
                <w:color w:val="auto"/>
              </w:rPr>
              <w:t>Revenue for services provided to related party company</w:t>
            </w:r>
          </w:p>
        </w:tc>
        <w:tc>
          <w:tcPr>
            <w:tcW w:w="260" w:type="dxa"/>
            <w:vAlign w:val="bottom"/>
            <w:shd w:val="clear" w:color="auto" w:fill="C0FFFF"/>
          </w:tcPr>
          <w:p>
            <w:pPr>
              <w:spacing w:after="0"/>
              <w:rPr>
                <w:sz w:val="18"/>
                <w:szCs w:val="18"/>
                <w:color w:val="auto"/>
              </w:rPr>
            </w:pPr>
          </w:p>
        </w:tc>
        <w:tc>
          <w:tcPr>
            <w:tcW w:w="1240" w:type="dxa"/>
            <w:vAlign w:val="bottom"/>
            <w:gridSpan w:val="2"/>
            <w:shd w:val="clear" w:color="auto" w:fill="C0FFFF"/>
          </w:tcPr>
          <w:p>
            <w:pPr>
              <w:jc w:val="right"/>
              <w:ind w:right="240"/>
              <w:spacing w:after="0"/>
              <w:rPr>
                <w:sz w:val="20"/>
                <w:szCs w:val="20"/>
                <w:color w:val="auto"/>
              </w:rPr>
            </w:pPr>
            <w:r>
              <w:rPr>
                <w:rFonts w:ascii="Arial" w:cs="Arial" w:eastAsia="Arial" w:hAnsi="Arial"/>
                <w:sz w:val="18"/>
                <w:szCs w:val="18"/>
                <w:color w:val="auto"/>
              </w:rPr>
              <w:t>15,000</w:t>
            </w:r>
          </w:p>
        </w:tc>
        <w:tc>
          <w:tcPr>
            <w:tcW w:w="13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0FFFF"/>
          </w:tcPr>
          <w:p>
            <w:pPr>
              <w:spacing w:after="0"/>
              <w:rPr>
                <w:sz w:val="18"/>
                <w:szCs w:val="18"/>
                <w:color w:val="auto"/>
              </w:rPr>
            </w:pPr>
          </w:p>
        </w:tc>
        <w:tc>
          <w:tcPr>
            <w:tcW w:w="2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32,000</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67,000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October 31, 2012</w:t>
            </w:r>
          </w:p>
        </w:tc>
        <w:tc>
          <w:tcPr>
            <w:tcW w:w="220" w:type="dxa"/>
            <w:vAlign w:val="bottom"/>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April 30, 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Consulting fees payable to related party</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7,000</w:t>
            </w:r>
          </w:p>
        </w:tc>
        <w:tc>
          <w:tcPr>
            <w:tcW w:w="1840" w:type="dxa"/>
            <w:vAlign w:val="bottom"/>
            <w:gridSpan w:val="3"/>
            <w:shd w:val="clear" w:color="auto" w:fill="C0FFFF"/>
          </w:tcPr>
          <w:p>
            <w:pPr>
              <w:jc w:val="right"/>
              <w:ind w:right="100"/>
              <w:spacing w:after="0"/>
              <w:rPr>
                <w:sz w:val="20"/>
                <w:szCs w:val="20"/>
                <w:color w:val="auto"/>
              </w:rPr>
            </w:pPr>
            <w:r>
              <w:rPr>
                <w:rFonts w:ascii="Arial" w:cs="Arial" w:eastAsia="Arial" w:hAnsi="Arial"/>
                <w:sz w:val="18"/>
                <w:szCs w:val="18"/>
                <w:color w:val="auto"/>
              </w:rPr>
              <w:t>7,000</w:t>
            </w: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Payable to related party company</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Receivable from related party company</w:t>
            </w:r>
          </w:p>
        </w:tc>
        <w:tc>
          <w:tcPr>
            <w:tcW w:w="100" w:type="dxa"/>
            <w:vAlign w:val="bottom"/>
            <w:shd w:val="clear" w:color="auto" w:fill="C0FFFF"/>
          </w:tcPr>
          <w:p>
            <w:pPr>
              <w:spacing w:after="0"/>
              <w:rPr>
                <w:sz w:val="18"/>
                <w:szCs w:val="18"/>
                <w:color w:val="auto"/>
              </w:rPr>
            </w:pPr>
          </w:p>
        </w:tc>
        <w:tc>
          <w:tcPr>
            <w:tcW w:w="1440" w:type="dxa"/>
            <w:vAlign w:val="bottom"/>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FF"/>
          </w:tcPr>
          <w:p>
            <w:pPr>
              <w:spacing w:after="0"/>
              <w:rPr>
                <w:sz w:val="18"/>
                <w:szCs w:val="18"/>
                <w:color w:val="auto"/>
              </w:rPr>
            </w:pPr>
          </w:p>
        </w:tc>
      </w:tr>
      <w:tr>
        <w:trPr>
          <w:trHeight w:val="432"/>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(6) Debt</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5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See Note 2(c).</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31, 2012</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April 30,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0FF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0FFFF"/>
          </w:tcPr>
          <w:p>
            <w:pPr>
              <w:jc w:val="center"/>
              <w:ind w:left="770"/>
              <w:spacing w:after="0"/>
              <w:rPr>
                <w:sz w:val="20"/>
                <w:szCs w:val="20"/>
                <w:color w:val="auto"/>
              </w:rPr>
            </w:pPr>
            <w:r>
              <w:rPr>
                <w:rFonts w:ascii="Arial" w:cs="Arial" w:eastAsia="Arial" w:hAnsi="Arial"/>
                <w:sz w:val="18"/>
                <w:szCs w:val="18"/>
                <w:color w:val="auto"/>
                <w:w w:val="89"/>
              </w:rPr>
              <w:t>400,000</w:t>
            </w:r>
          </w:p>
        </w:tc>
        <w:tc>
          <w:tcPr>
            <w:tcW w:w="220" w:type="dxa"/>
            <w:vAlign w:val="bottom"/>
            <w:shd w:val="clear" w:color="auto" w:fill="C0FFFF"/>
          </w:tcPr>
          <w:p>
            <w:pPr>
              <w:spacing w:after="0"/>
              <w:rPr>
                <w:sz w:val="18"/>
                <w:szCs w:val="18"/>
                <w:color w:val="auto"/>
              </w:rPr>
            </w:pPr>
          </w:p>
        </w:tc>
        <w:tc>
          <w:tcPr>
            <w:tcW w:w="16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660" w:type="dxa"/>
            <w:vAlign w:val="bottom"/>
            <w:gridSpan w:val="2"/>
          </w:tcPr>
          <w:p>
            <w:pPr>
              <w:jc w:val="center"/>
              <w:ind w:left="550"/>
              <w:spacing w:after="0"/>
              <w:rPr>
                <w:sz w:val="20"/>
                <w:szCs w:val="20"/>
                <w:color w:val="auto"/>
              </w:rPr>
            </w:pPr>
            <w:r>
              <w:rPr>
                <w:rFonts w:ascii="Arial" w:cs="Arial" w:eastAsia="Arial" w:hAnsi="Arial"/>
                <w:sz w:val="18"/>
                <w:szCs w:val="18"/>
                <w:color w:val="auto"/>
                <w:w w:val="90"/>
              </w:rPr>
              <w:t>(100,000)</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Long-term debt</w:t>
            </w:r>
          </w:p>
        </w:tc>
        <w:tc>
          <w:tcPr>
            <w:tcW w:w="10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0FFFF"/>
          </w:tcPr>
          <w:p>
            <w:pPr>
              <w:jc w:val="center"/>
              <w:ind w:left="770"/>
              <w:spacing w:after="0"/>
              <w:rPr>
                <w:sz w:val="20"/>
                <w:szCs w:val="20"/>
                <w:color w:val="auto"/>
              </w:rPr>
            </w:pPr>
            <w:r>
              <w:rPr>
                <w:rFonts w:ascii="Arial" w:cs="Arial" w:eastAsia="Arial" w:hAnsi="Arial"/>
                <w:sz w:val="18"/>
                <w:szCs w:val="18"/>
                <w:color w:val="auto"/>
                <w:w w:val="89"/>
              </w:rPr>
              <w:t>300,000</w:t>
            </w:r>
          </w:p>
        </w:tc>
        <w:tc>
          <w:tcPr>
            <w:tcW w:w="220" w:type="dxa"/>
            <w:vAlign w:val="bottom"/>
            <w:tcBorders>
              <w:bottom w:val="single" w:sz="8" w:color="C0FFFF"/>
            </w:tcBorders>
            <w:shd w:val="clear" w:color="auto" w:fill="C0FFFF"/>
          </w:tcPr>
          <w:p>
            <w:pPr>
              <w:spacing w:after="0"/>
              <w:rPr>
                <w:sz w:val="22"/>
                <w:szCs w:val="22"/>
                <w:color w:val="auto"/>
              </w:rPr>
            </w:pPr>
          </w:p>
        </w:tc>
        <w:tc>
          <w:tcPr>
            <w:tcW w:w="152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Borders>
              <w:bottom w:val="single" w:sz="8" w:color="C0FFFF"/>
            </w:tcBorders>
            <w:shd w:val="clear" w:color="auto" w:fill="C0FFFF"/>
          </w:tcPr>
          <w:p>
            <w:pPr>
              <w:spacing w:after="0"/>
              <w:rPr>
                <w:sz w:val="22"/>
                <w:szCs w:val="22"/>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Credits Payable and Deferred Credits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receives emission credits under applicable laws and fails to sell to the investor the credits up to the full amount of emission credits covered by the option, the investor is entitled to liquidated damages equal to 30% of the aggregate market value of the shortfall in emission credits (subject to a limit on the market price of emission credits). Under the terms of the agreement, if the Company does not become entitled under applicable laws to the full amount of emission credits covered by the option by December 31, 2012, the Company is obligated to return the option fee of $600,000, less the aggregate discount on any emission credits sold to the investor prior to such date. In December 2012, the Company and the investor agreed to extend the period for the sale of emission credits until December 31, 2017. As of October 31, 2012, the Company has not generated any emissions credits eligible for purchase under the agreement and the Company does not expect to generate any eligible emissions credits before December 31, 2017. Accordingly, the $600,000 has been classified as a current liability as of April 30, 2012 and as a noncurrent liability as of October 31, 2012.</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jc w:val="center"/>
        <w:ind w:right="-5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8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$617,000 and $704,000 for the six months ended October 31, 2012 and 2011,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2012 and 2011</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six months ended October 31, 2012 and 2011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historical volatility for a peer group of companies for a period equal to the stock option's expected life, calculated on a daily basis.</w:t>
      </w:r>
    </w:p>
    <w:p>
      <w:pPr>
        <w:spacing w:after="0" w:line="243"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Six Months Ended October 31,</w:t>
      </w:r>
    </w:p>
    <w:p>
      <w:pPr>
        <w:spacing w:after="0" w:line="27"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78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48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r>
      <w:tr>
        <w:trPr>
          <w:trHeight w:val="216"/>
        </w:trPr>
        <w:tc>
          <w:tcPr>
            <w:tcW w:w="87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0.9%</w:t>
            </w:r>
          </w:p>
        </w:tc>
        <w:tc>
          <w:tcPr>
            <w:tcW w:w="16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878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878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Expected life (in years)</w:t>
            </w:r>
          </w:p>
        </w:tc>
        <w:tc>
          <w:tcPr>
            <w:tcW w:w="74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6.1</w:t>
            </w:r>
          </w:p>
        </w:tc>
        <w:tc>
          <w:tcPr>
            <w:tcW w:w="160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5.8</w:t>
            </w:r>
          </w:p>
        </w:tc>
      </w:t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86.15%</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94.5%</w:t>
            </w:r>
          </w:p>
        </w:tc>
      </w:tr>
    </w:tbl>
    <w:p>
      <w:pPr>
        <w:spacing w:after="0" w:line="200" w:lineRule="exact"/>
        <w:rPr>
          <w:sz w:val="20"/>
          <w:szCs w:val="20"/>
          <w:color w:val="auto"/>
        </w:rPr>
      </w:pPr>
    </w:p>
    <w:p>
      <w:pPr>
        <w:spacing w:after="0" w:line="312"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$1.60 and $2.98 for stock options granted during the six months ended October 31, 2012 and 2011, respectively.</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18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Underlying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r>
      <w:tr>
        <w:trPr>
          <w:trHeight w:val="241"/>
        </w:trPr>
        <w:tc>
          <w:tcPr>
            <w:tcW w:w="18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 Years)</w:t>
            </w:r>
          </w:p>
        </w:tc>
        <w:tc>
          <w:tcPr>
            <w:tcW w:w="10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0FFFF"/>
          </w:tcPr>
          <w:p>
            <w:pPr>
              <w:spacing w:after="0"/>
              <w:rPr>
                <w:sz w:val="20"/>
                <w:szCs w:val="20"/>
                <w:color w:val="auto"/>
              </w:rPr>
            </w:pPr>
            <w:r>
              <w:rPr>
                <w:rFonts w:ascii="Arial" w:cs="Arial" w:eastAsia="Arial" w:hAnsi="Arial"/>
                <w:sz w:val="18"/>
                <w:szCs w:val="18"/>
                <w:color w:val="auto"/>
              </w:rPr>
              <w:t>Outstanding as of April 30, 2012</w:t>
            </w:r>
          </w:p>
        </w:tc>
        <w:tc>
          <w:tcPr>
            <w:tcW w:w="112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1,353,473</w:t>
            </w:r>
          </w:p>
        </w:tc>
        <w:tc>
          <w:tcPr>
            <w:tcW w:w="140" w:type="dxa"/>
            <w:vAlign w:val="bottom"/>
            <w:shd w:val="clear" w:color="auto" w:fill="C0FFFF"/>
          </w:tcPr>
          <w:p>
            <w:pPr>
              <w:spacing w:after="0"/>
              <w:rPr>
                <w:sz w:val="18"/>
                <w:szCs w:val="18"/>
                <w:color w:val="auto"/>
              </w:rPr>
            </w:pP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8.92</w:t>
            </w: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(130,813)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5.94</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240" w:type="dxa"/>
            <w:vAlign w:val="bottom"/>
            <w:shd w:val="clear" w:color="auto" w:fill="C0FFFF"/>
          </w:tcPr>
          <w:p>
            <w:pPr>
              <w:spacing w:after="0"/>
              <w:rPr>
                <w:sz w:val="20"/>
                <w:szCs w:val="20"/>
                <w:color w:val="auto"/>
              </w:rPr>
            </w:pPr>
            <w:r>
              <w:rPr>
                <w:rFonts w:ascii="Arial" w:cs="Arial" w:eastAsia="Arial" w:hAnsi="Arial"/>
                <w:sz w:val="18"/>
                <w:szCs w:val="18"/>
                <w:color w:val="auto"/>
              </w:rPr>
              <w:t>Exercised</w:t>
            </w:r>
          </w:p>
        </w:tc>
        <w:tc>
          <w:tcPr>
            <w:tcW w:w="126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0FFFF"/>
          </w:tcPr>
          <w:p>
            <w:pPr>
              <w:spacing w:after="0"/>
              <w:rPr>
                <w:sz w:val="18"/>
                <w:szCs w:val="18"/>
                <w:color w:val="auto"/>
              </w:rPr>
            </w:pPr>
          </w:p>
        </w:tc>
        <w:tc>
          <w:tcPr>
            <w:tcW w:w="14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180" w:type="dxa"/>
            <w:vAlign w:val="bottom"/>
          </w:tcPr>
          <w:p>
            <w:pPr>
              <w:spacing w:after="0"/>
              <w:rPr>
                <w:sz w:val="22"/>
                <w:szCs w:val="22"/>
                <w:color w:val="auto"/>
              </w:rPr>
            </w:pPr>
          </w:p>
        </w:tc>
        <w:tc>
          <w:tcPr>
            <w:tcW w:w="724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8"/>
                <w:szCs w:val="18"/>
                <w:color w:val="auto"/>
              </w:rPr>
              <w:t>Outstanding as of October 31, 2012</w:t>
            </w:r>
          </w:p>
        </w:tc>
        <w:tc>
          <w:tcPr>
            <w:tcW w:w="1120" w:type="dxa"/>
            <w:vAlign w:val="bottom"/>
            <w:tcBorders>
              <w:bottom w:val="single" w:sz="8" w:color="auto"/>
            </w:tcBorders>
            <w:shd w:val="clear" w:color="auto" w:fill="C0FFFF"/>
          </w:tcPr>
          <w:p>
            <w:pPr>
              <w:jc w:val="right"/>
              <w:spacing w:after="0"/>
              <w:rPr>
                <w:sz w:val="20"/>
                <w:szCs w:val="20"/>
                <w:color w:val="auto"/>
              </w:rPr>
            </w:pPr>
            <w:r>
              <w:rPr>
                <w:rFonts w:ascii="Arial" w:cs="Arial" w:eastAsia="Arial" w:hAnsi="Arial"/>
                <w:sz w:val="18"/>
                <w:szCs w:val="18"/>
                <w:color w:val="auto"/>
              </w:rPr>
              <w:t>1,534,569</w:t>
            </w:r>
          </w:p>
        </w:tc>
        <w:tc>
          <w:tcPr>
            <w:tcW w:w="140" w:type="dxa"/>
            <w:vAlign w:val="bottom"/>
            <w:tcBorders>
              <w:bottom w:val="single" w:sz="8" w:color="C0FFFF"/>
            </w:tcBorders>
            <w:shd w:val="clear" w:color="auto" w:fill="C0FFFF"/>
          </w:tcPr>
          <w:p>
            <w:pPr>
              <w:spacing w:after="0"/>
              <w:rPr>
                <w:sz w:val="22"/>
                <w:szCs w:val="22"/>
                <w:color w:val="auto"/>
              </w:rPr>
            </w:pPr>
          </w:p>
        </w:tc>
        <w:tc>
          <w:tcPr>
            <w:tcW w:w="80" w:type="dxa"/>
            <w:vAlign w:val="bottom"/>
            <w:tcBorders>
              <w:bottom w:val="single" w:sz="8" w:color="C0FFFF"/>
            </w:tcBorders>
            <w:shd w:val="clear" w:color="auto" w:fill="C0FFFF"/>
          </w:tcPr>
          <w:p>
            <w:pPr>
              <w:spacing w:after="0"/>
              <w:rPr>
                <w:sz w:val="22"/>
                <w:szCs w:val="22"/>
                <w:color w:val="auto"/>
              </w:rPr>
            </w:pPr>
          </w:p>
        </w:tc>
        <w:tc>
          <w:tcPr>
            <w:tcW w:w="140" w:type="dxa"/>
            <w:vAlign w:val="bottom"/>
            <w:tcBorders>
              <w:bottom w:val="single" w:sz="8" w:color="C0FFFF"/>
            </w:tcBorders>
            <w:shd w:val="clear" w:color="auto" w:fill="C0FFFF"/>
          </w:tcPr>
          <w:p>
            <w:pPr>
              <w:spacing w:after="0"/>
              <w:rPr>
                <w:sz w:val="22"/>
                <w:szCs w:val="22"/>
                <w:color w:val="auto"/>
              </w:rPr>
            </w:pPr>
          </w:p>
        </w:tc>
        <w:tc>
          <w:tcPr>
            <w:tcW w:w="1180" w:type="dxa"/>
            <w:vAlign w:val="bottom"/>
            <w:tcBorders>
              <w:bottom w:val="single" w:sz="8" w:color="C0FFFF"/>
            </w:tcBorders>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7.78</w:t>
            </w:r>
          </w:p>
        </w:tc>
        <w:tc>
          <w:tcPr>
            <w:tcW w:w="1220" w:type="dxa"/>
            <w:vAlign w:val="bottom"/>
            <w:tcBorders>
              <w:bottom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6.3</w:t>
            </w:r>
          </w:p>
        </w:tc>
      </w:tr>
      <w:tr>
        <w:trPr>
          <w:trHeight w:val="210"/>
        </w:trPr>
        <w:tc>
          <w:tcPr>
            <w:tcW w:w="18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Exercisable as of October 31, 2012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
        </w:trPr>
        <w:tc>
          <w:tcPr>
            <w:tcW w:w="18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of October 31, 2012, the total intrinsic value of outstanding options was approximately $150,000 and the total intrinsic value of exercisable options was $0. As of October 31, 2012, approximately 614,000 additional options are expected to vest in the future, which options had approximately $150,000 of intrinsic value and a weighted average remaining contractual term of 8.6 years. There was approximately $590,000 and $622,000 of total recognized compensation cost related to stock options for the six months ended October 31, 2012 and 2011, respectively. As of October 31, 2012, there was approximately $1,277,000 of total unrecognized compensation cost related to non-vested stock options granted under the plans. This cost is expected to be recognized over a weighted-average period of 2.8 years. The Company normally issues new shares to satisfy option exercises under these plans. During the six months ended October 31, 2012, stock options granted included 25,128 stock options which are subject to performance-based vesting requirements. Stock options outstanding as of October 31, 2012 included 38,894 stock options subject to performance-based vesting requirements.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over the associated service and performance period. During the six months ended October 31, 2012, there were 18,000 shares of non-vested restricted stock granted to employees with performance-based vesting requirements. During the six months ended October 31, 2012, 22,950 shares of non-vested restricted stock subject to performance-based vesting requirements were forfeited in accordance with performance objectives. Restricted stock issued and unvested at October 31, 2012 included 49,000 shares of non-vested restricted stock subject to performance-based vesting requirements.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A summary of non-vested restricted stock under the plans is as follows:</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41"/>
        </w:trPr>
        <w:tc>
          <w:tcPr>
            <w:tcW w:w="1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18"/>
                <w:szCs w:val="18"/>
                <w:color w:val="auto"/>
              </w:rPr>
            </w:pPr>
          </w:p>
        </w:tc>
        <w:tc>
          <w:tcPr>
            <w:tcW w:w="132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Price per</w:t>
            </w:r>
          </w:p>
        </w:tc>
      </w:tr>
      <w:tr>
        <w:trPr>
          <w:trHeight w:val="234"/>
        </w:trPr>
        <w:tc>
          <w:tcPr>
            <w:tcW w:w="180" w:type="dxa"/>
            <w:vAlign w:val="bottom"/>
          </w:tcPr>
          <w:p>
            <w:pPr>
              <w:spacing w:after="0"/>
              <w:rPr>
                <w:sz w:val="20"/>
                <w:szCs w:val="20"/>
                <w:color w:val="auto"/>
              </w:rPr>
            </w:pPr>
          </w:p>
        </w:tc>
        <w:tc>
          <w:tcPr>
            <w:tcW w:w="7900" w:type="dxa"/>
            <w:vAlign w:val="bottom"/>
          </w:tcPr>
          <w:p>
            <w:pPr>
              <w:spacing w:after="0"/>
              <w:rPr>
                <w:sz w:val="20"/>
                <w:szCs w:val="20"/>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of Shares</w:t>
            </w:r>
          </w:p>
        </w:tc>
        <w:tc>
          <w:tcPr>
            <w:tcW w:w="300" w:type="dxa"/>
            <w:vAlign w:val="bottom"/>
          </w:tcPr>
          <w:p>
            <w:pPr>
              <w:spacing w:after="0"/>
              <w:rPr>
                <w:sz w:val="20"/>
                <w:szCs w:val="20"/>
                <w:color w:val="auto"/>
              </w:rPr>
            </w:pPr>
          </w:p>
        </w:tc>
        <w:tc>
          <w:tcPr>
            <w:tcW w:w="13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Share</w:t>
            </w:r>
          </w:p>
        </w:tc>
      </w:tr>
      <w:tr>
        <w:trPr>
          <w:trHeight w:val="216"/>
        </w:trPr>
        <w:tc>
          <w:tcPr>
            <w:tcW w:w="180" w:type="dxa"/>
            <w:vAlign w:val="bottom"/>
          </w:tcPr>
          <w:p>
            <w:pPr>
              <w:spacing w:after="0"/>
              <w:rPr>
                <w:sz w:val="18"/>
                <w:szCs w:val="18"/>
                <w:color w:val="auto"/>
              </w:rPr>
            </w:pPr>
          </w:p>
        </w:tc>
        <w:tc>
          <w:tcPr>
            <w:tcW w:w="79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900" w:type="dxa"/>
            <w:vAlign w:val="bottom"/>
            <w:shd w:val="clear" w:color="auto" w:fill="C0FFFF"/>
          </w:tcPr>
          <w:p>
            <w:pPr>
              <w:spacing w:after="0"/>
              <w:rPr>
                <w:sz w:val="20"/>
                <w:szCs w:val="20"/>
                <w:color w:val="auto"/>
              </w:rPr>
            </w:pPr>
            <w:r>
              <w:rPr>
                <w:rFonts w:ascii="Arial" w:cs="Arial" w:eastAsia="Arial" w:hAnsi="Arial"/>
                <w:sz w:val="18"/>
                <w:szCs w:val="18"/>
                <w:color w:val="auto"/>
              </w:rPr>
              <w:t>Issued and unvested at April 30, 2012</w:t>
            </w:r>
          </w:p>
        </w:tc>
        <w:tc>
          <w:tcPr>
            <w:tcW w:w="16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93,840</w:t>
            </w:r>
          </w:p>
        </w:tc>
        <w:tc>
          <w:tcPr>
            <w:tcW w:w="300" w:type="dxa"/>
            <w:vAlign w:val="bottom"/>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5.86</w:t>
            </w:r>
          </w:p>
        </w:tc>
      </w:tr>
      <w:tr>
        <w:trPr>
          <w:trHeight w:val="216"/>
        </w:trPr>
        <w:tc>
          <w:tcPr>
            <w:tcW w:w="1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Granted</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31,744</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2.39</w:t>
            </w:r>
          </w:p>
        </w:tc>
      </w:tr>
      <w:tr>
        <w:trPr>
          <w:trHeight w:val="216"/>
        </w:trPr>
        <w:tc>
          <w:tcPr>
            <w:tcW w:w="180" w:type="dxa"/>
            <w:vAlign w:val="bottom"/>
          </w:tcPr>
          <w:p>
            <w:pPr>
              <w:spacing w:after="0"/>
              <w:rPr>
                <w:sz w:val="18"/>
                <w:szCs w:val="18"/>
                <w:color w:val="auto"/>
              </w:rPr>
            </w:pPr>
          </w:p>
        </w:tc>
        <w:tc>
          <w:tcPr>
            <w:tcW w:w="7900" w:type="dxa"/>
            <w:vAlign w:val="bottom"/>
            <w:shd w:val="clear" w:color="auto" w:fill="C0FFFF"/>
          </w:tcPr>
          <w:p>
            <w:pPr>
              <w:spacing w:after="0"/>
              <w:rPr>
                <w:sz w:val="20"/>
                <w:szCs w:val="20"/>
                <w:color w:val="auto"/>
              </w:rPr>
            </w:pPr>
            <w:r>
              <w:rPr>
                <w:rFonts w:ascii="Arial" w:cs="Arial" w:eastAsia="Arial" w:hAnsi="Arial"/>
                <w:sz w:val="18"/>
                <w:szCs w:val="18"/>
                <w:color w:val="auto"/>
              </w:rPr>
              <w:t>Forfeited</w:t>
            </w:r>
          </w:p>
        </w:tc>
        <w:tc>
          <w:tcPr>
            <w:tcW w:w="16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(23,585)</w:t>
            </w:r>
          </w:p>
        </w:tc>
        <w:tc>
          <w:tcPr>
            <w:tcW w:w="300" w:type="dxa"/>
            <w:vAlign w:val="bottom"/>
            <w:shd w:val="clear" w:color="auto" w:fill="C0FFFF"/>
          </w:tcPr>
          <w:p>
            <w:pPr>
              <w:spacing w:after="0"/>
              <w:rPr>
                <w:sz w:val="18"/>
                <w:szCs w:val="18"/>
                <w:color w:val="auto"/>
              </w:rPr>
            </w:pPr>
          </w:p>
        </w:tc>
        <w:tc>
          <w:tcPr>
            <w:tcW w:w="13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5.45</w:t>
            </w:r>
          </w:p>
        </w:tc>
      </w:tr>
      <w:tr>
        <w:trPr>
          <w:trHeight w:val="216"/>
        </w:trPr>
        <w:tc>
          <w:tcPr>
            <w:tcW w:w="18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Vested</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(18,197)</w:t>
            </w:r>
          </w:p>
        </w:tc>
        <w:tc>
          <w:tcPr>
            <w:tcW w:w="3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5.67</w:t>
            </w:r>
          </w:p>
        </w:tc>
      </w:tr>
      <w:tr>
        <w:trPr>
          <w:trHeight w:val="27"/>
        </w:trPr>
        <w:tc>
          <w:tcPr>
            <w:tcW w:w="180" w:type="dxa"/>
            <w:vAlign w:val="bottom"/>
          </w:tcPr>
          <w:p>
            <w:pPr>
              <w:spacing w:after="0"/>
              <w:rPr>
                <w:sz w:val="2"/>
                <w:szCs w:val="2"/>
                <w:color w:val="auto"/>
              </w:rPr>
            </w:pPr>
          </w:p>
        </w:tc>
        <w:tc>
          <w:tcPr>
            <w:tcW w:w="790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7900" w:type="dxa"/>
            <w:vAlign w:val="bottom"/>
            <w:shd w:val="clear" w:color="auto" w:fill="C0FFFF"/>
          </w:tcPr>
          <w:p>
            <w:pPr>
              <w:spacing w:after="0"/>
              <w:rPr>
                <w:sz w:val="20"/>
                <w:szCs w:val="20"/>
                <w:color w:val="auto"/>
              </w:rPr>
            </w:pPr>
            <w:r>
              <w:rPr>
                <w:rFonts w:ascii="Arial" w:cs="Arial" w:eastAsia="Arial" w:hAnsi="Arial"/>
                <w:sz w:val="18"/>
                <w:szCs w:val="18"/>
                <w:color w:val="auto"/>
              </w:rPr>
              <w:t>Issued and unvested at October 31, 2012</w:t>
            </w:r>
          </w:p>
        </w:tc>
        <w:tc>
          <w:tcPr>
            <w:tcW w:w="160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83,802</w:t>
            </w:r>
          </w:p>
        </w:tc>
        <w:tc>
          <w:tcPr>
            <w:tcW w:w="300" w:type="dxa"/>
            <w:vAlign w:val="bottom"/>
            <w:shd w:val="clear" w:color="auto" w:fill="C0FFFF"/>
          </w:tcPr>
          <w:p>
            <w:pPr>
              <w:spacing w:after="0"/>
              <w:rPr>
                <w:sz w:val="20"/>
                <w:szCs w:val="20"/>
                <w:color w:val="auto"/>
              </w:rPr>
            </w:pPr>
          </w:p>
        </w:tc>
        <w:tc>
          <w:tcPr>
            <w:tcW w:w="1320" w:type="dxa"/>
            <w:vAlign w:val="bottom"/>
            <w:shd w:val="clear" w:color="auto" w:fill="C0FFFF"/>
          </w:tcPr>
          <w:p>
            <w:pPr>
              <w:jc w:val="right"/>
              <w:ind w:right="10"/>
              <w:spacing w:after="0"/>
              <w:rPr>
                <w:sz w:val="20"/>
                <w:szCs w:val="20"/>
                <w:color w:val="auto"/>
              </w:rPr>
            </w:pPr>
            <w:r>
              <w:rPr>
                <w:rFonts w:ascii="Arial" w:cs="Arial" w:eastAsia="Arial" w:hAnsi="Arial"/>
                <w:sz w:val="18"/>
                <w:szCs w:val="18"/>
                <w:color w:val="auto"/>
              </w:rPr>
              <w:t>4.71</w:t>
            </w:r>
          </w:p>
        </w:tc>
      </w:tr>
      <w:tr>
        <w:trPr>
          <w:trHeight w:val="20"/>
        </w:trPr>
        <w:tc>
          <w:tcPr>
            <w:tcW w:w="180" w:type="dxa"/>
            <w:vAlign w:val="bottom"/>
          </w:tcPr>
          <w:p>
            <w:pPr>
              <w:spacing w:after="0" w:line="20" w:lineRule="exact"/>
              <w:rPr>
                <w:sz w:val="1"/>
                <w:szCs w:val="1"/>
                <w:color w:val="auto"/>
              </w:rPr>
            </w:pPr>
          </w:p>
        </w:tc>
        <w:tc>
          <w:tcPr>
            <w:tcW w:w="7900" w:type="dxa"/>
            <w:vAlign w:val="bottom"/>
            <w:tcBorders>
              <w:top w:val="single" w:sz="8" w:color="C0FFFF"/>
            </w:tcBorders>
            <w:shd w:val="clear" w:color="auto" w:fill="C0FFFF"/>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300" w:type="dxa"/>
            <w:vAlign w:val="bottom"/>
            <w:tcBorders>
              <w:top w:val="single" w:sz="8" w:color="C0FFFF"/>
            </w:tcBorders>
            <w:shd w:val="clear" w:color="auto" w:fill="C0FFFF"/>
          </w:tcPr>
          <w:p>
            <w:pPr>
              <w:spacing w:after="0" w:line="20" w:lineRule="exact"/>
              <w:rPr>
                <w:sz w:val="1"/>
                <w:szCs w:val="1"/>
                <w:color w:val="auto"/>
              </w:rPr>
            </w:pPr>
          </w:p>
        </w:tc>
        <w:tc>
          <w:tcPr>
            <w:tcW w:w="1320" w:type="dxa"/>
            <w:vAlign w:val="bottom"/>
            <w:tcBorders>
              <w:top w:val="single" w:sz="8" w:color="C0FFFF"/>
            </w:tcBorders>
            <w:shd w:val="clear" w:color="auto" w:fill="C0FFFF"/>
          </w:tcPr>
          <w:p>
            <w:pPr>
              <w:spacing w:after="0" w:line="20" w:lineRule="exact"/>
              <w:rPr>
                <w:sz w:val="1"/>
                <w:szCs w:val="1"/>
                <w:color w:val="auto"/>
              </w:rPr>
            </w:pPr>
          </w:p>
        </w:tc>
      </w:tr>
    </w:tbl>
    <w:p>
      <w:pPr>
        <w:spacing w:after="0" w:line="256"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There was approximately $27,000 and $82,000 of total recognized compensation cost related to restricted stock for the six months ended October 31, 2012 and 2011, respectively. As of October 31, 2012, there was approximately $87,000 of total unrecognized compensation cost related to non-vested restricted stock granted under the plans. This cost is expected to be recognized over a weighted average period of 2.9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During the six months ended October 31, 2012 and 2011, 4,274 and 8,890 shares, respectively, of common stock were purchased by the Company from employees to pay taxes related to the vesting of restricted stock.</w:t>
      </w: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Spain Construction Agreement</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October 31, 2012, the Company does not believe that the outcome of this matter will have a material adverse effect on the Company's financial position or results of operations. See Note 1.</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83"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three and six month periods ended October 31, 2012 and 2011.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31, 2012, the Company had no material changes in uncertain tax positions.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Operating Segments and Geographic Information</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gridSpan w:val="8"/>
          </w:tcPr>
          <w:p>
            <w:pPr>
              <w:spacing w:after="0"/>
              <w:rPr>
                <w:sz w:val="20"/>
                <w:szCs w:val="20"/>
                <w:color w:val="auto"/>
              </w:rPr>
            </w:pPr>
            <w:r>
              <w:rPr>
                <w:rFonts w:ascii="Arial" w:cs="Arial" w:eastAsia="Arial" w:hAnsi="Arial"/>
                <w:sz w:val="18"/>
                <w:szCs w:val="18"/>
                <w:color w:val="auto"/>
              </w:rPr>
              <w:t>Geographic information is as follows:</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Asia and</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North America</w:t>
            </w:r>
          </w:p>
        </w:tc>
        <w:tc>
          <w:tcPr>
            <w:tcW w:w="120" w:type="dxa"/>
            <w:vAlign w:val="bottom"/>
          </w:tcPr>
          <w:p>
            <w:pPr>
              <w:spacing w:after="0"/>
              <w:rPr>
                <w:sz w:val="20"/>
                <w:szCs w:val="20"/>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Europe</w:t>
            </w:r>
          </w:p>
        </w:tc>
        <w:tc>
          <w:tcPr>
            <w:tcW w:w="14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Australia</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920" w:type="dxa"/>
            <w:vAlign w:val="bottom"/>
            <w:tcBorders>
              <w:bottom w:val="single" w:sz="8" w:color="auto"/>
            </w:tcBorders>
            <w:gridSpan w:val="6"/>
            <w:shd w:val="clear" w:color="auto" w:fill="C0FFFF"/>
          </w:tcPr>
          <w:p>
            <w:pPr>
              <w:spacing w:after="0" w:line="176" w:lineRule="exact"/>
              <w:rPr>
                <w:sz w:val="20"/>
                <w:szCs w:val="20"/>
                <w:color w:val="auto"/>
              </w:rPr>
            </w:pPr>
            <w:r>
              <w:rPr>
                <w:rFonts w:ascii="Arial" w:cs="Arial" w:eastAsia="Arial" w:hAnsi="Arial"/>
                <w:sz w:val="18"/>
                <w:szCs w:val="18"/>
                <w:b w:val="1"/>
                <w:bCs w:val="1"/>
                <w:color w:val="auto"/>
                <w:w w:val="88"/>
              </w:rPr>
              <w:t>Three months ended October 31, 2012</w:t>
            </w:r>
          </w:p>
        </w:tc>
        <w:tc>
          <w:tcPr>
            <w:tcW w:w="2680" w:type="dxa"/>
            <w:vAlign w:val="bottom"/>
            <w:tcBorders>
              <w:bottom w:val="single" w:sz="8" w:color="C0FFFF"/>
            </w:tcBorders>
            <w:shd w:val="clear" w:color="auto" w:fill="C0FFFF"/>
          </w:tcPr>
          <w:p>
            <w:pPr>
              <w:spacing w:after="0"/>
              <w:rPr>
                <w:sz w:val="17"/>
                <w:szCs w:val="17"/>
                <w:color w:val="auto"/>
              </w:rPr>
            </w:pPr>
          </w:p>
        </w:tc>
        <w:tc>
          <w:tcPr>
            <w:tcW w:w="100" w:type="dxa"/>
            <w:vAlign w:val="bottom"/>
            <w:tcBorders>
              <w:top w:val="single" w:sz="8" w:color="auto"/>
              <w:bottom w:val="single" w:sz="8" w:color="C0FFFF"/>
            </w:tcBorders>
            <w:shd w:val="clear" w:color="auto" w:fill="C0FFFF"/>
          </w:tcPr>
          <w:p>
            <w:pPr>
              <w:spacing w:after="0"/>
              <w:rPr>
                <w:sz w:val="17"/>
                <w:szCs w:val="17"/>
                <w:color w:val="auto"/>
              </w:rPr>
            </w:pPr>
          </w:p>
        </w:tc>
        <w:tc>
          <w:tcPr>
            <w:tcW w:w="1280" w:type="dxa"/>
            <w:vAlign w:val="bottom"/>
            <w:tcBorders>
              <w:top w:val="single" w:sz="8" w:color="auto"/>
              <w:bottom w:val="single" w:sz="8" w:color="C0FFFF"/>
            </w:tcBorders>
            <w:shd w:val="clear" w:color="auto" w:fill="C0FFFF"/>
          </w:tcPr>
          <w:p>
            <w:pPr>
              <w:spacing w:after="0"/>
              <w:rPr>
                <w:sz w:val="17"/>
                <w:szCs w:val="17"/>
                <w:color w:val="auto"/>
              </w:rPr>
            </w:pPr>
          </w:p>
        </w:tc>
        <w:tc>
          <w:tcPr>
            <w:tcW w:w="12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top w:val="single" w:sz="8" w:color="auto"/>
              <w:bottom w:val="single" w:sz="8" w:color="C0FFFF"/>
            </w:tcBorders>
            <w:shd w:val="clear" w:color="auto" w:fill="C0FFFF"/>
          </w:tcPr>
          <w:p>
            <w:pPr>
              <w:spacing w:after="0"/>
              <w:rPr>
                <w:sz w:val="17"/>
                <w:szCs w:val="17"/>
                <w:color w:val="auto"/>
              </w:rPr>
            </w:pPr>
          </w:p>
        </w:tc>
        <w:tc>
          <w:tcPr>
            <w:tcW w:w="220" w:type="dxa"/>
            <w:vAlign w:val="bottom"/>
            <w:tcBorders>
              <w:bottom w:val="single" w:sz="8" w:color="C0FFFF"/>
            </w:tcBorders>
            <w:shd w:val="clear" w:color="auto" w:fill="C0FFFF"/>
          </w:tcPr>
          <w:p>
            <w:pPr>
              <w:spacing w:after="0"/>
              <w:rPr>
                <w:sz w:val="17"/>
                <w:szCs w:val="17"/>
                <w:color w:val="auto"/>
              </w:rPr>
            </w:pPr>
          </w:p>
        </w:tc>
        <w:tc>
          <w:tcPr>
            <w:tcW w:w="1240" w:type="dxa"/>
            <w:vAlign w:val="bottom"/>
            <w:tcBorders>
              <w:top w:val="single" w:sz="8" w:color="auto"/>
              <w:bottom w:val="single" w:sz="8" w:color="C0FFFF"/>
            </w:tcBorders>
            <w:shd w:val="clear" w:color="auto" w:fill="C0FFFF"/>
          </w:tcPr>
          <w:p>
            <w:pPr>
              <w:spacing w:after="0"/>
              <w:rPr>
                <w:sz w:val="17"/>
                <w:szCs w:val="17"/>
                <w:color w:val="auto"/>
              </w:rPr>
            </w:pPr>
          </w:p>
        </w:tc>
        <w:tc>
          <w:tcPr>
            <w:tcW w:w="200" w:type="dxa"/>
            <w:vAlign w:val="bottom"/>
            <w:tcBorders>
              <w:bottom w:val="single" w:sz="8" w:color="C0FFFF"/>
            </w:tcBorders>
            <w:shd w:val="clear" w:color="auto" w:fill="C0FFFF"/>
          </w:tcPr>
          <w:p>
            <w:pPr>
              <w:spacing w:after="0"/>
              <w:rPr>
                <w:sz w:val="17"/>
                <w:szCs w:val="17"/>
                <w:color w:val="auto"/>
              </w:rPr>
            </w:pPr>
          </w:p>
        </w:tc>
        <w:tc>
          <w:tcPr>
            <w:tcW w:w="1260" w:type="dxa"/>
            <w:vAlign w:val="bottom"/>
            <w:tcBorders>
              <w:top w:val="single" w:sz="8" w:color="auto"/>
              <w:bottom w:val="single" w:sz="8" w:color="C0FFFF"/>
            </w:tcBorders>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1,353,928</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6,371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1,360,299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(4,337,988)</w:t>
            </w:r>
          </w:p>
        </w:tc>
        <w:tc>
          <w:tcPr>
            <w:tcW w:w="162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(266,004)</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(324,181)</w:t>
            </w:r>
          </w:p>
        </w:tc>
        <w:tc>
          <w:tcPr>
            <w:tcW w:w="13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(4,928,173)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0" w:type="dxa"/>
            <w:vAlign w:val="bottom"/>
            <w:gridSpan w:val="7"/>
            <w:shd w:val="clear" w:color="auto" w:fill="C0FFFF"/>
          </w:tcPr>
          <w:p>
            <w:pPr>
              <w:spacing w:after="0" w:line="176" w:lineRule="exact"/>
              <w:rPr>
                <w:sz w:val="20"/>
                <w:szCs w:val="20"/>
                <w:color w:val="auto"/>
              </w:rPr>
            </w:pPr>
            <w:r>
              <w:rPr>
                <w:rFonts w:ascii="Arial" w:cs="Arial" w:eastAsia="Arial" w:hAnsi="Arial"/>
                <w:sz w:val="18"/>
                <w:szCs w:val="18"/>
                <w:b w:val="1"/>
                <w:bCs w:val="1"/>
                <w:color w:val="auto"/>
              </w:rPr>
              <w:t>Three months ended October 31, 2011</w:t>
            </w:r>
          </w:p>
        </w:tc>
        <w:tc>
          <w:tcPr>
            <w:tcW w:w="10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24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Revenues from external customers</w:t>
            </w:r>
          </w:p>
        </w:tc>
        <w:tc>
          <w:tcPr>
            <w:tcW w:w="2700" w:type="dxa"/>
            <w:vAlign w:val="bottom"/>
            <w:tcBorders>
              <w:top w:val="single" w:sz="8" w:color="C0FFFF"/>
            </w:tcBorders>
            <w:gridSpan w:val="2"/>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jc w:val="right"/>
              <w:ind w:right="30"/>
              <w:spacing w:after="0"/>
              <w:rPr>
                <w:sz w:val="20"/>
                <w:szCs w:val="20"/>
                <w:color w:val="auto"/>
              </w:rPr>
            </w:pPr>
            <w:r>
              <w:rPr>
                <w:rFonts w:ascii="Arial" w:cs="Arial" w:eastAsia="Arial" w:hAnsi="Arial"/>
                <w:sz w:val="18"/>
                <w:szCs w:val="18"/>
                <w:color w:val="auto"/>
              </w:rPr>
              <w:t>1,027,483</w:t>
            </w:r>
          </w:p>
        </w:tc>
        <w:tc>
          <w:tcPr>
            <w:tcW w:w="1620" w:type="dxa"/>
            <w:vAlign w:val="bottom"/>
            <w:tcBorders>
              <w:top w:val="single" w:sz="8" w:color="C0FFFF"/>
            </w:tcBorders>
            <w:gridSpan w:val="3"/>
          </w:tcPr>
          <w:p>
            <w:pPr>
              <w:jc w:val="right"/>
              <w:ind w:right="220"/>
              <w:spacing w:after="0"/>
              <w:rPr>
                <w:sz w:val="20"/>
                <w:szCs w:val="20"/>
                <w:color w:val="auto"/>
              </w:rPr>
            </w:pPr>
            <w:r>
              <w:rPr>
                <w:rFonts w:ascii="Arial" w:cs="Arial" w:eastAsia="Arial" w:hAnsi="Arial"/>
                <w:sz w:val="18"/>
                <w:szCs w:val="18"/>
                <w:color w:val="auto"/>
              </w:rPr>
              <w:t>487,954</w:t>
            </w:r>
          </w:p>
        </w:tc>
        <w:tc>
          <w:tcPr>
            <w:tcW w:w="1440" w:type="dxa"/>
            <w:vAlign w:val="bottom"/>
            <w:tcBorders>
              <w:top w:val="single" w:sz="8" w:color="C0FF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1,515,437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(3,633,509)</w:t>
            </w:r>
          </w:p>
        </w:tc>
        <w:tc>
          <w:tcPr>
            <w:tcW w:w="162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(330,622)</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(81,670)</w:t>
            </w:r>
          </w:p>
        </w:tc>
        <w:tc>
          <w:tcPr>
            <w:tcW w:w="13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(4,045,801)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auto"/>
            </w:tcBorders>
            <w:gridSpan w:val="4"/>
            <w:shd w:val="clear" w:color="auto" w:fill="C0FFFF"/>
          </w:tcPr>
          <w:p>
            <w:pPr>
              <w:spacing w:after="0" w:line="176" w:lineRule="exact"/>
              <w:rPr>
                <w:sz w:val="20"/>
                <w:szCs w:val="20"/>
                <w:color w:val="auto"/>
              </w:rPr>
            </w:pPr>
            <w:r>
              <w:rPr>
                <w:rFonts w:ascii="Arial" w:cs="Arial" w:eastAsia="Arial" w:hAnsi="Arial"/>
                <w:sz w:val="18"/>
                <w:szCs w:val="18"/>
                <w:b w:val="1"/>
                <w:bCs w:val="1"/>
                <w:color w:val="auto"/>
                <w:w w:val="88"/>
              </w:rPr>
              <w:t>Six months ended October 31, 2012</w:t>
            </w:r>
          </w:p>
        </w:tc>
        <w:tc>
          <w:tcPr>
            <w:tcW w:w="2900" w:type="dxa"/>
            <w:vAlign w:val="bottom"/>
            <w:tcBorders>
              <w:bottom w:val="single" w:sz="8" w:color="C0FFFF"/>
            </w:tcBorders>
            <w:gridSpan w:val="3"/>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12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220" w:type="dxa"/>
            <w:vAlign w:val="bottom"/>
            <w:tcBorders>
              <w:bottom w:val="single" w:sz="8" w:color="C0FFFF"/>
            </w:tcBorders>
            <w:shd w:val="clear" w:color="auto" w:fill="C0FFFF"/>
          </w:tcPr>
          <w:p>
            <w:pPr>
              <w:spacing w:after="0"/>
              <w:rPr>
                <w:sz w:val="17"/>
                <w:szCs w:val="17"/>
                <w:color w:val="auto"/>
              </w:rPr>
            </w:pPr>
          </w:p>
        </w:tc>
        <w:tc>
          <w:tcPr>
            <w:tcW w:w="1240" w:type="dxa"/>
            <w:vAlign w:val="bottom"/>
            <w:tcBorders>
              <w:bottom w:val="single" w:sz="8" w:color="C0FFFF"/>
            </w:tcBorders>
            <w:shd w:val="clear" w:color="auto" w:fill="C0FFFF"/>
          </w:tcPr>
          <w:p>
            <w:pPr>
              <w:spacing w:after="0"/>
              <w:rPr>
                <w:sz w:val="17"/>
                <w:szCs w:val="17"/>
                <w:color w:val="auto"/>
              </w:rPr>
            </w:pPr>
          </w:p>
        </w:tc>
        <w:tc>
          <w:tcPr>
            <w:tcW w:w="200" w:type="dxa"/>
            <w:vAlign w:val="bottom"/>
            <w:tcBorders>
              <w:bottom w:val="single" w:sz="8" w:color="C0FFFF"/>
            </w:tcBorders>
            <w:shd w:val="clear" w:color="auto" w:fill="C0FFFF"/>
          </w:tcPr>
          <w:p>
            <w:pPr>
              <w:spacing w:after="0"/>
              <w:rPr>
                <w:sz w:val="17"/>
                <w:szCs w:val="17"/>
                <w:color w:val="auto"/>
              </w:rPr>
            </w:pPr>
          </w:p>
        </w:tc>
        <w:tc>
          <w:tcPr>
            <w:tcW w:w="1260" w:type="dxa"/>
            <w:vAlign w:val="bottom"/>
            <w:tcBorders>
              <w:bottom w:val="single" w:sz="8" w:color="C0FFFF"/>
            </w:tcBorders>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auto"/>
              </w:rPr>
              <w:t>Revenues from external customers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2,284,831</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57,864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2,342,695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(8,189,708)</w:t>
            </w:r>
          </w:p>
        </w:tc>
        <w:tc>
          <w:tcPr>
            <w:tcW w:w="162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(500,978)</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(546,716)</w:t>
            </w:r>
          </w:p>
        </w:tc>
        <w:tc>
          <w:tcPr>
            <w:tcW w:w="13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(9,237,402)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600" w:type="dxa"/>
            <w:vAlign w:val="bottom"/>
            <w:gridSpan w:val="7"/>
            <w:shd w:val="clear" w:color="auto" w:fill="C0FFFF"/>
          </w:tcPr>
          <w:p>
            <w:pPr>
              <w:spacing w:after="0" w:line="176" w:lineRule="exact"/>
              <w:rPr>
                <w:sz w:val="20"/>
                <w:szCs w:val="20"/>
                <w:color w:val="auto"/>
              </w:rPr>
            </w:pPr>
            <w:r>
              <w:rPr>
                <w:rFonts w:ascii="Arial" w:cs="Arial" w:eastAsia="Arial" w:hAnsi="Arial"/>
                <w:sz w:val="18"/>
                <w:szCs w:val="18"/>
                <w:b w:val="1"/>
                <w:bCs w:val="1"/>
                <w:color w:val="auto"/>
              </w:rPr>
              <w:t>Six months ended October 31, 2011</w:t>
            </w:r>
          </w:p>
        </w:tc>
        <w:tc>
          <w:tcPr>
            <w:tcW w:w="10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120" w:type="dxa"/>
            <w:vAlign w:val="bottom"/>
            <w:shd w:val="clear" w:color="auto" w:fill="C0FFFF"/>
          </w:tcPr>
          <w:p>
            <w:pPr>
              <w:spacing w:after="0"/>
              <w:rPr>
                <w:sz w:val="17"/>
                <w:szCs w:val="17"/>
                <w:color w:val="auto"/>
              </w:rPr>
            </w:pPr>
          </w:p>
        </w:tc>
        <w:tc>
          <w:tcPr>
            <w:tcW w:w="1280" w:type="dxa"/>
            <w:vAlign w:val="bottom"/>
            <w:shd w:val="clear" w:color="auto" w:fill="C0FFFF"/>
          </w:tcPr>
          <w:p>
            <w:pPr>
              <w:spacing w:after="0"/>
              <w:rPr>
                <w:sz w:val="17"/>
                <w:szCs w:val="17"/>
                <w:color w:val="auto"/>
              </w:rPr>
            </w:pPr>
          </w:p>
        </w:tc>
        <w:tc>
          <w:tcPr>
            <w:tcW w:w="220" w:type="dxa"/>
            <w:vAlign w:val="bottom"/>
            <w:shd w:val="clear" w:color="auto" w:fill="C0FFFF"/>
          </w:tcPr>
          <w:p>
            <w:pPr>
              <w:spacing w:after="0"/>
              <w:rPr>
                <w:sz w:val="17"/>
                <w:szCs w:val="17"/>
                <w:color w:val="auto"/>
              </w:rPr>
            </w:pPr>
          </w:p>
        </w:tc>
        <w:tc>
          <w:tcPr>
            <w:tcW w:w="1240" w:type="dxa"/>
            <w:vAlign w:val="bottom"/>
            <w:shd w:val="clear" w:color="auto" w:fill="C0FFFF"/>
          </w:tcPr>
          <w:p>
            <w:pPr>
              <w:spacing w:after="0"/>
              <w:rPr>
                <w:sz w:val="17"/>
                <w:szCs w:val="17"/>
                <w:color w:val="auto"/>
              </w:rPr>
            </w:pPr>
          </w:p>
        </w:tc>
        <w:tc>
          <w:tcPr>
            <w:tcW w:w="200" w:type="dxa"/>
            <w:vAlign w:val="bottom"/>
            <w:shd w:val="clear" w:color="auto" w:fill="C0FFFF"/>
          </w:tcPr>
          <w:p>
            <w:pPr>
              <w:spacing w:after="0"/>
              <w:rPr>
                <w:sz w:val="17"/>
                <w:szCs w:val="17"/>
                <w:color w:val="auto"/>
              </w:rPr>
            </w:pPr>
          </w:p>
        </w:tc>
        <w:tc>
          <w:tcPr>
            <w:tcW w:w="1260" w:type="dxa"/>
            <w:vAlign w:val="bottom"/>
            <w:shd w:val="clear" w:color="auto" w:fill="C0FFFF"/>
          </w:tcPr>
          <w:p>
            <w:pPr>
              <w:spacing w:after="0"/>
              <w:rPr>
                <w:sz w:val="17"/>
                <w:szCs w:val="17"/>
                <w:color w:val="auto"/>
              </w:rPr>
            </w:pPr>
          </w:p>
        </w:tc>
        <w:tc>
          <w:tcPr>
            <w:tcW w:w="100" w:type="dxa"/>
            <w:vAlign w:val="bottom"/>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5"/>
              </w:rPr>
              <w:t>Revenues from external customers</w:t>
            </w:r>
          </w:p>
        </w:tc>
        <w:tc>
          <w:tcPr>
            <w:tcW w:w="2920" w:type="dxa"/>
            <w:vAlign w:val="bottom"/>
            <w:tcBorders>
              <w:top w:val="single" w:sz="8" w:color="C0FFFF"/>
            </w:tcBorders>
            <w:gridSpan w:val="4"/>
          </w:tcPr>
          <w:p>
            <w:pPr>
              <w:spacing w:after="0"/>
              <w:rPr>
                <w:sz w:val="18"/>
                <w:szCs w:val="18"/>
                <w:color w:val="auto"/>
              </w:rPr>
            </w:pPr>
          </w:p>
        </w:tc>
        <w:tc>
          <w:tcPr>
            <w:tcW w:w="100" w:type="dxa"/>
            <w:vAlign w:val="bottom"/>
            <w:tcBorders>
              <w:top w:val="single" w:sz="8" w:color="C0FFFF"/>
            </w:tcBorders>
          </w:tcPr>
          <w:p>
            <w:pPr>
              <w:spacing w:after="0"/>
              <w:rPr>
                <w:sz w:val="18"/>
                <w:szCs w:val="18"/>
                <w:color w:val="auto"/>
              </w:rPr>
            </w:pPr>
          </w:p>
        </w:tc>
        <w:tc>
          <w:tcPr>
            <w:tcW w:w="1280" w:type="dxa"/>
            <w:vAlign w:val="bottom"/>
            <w:tcBorders>
              <w:top w:val="single" w:sz="8" w:color="C0FFFF"/>
            </w:tcBorders>
          </w:tcPr>
          <w:p>
            <w:pPr>
              <w:jc w:val="right"/>
              <w:ind w:right="30"/>
              <w:spacing w:after="0"/>
              <w:rPr>
                <w:sz w:val="20"/>
                <w:szCs w:val="20"/>
                <w:color w:val="auto"/>
              </w:rPr>
            </w:pPr>
            <w:r>
              <w:rPr>
                <w:rFonts w:ascii="Arial" w:cs="Arial" w:eastAsia="Arial" w:hAnsi="Arial"/>
                <w:sz w:val="18"/>
                <w:szCs w:val="18"/>
                <w:color w:val="auto"/>
              </w:rPr>
              <w:t>2,716,034</w:t>
            </w:r>
          </w:p>
        </w:tc>
        <w:tc>
          <w:tcPr>
            <w:tcW w:w="1620" w:type="dxa"/>
            <w:vAlign w:val="bottom"/>
            <w:tcBorders>
              <w:top w:val="single" w:sz="8" w:color="C0FFFF"/>
            </w:tcBorders>
            <w:gridSpan w:val="3"/>
          </w:tcPr>
          <w:p>
            <w:pPr>
              <w:jc w:val="right"/>
              <w:ind w:right="220"/>
              <w:spacing w:after="0"/>
              <w:rPr>
                <w:sz w:val="20"/>
                <w:szCs w:val="20"/>
                <w:color w:val="auto"/>
              </w:rPr>
            </w:pPr>
            <w:r>
              <w:rPr>
                <w:rFonts w:ascii="Arial" w:cs="Arial" w:eastAsia="Arial" w:hAnsi="Arial"/>
                <w:sz w:val="18"/>
                <w:szCs w:val="18"/>
                <w:color w:val="auto"/>
              </w:rPr>
              <w:t>710,255</w:t>
            </w:r>
          </w:p>
        </w:tc>
        <w:tc>
          <w:tcPr>
            <w:tcW w:w="1440" w:type="dxa"/>
            <w:vAlign w:val="bottom"/>
            <w:tcBorders>
              <w:top w:val="single" w:sz="8" w:color="C0FFFF"/>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0FFFF"/>
            </w:tcBorders>
            <w:gridSpan w:val="2"/>
          </w:tcPr>
          <w:p>
            <w:pPr>
              <w:jc w:val="right"/>
              <w:ind w:right="100"/>
              <w:spacing w:after="0"/>
              <w:rPr>
                <w:sz w:val="20"/>
                <w:szCs w:val="20"/>
                <w:color w:val="auto"/>
              </w:rPr>
            </w:pPr>
            <w:r>
              <w:rPr>
                <w:rFonts w:ascii="Arial" w:cs="Arial" w:eastAsia="Arial" w:hAnsi="Arial"/>
                <w:sz w:val="18"/>
                <w:szCs w:val="18"/>
                <w:color w:val="auto"/>
              </w:rPr>
              <w:t>3,426,289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0FFFF"/>
          </w:tcPr>
          <w:p>
            <w:pPr>
              <w:spacing w:after="0"/>
              <w:rPr>
                <w:sz w:val="18"/>
                <w:szCs w:val="18"/>
                <w:color w:val="auto"/>
              </w:rPr>
            </w:pPr>
          </w:p>
        </w:tc>
        <w:tc>
          <w:tcPr>
            <w:tcW w:w="1280" w:type="dxa"/>
            <w:vAlign w:val="bottom"/>
            <w:shd w:val="clear" w:color="auto" w:fill="C0FFFF"/>
          </w:tcPr>
          <w:p>
            <w:pPr>
              <w:jc w:val="right"/>
              <w:spacing w:after="0"/>
              <w:rPr>
                <w:sz w:val="20"/>
                <w:szCs w:val="20"/>
                <w:color w:val="auto"/>
              </w:rPr>
            </w:pPr>
            <w:r>
              <w:rPr>
                <w:rFonts w:ascii="Arial" w:cs="Arial" w:eastAsia="Arial" w:hAnsi="Arial"/>
                <w:sz w:val="18"/>
                <w:szCs w:val="18"/>
                <w:color w:val="auto"/>
              </w:rPr>
              <w:t>(8,281,200)</w:t>
            </w:r>
          </w:p>
        </w:tc>
        <w:tc>
          <w:tcPr>
            <w:tcW w:w="1620" w:type="dxa"/>
            <w:vAlign w:val="bottom"/>
            <w:gridSpan w:val="3"/>
            <w:shd w:val="clear" w:color="auto" w:fill="C0FFFF"/>
          </w:tcPr>
          <w:p>
            <w:pPr>
              <w:jc w:val="right"/>
              <w:ind w:right="160"/>
              <w:spacing w:after="0"/>
              <w:rPr>
                <w:sz w:val="20"/>
                <w:szCs w:val="20"/>
                <w:color w:val="auto"/>
              </w:rPr>
            </w:pPr>
            <w:r>
              <w:rPr>
                <w:rFonts w:ascii="Arial" w:cs="Arial" w:eastAsia="Arial" w:hAnsi="Arial"/>
                <w:sz w:val="18"/>
                <w:szCs w:val="18"/>
                <w:color w:val="auto"/>
              </w:rPr>
              <w:t>(744,244)</w:t>
            </w:r>
          </w:p>
        </w:tc>
        <w:tc>
          <w:tcPr>
            <w:tcW w:w="144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(131,736)</w:t>
            </w:r>
          </w:p>
        </w:tc>
        <w:tc>
          <w:tcPr>
            <w:tcW w:w="1360" w:type="dxa"/>
            <w:vAlign w:val="bottom"/>
            <w:gridSpan w:val="2"/>
            <w:shd w:val="clear" w:color="auto" w:fill="C0FFFF"/>
          </w:tcPr>
          <w:p>
            <w:pPr>
              <w:jc w:val="right"/>
              <w:ind w:right="40"/>
              <w:spacing w:after="0"/>
              <w:rPr>
                <w:sz w:val="20"/>
                <w:szCs w:val="20"/>
                <w:color w:val="auto"/>
              </w:rPr>
            </w:pPr>
            <w:r>
              <w:rPr>
                <w:rFonts w:ascii="Arial" w:cs="Arial" w:eastAsia="Arial" w:hAnsi="Arial"/>
                <w:sz w:val="18"/>
                <w:szCs w:val="18"/>
                <w:color w:val="auto"/>
              </w:rPr>
              <w:t>(9,157,180)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00" w:type="dxa"/>
            <w:vAlign w:val="bottom"/>
            <w:tcBorders>
              <w:bottom w:val="single" w:sz="8" w:color="auto"/>
            </w:tcBorders>
            <w:gridSpan w:val="2"/>
            <w:shd w:val="clear" w:color="auto" w:fill="C0FFFF"/>
          </w:tcPr>
          <w:p>
            <w:pPr>
              <w:spacing w:after="0" w:line="176" w:lineRule="exact"/>
              <w:rPr>
                <w:sz w:val="20"/>
                <w:szCs w:val="20"/>
                <w:color w:val="auto"/>
              </w:rPr>
            </w:pPr>
            <w:r>
              <w:rPr>
                <w:rFonts w:ascii="Arial" w:cs="Arial" w:eastAsia="Arial" w:hAnsi="Arial"/>
                <w:sz w:val="18"/>
                <w:szCs w:val="18"/>
                <w:b w:val="1"/>
                <w:bCs w:val="1"/>
                <w:color w:val="auto"/>
                <w:w w:val="88"/>
              </w:rPr>
              <w:t>October 31, 2012</w:t>
            </w:r>
          </w:p>
        </w:tc>
        <w:tc>
          <w:tcPr>
            <w:tcW w:w="4300" w:type="dxa"/>
            <w:vAlign w:val="bottom"/>
            <w:tcBorders>
              <w:bottom w:val="single" w:sz="8" w:color="C0FFFF"/>
            </w:tcBorders>
            <w:gridSpan w:val="5"/>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12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220" w:type="dxa"/>
            <w:vAlign w:val="bottom"/>
            <w:tcBorders>
              <w:bottom w:val="single" w:sz="8" w:color="C0FFFF"/>
            </w:tcBorders>
            <w:shd w:val="clear" w:color="auto" w:fill="C0FFFF"/>
          </w:tcPr>
          <w:p>
            <w:pPr>
              <w:spacing w:after="0"/>
              <w:rPr>
                <w:sz w:val="17"/>
                <w:szCs w:val="17"/>
                <w:color w:val="auto"/>
              </w:rPr>
            </w:pPr>
          </w:p>
        </w:tc>
        <w:tc>
          <w:tcPr>
            <w:tcW w:w="1240" w:type="dxa"/>
            <w:vAlign w:val="bottom"/>
            <w:tcBorders>
              <w:bottom w:val="single" w:sz="8" w:color="C0FFFF"/>
            </w:tcBorders>
            <w:shd w:val="clear" w:color="auto" w:fill="C0FFFF"/>
          </w:tcPr>
          <w:p>
            <w:pPr>
              <w:spacing w:after="0"/>
              <w:rPr>
                <w:sz w:val="17"/>
                <w:szCs w:val="17"/>
                <w:color w:val="auto"/>
              </w:rPr>
            </w:pPr>
          </w:p>
        </w:tc>
        <w:tc>
          <w:tcPr>
            <w:tcW w:w="200" w:type="dxa"/>
            <w:vAlign w:val="bottom"/>
            <w:tcBorders>
              <w:bottom w:val="single" w:sz="8" w:color="C0FFFF"/>
            </w:tcBorders>
            <w:shd w:val="clear" w:color="auto" w:fill="C0FFFF"/>
          </w:tcPr>
          <w:p>
            <w:pPr>
              <w:spacing w:after="0"/>
              <w:rPr>
                <w:sz w:val="17"/>
                <w:szCs w:val="17"/>
                <w:color w:val="auto"/>
              </w:rPr>
            </w:pPr>
          </w:p>
        </w:tc>
        <w:tc>
          <w:tcPr>
            <w:tcW w:w="1260" w:type="dxa"/>
            <w:vAlign w:val="bottom"/>
            <w:tcBorders>
              <w:bottom w:val="single" w:sz="8" w:color="C0FFFF"/>
            </w:tcBorders>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auto"/>
              </w:rPr>
              <w:t>Long-lived assets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761,708</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81,731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2,373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845,812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0FFFF"/>
          </w:tcPr>
          <w:p>
            <w:pPr>
              <w:spacing w:after="0"/>
              <w:rPr>
                <w:sz w:val="18"/>
                <w:szCs w:val="18"/>
                <w:color w:val="auto"/>
              </w:rPr>
            </w:pPr>
          </w:p>
        </w:tc>
        <w:tc>
          <w:tcPr>
            <w:tcW w:w="12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28,081,305</w:t>
            </w:r>
          </w:p>
        </w:tc>
        <w:tc>
          <w:tcPr>
            <w:tcW w:w="1620" w:type="dxa"/>
            <w:vAlign w:val="bottom"/>
            <w:gridSpan w:val="3"/>
            <w:shd w:val="clear" w:color="auto" w:fill="C0FFFF"/>
          </w:tcPr>
          <w:p>
            <w:pPr>
              <w:jc w:val="right"/>
              <w:ind w:right="220"/>
              <w:spacing w:after="0"/>
              <w:rPr>
                <w:sz w:val="20"/>
                <w:szCs w:val="20"/>
                <w:color w:val="auto"/>
              </w:rPr>
            </w:pPr>
            <w:r>
              <w:rPr>
                <w:rFonts w:ascii="Arial" w:cs="Arial" w:eastAsia="Arial" w:hAnsi="Arial"/>
                <w:sz w:val="18"/>
                <w:szCs w:val="18"/>
                <w:color w:val="auto"/>
              </w:rPr>
              <w:t>1,835,265</w:t>
            </w:r>
          </w:p>
        </w:tc>
        <w:tc>
          <w:tcPr>
            <w:tcW w:w="1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400,244</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30,316,814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tcBorders>
              <w:bottom w:val="single" w:sz="8" w:color="auto"/>
            </w:tcBorders>
            <w:shd w:val="clear" w:color="auto" w:fill="C0FFFF"/>
          </w:tcPr>
          <w:p>
            <w:pPr>
              <w:spacing w:after="0" w:line="176" w:lineRule="exact"/>
              <w:rPr>
                <w:sz w:val="20"/>
                <w:szCs w:val="20"/>
                <w:color w:val="auto"/>
              </w:rPr>
            </w:pPr>
            <w:r>
              <w:rPr>
                <w:rFonts w:ascii="Arial" w:cs="Arial" w:eastAsia="Arial" w:hAnsi="Arial"/>
                <w:sz w:val="18"/>
                <w:szCs w:val="18"/>
                <w:b w:val="1"/>
                <w:bCs w:val="1"/>
                <w:color w:val="auto"/>
                <w:w w:val="91"/>
              </w:rPr>
              <w:t>April 30, 2012</w:t>
            </w:r>
          </w:p>
        </w:tc>
        <w:tc>
          <w:tcPr>
            <w:tcW w:w="4520" w:type="dxa"/>
            <w:vAlign w:val="bottom"/>
            <w:tcBorders>
              <w:bottom w:val="single" w:sz="8" w:color="C0FFFF"/>
            </w:tcBorders>
            <w:gridSpan w:val="6"/>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120" w:type="dxa"/>
            <w:vAlign w:val="bottom"/>
            <w:tcBorders>
              <w:bottom w:val="single" w:sz="8" w:color="C0FFFF"/>
            </w:tcBorders>
            <w:shd w:val="clear" w:color="auto" w:fill="C0FFFF"/>
          </w:tcPr>
          <w:p>
            <w:pPr>
              <w:spacing w:after="0"/>
              <w:rPr>
                <w:sz w:val="17"/>
                <w:szCs w:val="17"/>
                <w:color w:val="auto"/>
              </w:rPr>
            </w:pPr>
          </w:p>
        </w:tc>
        <w:tc>
          <w:tcPr>
            <w:tcW w:w="1280" w:type="dxa"/>
            <w:vAlign w:val="bottom"/>
            <w:tcBorders>
              <w:bottom w:val="single" w:sz="8" w:color="C0FFFF"/>
            </w:tcBorders>
            <w:shd w:val="clear" w:color="auto" w:fill="C0FFFF"/>
          </w:tcPr>
          <w:p>
            <w:pPr>
              <w:spacing w:after="0"/>
              <w:rPr>
                <w:sz w:val="17"/>
                <w:szCs w:val="17"/>
                <w:color w:val="auto"/>
              </w:rPr>
            </w:pPr>
          </w:p>
        </w:tc>
        <w:tc>
          <w:tcPr>
            <w:tcW w:w="220" w:type="dxa"/>
            <w:vAlign w:val="bottom"/>
            <w:tcBorders>
              <w:bottom w:val="single" w:sz="8" w:color="C0FFFF"/>
            </w:tcBorders>
            <w:shd w:val="clear" w:color="auto" w:fill="C0FFFF"/>
          </w:tcPr>
          <w:p>
            <w:pPr>
              <w:spacing w:after="0"/>
              <w:rPr>
                <w:sz w:val="17"/>
                <w:szCs w:val="17"/>
                <w:color w:val="auto"/>
              </w:rPr>
            </w:pPr>
          </w:p>
        </w:tc>
        <w:tc>
          <w:tcPr>
            <w:tcW w:w="1240" w:type="dxa"/>
            <w:vAlign w:val="bottom"/>
            <w:tcBorders>
              <w:bottom w:val="single" w:sz="8" w:color="C0FFFF"/>
            </w:tcBorders>
            <w:shd w:val="clear" w:color="auto" w:fill="C0FFFF"/>
          </w:tcPr>
          <w:p>
            <w:pPr>
              <w:spacing w:after="0"/>
              <w:rPr>
                <w:sz w:val="17"/>
                <w:szCs w:val="17"/>
                <w:color w:val="auto"/>
              </w:rPr>
            </w:pPr>
          </w:p>
        </w:tc>
        <w:tc>
          <w:tcPr>
            <w:tcW w:w="200" w:type="dxa"/>
            <w:vAlign w:val="bottom"/>
            <w:tcBorders>
              <w:bottom w:val="single" w:sz="8" w:color="C0FFFF"/>
            </w:tcBorders>
            <w:shd w:val="clear" w:color="auto" w:fill="C0FFFF"/>
          </w:tcPr>
          <w:p>
            <w:pPr>
              <w:spacing w:after="0"/>
              <w:rPr>
                <w:sz w:val="17"/>
                <w:szCs w:val="17"/>
                <w:color w:val="auto"/>
              </w:rPr>
            </w:pPr>
          </w:p>
        </w:tc>
        <w:tc>
          <w:tcPr>
            <w:tcW w:w="1260" w:type="dxa"/>
            <w:vAlign w:val="bottom"/>
            <w:tcBorders>
              <w:bottom w:val="single" w:sz="8" w:color="C0FFFF"/>
            </w:tcBorders>
            <w:shd w:val="clear" w:color="auto" w:fill="C0FFFF"/>
          </w:tcPr>
          <w:p>
            <w:pPr>
              <w:spacing w:after="0"/>
              <w:rPr>
                <w:sz w:val="17"/>
                <w:szCs w:val="17"/>
                <w:color w:val="auto"/>
              </w:rPr>
            </w:pPr>
          </w:p>
        </w:tc>
        <w:tc>
          <w:tcPr>
            <w:tcW w:w="100" w:type="dxa"/>
            <w:vAlign w:val="bottom"/>
            <w:tcBorders>
              <w:bottom w:val="single" w:sz="8" w:color="C0FFFF"/>
            </w:tcBorders>
            <w:shd w:val="clear" w:color="auto" w:fill="C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tcPr>
          <w:p>
            <w:pPr>
              <w:spacing w:after="0"/>
              <w:rPr>
                <w:sz w:val="20"/>
                <w:szCs w:val="20"/>
                <w:color w:val="auto"/>
              </w:rPr>
            </w:pPr>
            <w:r>
              <w:rPr>
                <w:rFonts w:ascii="Arial" w:cs="Arial" w:eastAsia="Arial" w:hAnsi="Arial"/>
                <w:sz w:val="18"/>
                <w:szCs w:val="18"/>
                <w:color w:val="auto"/>
              </w:rPr>
              <w:t>Long-lived assets</w:t>
            </w:r>
          </w:p>
        </w:tc>
        <w:tc>
          <w:tcPr>
            <w:tcW w:w="1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585,818</w:t>
            </w: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97,115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682,933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7"/>
            <w:shd w:val="clear" w:color="auto" w:fill="C0FF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0FFFF"/>
          </w:tcPr>
          <w:p>
            <w:pPr>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0FFFF"/>
          </w:tcPr>
          <w:p>
            <w:pPr>
              <w:jc w:val="right"/>
              <w:ind w:right="30"/>
              <w:spacing w:after="0"/>
              <w:rPr>
                <w:sz w:val="20"/>
                <w:szCs w:val="20"/>
                <w:color w:val="auto"/>
              </w:rPr>
            </w:pPr>
            <w:r>
              <w:rPr>
                <w:rFonts w:ascii="Arial" w:cs="Arial" w:eastAsia="Arial" w:hAnsi="Arial"/>
                <w:sz w:val="18"/>
                <w:szCs w:val="18"/>
                <w:color w:val="auto"/>
              </w:rPr>
              <w:t>35,181,637</w:t>
            </w:r>
          </w:p>
        </w:tc>
        <w:tc>
          <w:tcPr>
            <w:tcW w:w="1620" w:type="dxa"/>
            <w:vAlign w:val="bottom"/>
            <w:gridSpan w:val="3"/>
            <w:shd w:val="clear" w:color="auto" w:fill="C0FFFF"/>
          </w:tcPr>
          <w:p>
            <w:pPr>
              <w:jc w:val="right"/>
              <w:ind w:right="220"/>
              <w:spacing w:after="0"/>
              <w:rPr>
                <w:sz w:val="20"/>
                <w:szCs w:val="20"/>
                <w:color w:val="auto"/>
              </w:rPr>
            </w:pPr>
            <w:r>
              <w:rPr>
                <w:rFonts w:ascii="Arial" w:cs="Arial" w:eastAsia="Arial" w:hAnsi="Arial"/>
                <w:sz w:val="18"/>
                <w:szCs w:val="18"/>
                <w:color w:val="auto"/>
              </w:rPr>
              <w:t>1,619,973</w:t>
            </w:r>
          </w:p>
        </w:tc>
        <w:tc>
          <w:tcPr>
            <w:tcW w:w="144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640,027</w:t>
            </w:r>
          </w:p>
        </w:tc>
        <w:tc>
          <w:tcPr>
            <w:tcW w:w="13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37,441,637</w:t>
            </w: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6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spacing w:after="0"/>
        <w:tabs>
          <w:tab w:leader="none" w:pos="112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8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2012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2012 refers to the year ended April 30,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35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two PowerBuoy products, which consist of our utility PowerBuoy system and our autonomous PowerBuoy system. We also offer our customers operations and maintenance services for our PowerBuoy systems. In addition, we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over time, is to generate revenues from utilities and other non-government commercial customers and to have such revenues represent a greater portion of our total revenues. In addition,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tsunami warning, oceanographic data collection, offshore platforms and offshore aquaculture.</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New Jersey in April 1984, began business operations in 1994, and were re-incorporated in Delaware in 2007. We currently have three wholly-owned subsidiaries, Ocean Power Technologies Ltd., Reedsport OPT Wave Park LLC, and Oregon Wave Energy Partners I, LLC, and we own approximately 88% of the ordinary shares of Ocean Power Technologies (Australasia) Pty Ltd (OPTA). In March 2012, OPTA acquired 100% ownership of Victorian Wave Partners Pty Ltd.</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or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incorporating a unique power take-off and on-board storage system,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150kW PowerBuoy were conducted. These ocean trials were conducted at a site approximately 33 nautical miles from Invergordon, off Scotland’s northeast coast. During the ocean trials, our 150kW-rated PowerBuoy produced power in excess of our expectations of performance. Our utility scale PB150 structure and mooring system achieved independent certification from Lloyd’s Register. This certification from Lloyd’s Register confirms that the PB150 design complies with the requirements of Lloyd’s 1999 Rules and Regulations for the Classification of Floating Offshore Installations at Fixed Locations.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9" w:name="page20"/>
    <w:bookmarkEnd w:id="19"/>
    <w:p>
      <w:pPr>
        <w:ind w:right="60"/>
        <w:spacing w:after="0" w:line="259" w:lineRule="auto"/>
        <w:rPr>
          <w:sz w:val="20"/>
          <w:szCs w:val="20"/>
          <w:color w:val="auto"/>
        </w:rPr>
      </w:pPr>
      <w:r>
        <w:rPr>
          <w:rFonts w:ascii="Arial" w:cs="Arial" w:eastAsia="Arial" w:hAnsi="Arial"/>
          <w:sz w:val="18"/>
          <w:szCs w:val="18"/>
          <w:color w:val="auto"/>
        </w:rPr>
        <w:t>During the three months ended October 31, 2012, we received new orders from Mitsui Engineering &amp; Shipbuilding, for further work towards development of our PowerBuoy technology for application in Japanese sea conditions, and from the US Department of Homeland Security, to perform a new round of in-ocean tests on our autonomous PowerBuoy to further demonstrate its use for ocean surveillance. We continue to work on developing our PB500 PowerBuoy and plan to deploy a 150kW PowerBuoy off the coast of Reedsport, Oregon during calendar 2013.</w:t>
      </w:r>
    </w:p>
    <w:p>
      <w:pPr>
        <w:spacing w:after="0" w:line="241"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efforts continued in connection with the planned 19MW wave power project off the coast of Victoria, Australia. Funding for this project includes a grant of A$66.5 million (approximately US $70 million) awarded by the Commonwealth of Australia. The grant is subject to certain terms, including funding milestones, which require significant additional funding to enable the receipt of the grant funds and the completion of the project. In November 2012, we engaged a financial advisor to lead efforts to structure and secure appropriate financing for this project. The Board of Directors of the Commonwealth’s agency managing the grant, the Australian Renewable Energy Agency, is scheduled to review the status of this project during December 2012.</w:t>
      </w:r>
    </w:p>
    <w:p>
      <w:pPr>
        <w:spacing w:after="0" w:line="2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At October 31, 2012, our total negotiated backlog was $5.2 million compared with $8.8 million at October 31, 2011. We anticipate that a majority of our backlog will be recognized as revenue over the next 12 months. Most of our backlog at October 31, 2012 and 2011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Funded backlog was $5.2 million and $6.8 million at October 31, 2012 and 2011, respectively.</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the three months ended October 31, 2012, we generated revenues of $1.4 million and incurred a net loss attributable to Ocean Power Technologies, Inc. of $4.8 million, compared to revenues of $1.5 million and a net loss attributable to Ocean Power Technologies, Inc. of $3.9 million for the three months ended October 31, 2011. For the six months ended October 31, 2012, we generated revenues of $2.3 million and incurred a net loss attributable to Ocean Power Technologies, Inc. of $9.1 million, compared to revenues of $3.4 million and a net loss attributable to Ocean Power Technologies, Inc. of $8.9 million for the six months ended October 31, 2011. As of October 31, 2012, our accumulated deficit was $135.1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23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recent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the recent global economic uncertainty will have a material negative impact on our sources of supply, as our products incorporate what are substantially non-custom, standard parts found in many regions of the world.</w:t>
      </w:r>
    </w:p>
    <w:p>
      <w:pPr>
        <w:spacing w:after="0" w:line="23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 to the International Energy Agency, $3.4 trillion is expected to be spent for new renewable energy generation equipment in the period from 2007 to 2030. This equates to annual global expenditures of approximately $150 billion. We plan to take advantage of these global drivers of demand for renewable energy as we continue to refine and expand our proprietary technology.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21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and six months ended October 31, 2012 and 2011 was from cost-sharing contracts.</w:t>
      </w:r>
    </w:p>
    <w:p>
      <w:pPr>
        <w:spacing w:after="0" w:line="22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6"/>
          </w:tcPr>
          <w:p>
            <w:pPr>
              <w:spacing w:after="0"/>
              <w:rPr>
                <w:sz w:val="20"/>
                <w:szCs w:val="20"/>
                <w:color w:val="auto"/>
              </w:rPr>
            </w:pPr>
            <w:r>
              <w:rPr>
                <w:rFonts w:ascii="Arial" w:cs="Arial" w:eastAsia="Arial" w:hAnsi="Arial"/>
                <w:sz w:val="18"/>
                <w:szCs w:val="18"/>
                <w:b w:val="1"/>
                <w:bCs w:val="1"/>
                <w:color w:val="auto"/>
                <w:w w:val="97"/>
              </w:rPr>
              <w:t>Three months ended October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8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Customer</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31,</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7"/>
          </w:tcPr>
          <w:p>
            <w:pPr>
              <w:ind w:left="40"/>
              <w:spacing w:after="0"/>
              <w:rPr>
                <w:sz w:val="20"/>
                <w:szCs w:val="20"/>
                <w:color w:val="auto"/>
              </w:rPr>
            </w:pPr>
            <w:r>
              <w:rPr>
                <w:rFonts w:ascii="Arial" w:cs="Arial" w:eastAsia="Arial" w:hAnsi="Arial"/>
                <w:sz w:val="18"/>
                <w:szCs w:val="18"/>
                <w:b w:val="1"/>
                <w:bCs w:val="1"/>
                <w:color w:val="auto"/>
                <w:w w:val="92"/>
              </w:rPr>
              <w:t>Six months ended October 31,</w:t>
            </w:r>
          </w:p>
        </w:tc>
        <w:tc>
          <w:tcPr>
            <w:tcW w:w="1140" w:type="dxa"/>
            <w:vAlign w:val="bottom"/>
          </w:tcPr>
          <w:p>
            <w:pPr>
              <w:spacing w:after="0"/>
              <w:rPr>
                <w:sz w:val="20"/>
                <w:szCs w:val="20"/>
                <w:color w:val="auto"/>
              </w:rPr>
            </w:pPr>
          </w:p>
        </w:tc>
      </w:tr>
      <w:tr>
        <w:trPr>
          <w:trHeight w:val="223"/>
        </w:trPr>
        <w:tc>
          <w:tcPr>
            <w:tcW w:w="1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millions)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US Department of Energy</w:t>
            </w:r>
          </w:p>
        </w:tc>
        <w:tc>
          <w:tcPr>
            <w:tcW w:w="20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0.7</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0.3</w:t>
            </w:r>
          </w:p>
        </w:tc>
        <w:tc>
          <w:tcPr>
            <w:tcW w:w="34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0.8</w:t>
            </w: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Mitsui Engineering &amp; Shipbuilding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European Union (WavePort project)</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0.2</w:t>
            </w: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US Navy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shd w:val="clear" w:color="auto" w:fill="C0FFFF"/>
          </w:tcPr>
          <w:p>
            <w:pPr>
              <w:spacing w:after="0"/>
              <w:rPr>
                <w:sz w:val="20"/>
                <w:szCs w:val="20"/>
                <w:color w:val="auto"/>
              </w:rPr>
            </w:pPr>
            <w:r>
              <w:rPr>
                <w:rFonts w:ascii="Arial" w:cs="Arial" w:eastAsia="Arial" w:hAnsi="Arial"/>
                <w:sz w:val="18"/>
                <w:szCs w:val="18"/>
                <w:color w:val="auto"/>
              </w:rPr>
              <w:t>UK Government's Technology Strategy Board</w:t>
            </w:r>
          </w:p>
        </w:tc>
        <w:tc>
          <w:tcPr>
            <w:tcW w:w="100" w:type="dxa"/>
            <w:vAlign w:val="bottom"/>
            <w:shd w:val="clear" w:color="auto" w:fill="C0FFFF"/>
          </w:tcPr>
          <w:p>
            <w:pPr>
              <w:spacing w:after="0"/>
              <w:rPr>
                <w:sz w:val="18"/>
                <w:szCs w:val="18"/>
                <w:color w:val="auto"/>
              </w:rPr>
            </w:pPr>
          </w:p>
        </w:tc>
        <w:tc>
          <w:tcPr>
            <w:tcW w:w="100" w:type="dxa"/>
            <w:vAlign w:val="bottom"/>
            <w:shd w:val="clear" w:color="auto" w:fill="C0FFFF"/>
          </w:tcPr>
          <w:p>
            <w:pPr>
              <w:spacing w:after="0"/>
              <w:rPr>
                <w:sz w:val="18"/>
                <w:szCs w:val="18"/>
                <w:color w:val="auto"/>
              </w:rPr>
            </w:pP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FFFF"/>
          </w:tcPr>
          <w:p>
            <w:pPr>
              <w:spacing w:after="0"/>
              <w:rPr>
                <w:sz w:val="18"/>
                <w:szCs w:val="18"/>
                <w:color w:val="auto"/>
              </w:rPr>
            </w:pPr>
          </w:p>
        </w:tc>
        <w:tc>
          <w:tcPr>
            <w:tcW w:w="240" w:type="dxa"/>
            <w:vAlign w:val="bottom"/>
            <w:shd w:val="clear" w:color="auto" w:fill="C0FFFF"/>
          </w:tcPr>
          <w:p>
            <w:pPr>
              <w:spacing w:after="0"/>
              <w:rPr>
                <w:sz w:val="18"/>
                <w:szCs w:val="18"/>
                <w:color w:val="auto"/>
              </w:rPr>
            </w:pP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0FFFF"/>
          </w:tcPr>
          <w:p>
            <w:pPr>
              <w:spacing w:after="0"/>
              <w:rPr>
                <w:sz w:val="18"/>
                <w:szCs w:val="18"/>
                <w:color w:val="auto"/>
              </w:rPr>
            </w:pPr>
          </w:p>
        </w:tc>
        <w:tc>
          <w:tcPr>
            <w:tcW w:w="220" w:type="dxa"/>
            <w:vAlign w:val="bottom"/>
            <w:shd w:val="clear" w:color="auto" w:fill="C0FFFF"/>
          </w:tcPr>
          <w:p>
            <w:pPr>
              <w:spacing w:after="0"/>
              <w:rPr>
                <w:sz w:val="18"/>
                <w:szCs w:val="18"/>
                <w:color w:val="auto"/>
              </w:rPr>
            </w:pP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0.7</w:t>
            </w:r>
          </w:p>
        </w:tc>
        <w:tc>
          <w:tcPr>
            <w:tcW w:w="114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140" w:type="dxa"/>
            <w:vAlign w:val="bottom"/>
          </w:tcPr>
          <w:p>
            <w:pPr>
              <w:spacing w:after="0"/>
              <w:rPr>
                <w:sz w:val="18"/>
                <w:szCs w:val="18"/>
                <w:color w:val="auto"/>
              </w:rPr>
            </w:pPr>
          </w:p>
        </w:tc>
      </w:tr>
      <w:tr>
        <w:trPr>
          <w:trHeight w:val="27"/>
        </w:trPr>
        <w:tc>
          <w:tcPr>
            <w:tcW w:w="18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180" w:type="dxa"/>
            <w:vAlign w:val="bottom"/>
          </w:tcPr>
          <w:p>
            <w:pPr>
              <w:spacing w:after="0"/>
              <w:rPr>
                <w:sz w:val="22"/>
                <w:szCs w:val="22"/>
                <w:color w:val="auto"/>
              </w:rPr>
            </w:pPr>
          </w:p>
        </w:tc>
        <w:tc>
          <w:tcPr>
            <w:tcW w:w="4860" w:type="dxa"/>
            <w:vAlign w:val="bottom"/>
            <w:shd w:val="clear" w:color="auto" w:fill="C0FFFF"/>
          </w:tcPr>
          <w:p>
            <w:pPr>
              <w:spacing w:after="0"/>
              <w:rPr>
                <w:sz w:val="22"/>
                <w:szCs w:val="22"/>
                <w:color w:val="auto"/>
              </w:rPr>
            </w:pPr>
          </w:p>
        </w:tc>
        <w:tc>
          <w:tcPr>
            <w:tcW w:w="100" w:type="dxa"/>
            <w:vAlign w:val="bottom"/>
            <w:shd w:val="clear" w:color="auto" w:fill="C0FFFF"/>
          </w:tcPr>
          <w:p>
            <w:pPr>
              <w:spacing w:after="0"/>
              <w:rPr>
                <w:sz w:val="22"/>
                <w:szCs w:val="22"/>
                <w:color w:val="auto"/>
              </w:rPr>
            </w:pPr>
          </w:p>
        </w:tc>
        <w:tc>
          <w:tcPr>
            <w:tcW w:w="10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1.4</w:t>
            </w:r>
          </w:p>
        </w:tc>
        <w:tc>
          <w:tcPr>
            <w:tcW w:w="3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1.5</w:t>
            </w:r>
          </w:p>
        </w:tc>
        <w:tc>
          <w:tcPr>
            <w:tcW w:w="340" w:type="dxa"/>
            <w:vAlign w:val="bottom"/>
            <w:gridSpan w:val="2"/>
            <w:shd w:val="clear" w:color="auto" w:fill="C0FF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2.3</w:t>
            </w:r>
          </w:p>
        </w:tc>
        <w:tc>
          <w:tcPr>
            <w:tcW w:w="320" w:type="dxa"/>
            <w:vAlign w:val="bottom"/>
            <w:gridSpan w:val="2"/>
            <w:shd w:val="clear" w:color="auto" w:fill="C0FF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3.4</w:t>
            </w:r>
          </w:p>
        </w:tc>
        <w:tc>
          <w:tcPr>
            <w:tcW w:w="1140" w:type="dxa"/>
            <w:vAlign w:val="bottom"/>
          </w:tcPr>
          <w:p>
            <w:pPr>
              <w:spacing w:after="0"/>
              <w:rPr>
                <w:sz w:val="22"/>
                <w:szCs w:val="22"/>
                <w:color w:val="auto"/>
              </w:rPr>
            </w:pPr>
          </w:p>
        </w:tc>
      </w:tr>
      <w:tr>
        <w:trPr>
          <w:trHeight w:val="655"/>
        </w:trPr>
        <w:tc>
          <w:tcPr>
            <w:tcW w:w="180" w:type="dxa"/>
            <w:vAlign w:val="bottom"/>
          </w:tcPr>
          <w:p>
            <w:pPr>
              <w:spacing w:after="0"/>
              <w:rPr>
                <w:sz w:val="24"/>
                <w:szCs w:val="24"/>
                <w:color w:val="auto"/>
              </w:rPr>
            </w:pPr>
          </w:p>
        </w:tc>
        <w:tc>
          <w:tcPr>
            <w:tcW w:w="486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2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100" w:type="dxa"/>
            <w:vAlign w:val="bottom"/>
            <w:tcBorders>
              <w:top w:val="single" w:sz="8" w:color="C0FF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Borders>
              <w:top w:val="single" w:sz="8" w:color="C0FFFF"/>
            </w:tcBorders>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180" w:type="dxa"/>
            <w:vAlign w:val="bottom"/>
            <w:tcBorders>
              <w:bottom w:val="single" w:sz="8" w:color="808080"/>
            </w:tcBorders>
          </w:tcPr>
          <w:p>
            <w:pPr>
              <w:spacing w:after="0"/>
              <w:rPr>
                <w:sz w:val="10"/>
                <w:szCs w:val="10"/>
                <w:color w:val="auto"/>
              </w:rPr>
            </w:pPr>
          </w:p>
        </w:tc>
        <w:tc>
          <w:tcPr>
            <w:tcW w:w="4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ind w:right="460"/>
        <w:spacing w:after="0" w:line="342" w:lineRule="auto"/>
        <w:rPr>
          <w:sz w:val="20"/>
          <w:szCs w:val="20"/>
          <w:color w:val="auto"/>
        </w:rPr>
      </w:pPr>
      <w:r>
        <w:rPr>
          <w:rFonts w:ascii="Arial" w:cs="Arial" w:eastAsia="Arial" w:hAnsi="Arial"/>
          <w:sz w:val="16"/>
          <w:szCs w:val="16"/>
          <w:color w:val="auto"/>
        </w:rPr>
        <w:t>We currently focus our sales and marketing efforts on North America, the west coast of Europe, Australia and Japan. The following table provides information regarding the breakdown of our revenues by geographical location of our customers for the six months ended October 31, 2012 and 2011:</w:t>
      </w:r>
    </w:p>
    <w:p>
      <w:pPr>
        <w:spacing w:after="0" w:line="174" w:lineRule="exact"/>
        <w:rPr>
          <w:sz w:val="20"/>
          <w:szCs w:val="20"/>
          <w:color w:val="auto"/>
        </w:rPr>
      </w:pPr>
    </w:p>
    <w:tbl>
      <w:tblPr>
        <w:tblLayout w:type="fixed"/>
        <w:tblInd w:w="180" w:type="dxa"/>
        <w:tblCellMar>
          <w:top w:w="0" w:type="dxa"/>
          <w:left w:w="0" w:type="dxa"/>
          <w:bottom w:w="0" w:type="dxa"/>
          <w:right w:w="0" w:type="dxa"/>
        </w:tblCellMar>
      </w:tblPr>
      <w:tr>
        <w:trPr>
          <w:trHeight w:val="241"/>
        </w:trPr>
        <w:tc>
          <w:tcPr>
            <w:tcW w:w="5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20" w:type="dxa"/>
            <w:vAlign w:val="bottom"/>
            <w:gridSpan w:val="4"/>
          </w:tcPr>
          <w:p>
            <w:pPr>
              <w:jc w:val="right"/>
              <w:ind w:right="640"/>
              <w:spacing w:after="0"/>
              <w:rPr>
                <w:sz w:val="20"/>
                <w:szCs w:val="20"/>
                <w:color w:val="auto"/>
              </w:rPr>
            </w:pPr>
            <w:r>
              <w:rPr>
                <w:rFonts w:ascii="Arial" w:cs="Arial" w:eastAsia="Arial" w:hAnsi="Arial"/>
                <w:sz w:val="18"/>
                <w:szCs w:val="18"/>
                <w:b w:val="1"/>
                <w:bCs w:val="1"/>
                <w:color w:val="auto"/>
              </w:rPr>
              <w:t>Six months ended October 31,</w:t>
            </w:r>
          </w:p>
        </w:tc>
      </w:tr>
      <w:tr>
        <w:trPr>
          <w:trHeight w:val="223"/>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Customer Location</w:t>
            </w:r>
          </w:p>
        </w:tc>
        <w:tc>
          <w:tcPr>
            <w:tcW w:w="150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2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9"/>
                <w:szCs w:val="19"/>
                <w:color w:val="auto"/>
              </w:rPr>
            </w:pPr>
          </w:p>
        </w:tc>
      </w:tr>
      <w:tr>
        <w:trPr>
          <w:trHeight w:val="216"/>
        </w:trPr>
        <w:tc>
          <w:tcPr>
            <w:tcW w:w="5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United States</w:t>
            </w:r>
          </w:p>
        </w:tc>
        <w:tc>
          <w:tcPr>
            <w:tcW w:w="17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63%</w:t>
            </w:r>
          </w:p>
        </w:tc>
        <w:tc>
          <w:tcPr>
            <w:tcW w:w="168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55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5560" w:type="dxa"/>
            <w:vAlign w:val="bottom"/>
            <w:gridSpan w:val="2"/>
            <w:shd w:val="clear" w:color="auto" w:fill="C0FFFF"/>
          </w:tcPr>
          <w:p>
            <w:pPr>
              <w:spacing w:after="0"/>
              <w:rPr>
                <w:sz w:val="20"/>
                <w:szCs w:val="20"/>
                <w:color w:val="auto"/>
              </w:rPr>
            </w:pPr>
            <w:r>
              <w:rPr>
                <w:rFonts w:ascii="Arial" w:cs="Arial" w:eastAsia="Arial" w:hAnsi="Arial"/>
                <w:sz w:val="18"/>
                <w:szCs w:val="18"/>
                <w:color w:val="auto"/>
              </w:rPr>
              <w:t>Asia and Australia</w:t>
            </w:r>
          </w:p>
        </w:tc>
        <w:tc>
          <w:tcPr>
            <w:tcW w:w="174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20%</w:t>
            </w:r>
          </w:p>
        </w:tc>
        <w:tc>
          <w:tcPr>
            <w:tcW w:w="16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shd w:val="clear" w:color="auto" w:fill="C0FFFF"/>
          </w:tcPr>
          <w:p>
            <w:pPr>
              <w:spacing w:after="0"/>
              <w:rPr>
                <w:sz w:val="2"/>
                <w:szCs w:val="2"/>
                <w:color w:val="auto"/>
              </w:rPr>
            </w:pPr>
          </w:p>
        </w:tc>
        <w:tc>
          <w:tcPr>
            <w:tcW w:w="80" w:type="dxa"/>
            <w:vAlign w:val="bottom"/>
            <w:shd w:val="clear" w:color="auto" w:fill="C0FFFF"/>
          </w:tcPr>
          <w:p>
            <w:pPr>
              <w:spacing w:after="0"/>
              <w:rPr>
                <w:sz w:val="2"/>
                <w:szCs w:val="2"/>
                <w:color w:val="auto"/>
              </w:rPr>
            </w:pPr>
          </w:p>
        </w:tc>
        <w:tc>
          <w:tcPr>
            <w:tcW w:w="1500" w:type="dxa"/>
            <w:vAlign w:val="bottom"/>
            <w:shd w:val="clear" w:color="auto" w:fill="000000"/>
          </w:tcPr>
          <w:p>
            <w:pPr>
              <w:spacing w:after="0"/>
              <w:rPr>
                <w:sz w:val="2"/>
                <w:szCs w:val="2"/>
                <w:color w:val="auto"/>
              </w:rPr>
            </w:pPr>
          </w:p>
        </w:tc>
        <w:tc>
          <w:tcPr>
            <w:tcW w:w="240" w:type="dxa"/>
            <w:vAlign w:val="bottom"/>
            <w:shd w:val="clear" w:color="auto" w:fill="C0FFFF"/>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60" w:type="dxa"/>
            <w:vAlign w:val="bottom"/>
            <w:shd w:val="clear" w:color="auto" w:fill="C0FFFF"/>
          </w:tcPr>
          <w:p>
            <w:pPr>
              <w:spacing w:after="0"/>
              <w:rPr>
                <w:sz w:val="2"/>
                <w:szCs w:val="2"/>
                <w:color w:val="auto"/>
              </w:rPr>
            </w:pPr>
          </w:p>
        </w:tc>
      </w:tr>
      <w:tr>
        <w:trPr>
          <w:trHeight w:val="216"/>
        </w:trPr>
        <w:tc>
          <w:tcPr>
            <w:tcW w:w="5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output and reliability of our utility PowerBuoy system, including the 150kW PowerBuoy system, and to our research and development of new products, product applications and complementary technologies. We expense all of our product development costs as incurred.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$26.4 million as of October 31, 2012, compared to $39.9 million as of October 31, 2011. Interest income in the six months ended October 31, 2012 decreased compared to the six months ended October 31, 2011 due to a decline in interest rates and a decline in cash, cash equivalents and marketable securities.</w:t>
      </w:r>
    </w:p>
    <w:p>
      <w:pPr>
        <w:spacing w:after="0" w:line="24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anticipate that our interest income reported in fiscal 2013 will continue to be lower than the comparable periods of the prior fiscal year as a result of the decrease in invested cash.</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Foreign exchange gain (loss)</w:t>
      </w:r>
    </w:p>
    <w:p>
      <w:pPr>
        <w:spacing w:after="0" w:line="27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22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$3.6 million as of October 31, 2012 and $4.1 million as of October 31, 2011, compared to our total cash, cash equivalents, restricted cash, and marketable securities balances of $26.4 million as of October 31, 2012 and $39.9 million as of October 31, 2011. These foreign currency balances are translated at each month end to our functional currency, the US dollar, and any resulting gain or loss is recognized in our results of operations.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six months ended October 31, 2012 and 2011 were recorded in Euros, British pounds sterling, Australian dollars or Japanese yen.</w:t>
      </w:r>
    </w:p>
    <w:p>
      <w:pPr>
        <w:spacing w:after="0" w:line="21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2012 Compared to Three Months Ended October 31, 2011</w:t>
      </w:r>
    </w:p>
    <w:p>
      <w:pPr>
        <w:spacing w:after="0" w:line="2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266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Three Months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October 31, 2012</w:t>
            </w:r>
          </w:p>
        </w:tc>
        <w:tc>
          <w:tcPr>
            <w:tcW w:w="160" w:type="dxa"/>
            <w:vAlign w:val="bottom"/>
          </w:tcPr>
          <w:p>
            <w:pPr>
              <w:spacing w:after="0"/>
              <w:rPr>
                <w:sz w:val="20"/>
                <w:szCs w:val="20"/>
                <w:color w:val="auto"/>
              </w:rPr>
            </w:pPr>
          </w:p>
        </w:tc>
        <w:tc>
          <w:tcPr>
            <w:tcW w:w="26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October 31, 2011</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2012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a %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Revenues  (1)</w:t>
            </w: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Revenues</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2011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1,360,299</w:t>
            </w:r>
          </w:p>
        </w:tc>
        <w:tc>
          <w:tcPr>
            <w:tcW w:w="14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1,515,437</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1,246,277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1,483,590</w:t>
            </w:r>
          </w:p>
        </w:tc>
        <w:tc>
          <w:tcPr>
            <w:tcW w:w="2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114,022</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0FFFF"/>
          </w:tcPr>
          <w:p>
            <w:pPr>
              <w:spacing w:after="0"/>
              <w:rPr>
                <w:sz w:val="19"/>
                <w:szCs w:val="19"/>
                <w:color w:val="auto"/>
              </w:rPr>
            </w:pP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31,847</w:t>
            </w: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C0FFFF"/>
            </w:tcBorders>
          </w:tcPr>
          <w:p>
            <w:pPr>
              <w:spacing w:after="0"/>
              <w:rPr>
                <w:sz w:val="18"/>
                <w:szCs w:val="18"/>
                <w:color w:val="auto"/>
              </w:rPr>
            </w:pPr>
          </w:p>
        </w:tc>
        <w:tc>
          <w:tcPr>
            <w:tcW w:w="110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2,937,567</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2,062,540</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136</w:t>
            </w:r>
          </w:p>
        </w:tc>
        <w:tc>
          <w:tcPr>
            <w:tcW w:w="13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2,104,628</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2,015,108</w:t>
            </w:r>
          </w:p>
        </w:tc>
        <w:tc>
          <w:tcPr>
            <w:tcW w:w="2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5,042,195</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371</w:t>
            </w: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4,077,648</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269</w:t>
            </w:r>
          </w:p>
        </w:tc>
        <w:tc>
          <w:tcPr>
            <w:tcW w:w="13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110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(4,928,173)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(362)</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(4,045,801)</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34,888</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125,602</w:t>
            </w: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8</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Foreign exchange gain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102,741</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29,334</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(4,790,544)</w:t>
            </w:r>
          </w:p>
        </w:tc>
        <w:tc>
          <w:tcPr>
            <w:tcW w:w="14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(3,890,865)</w:t>
            </w:r>
          </w:p>
        </w:tc>
        <w:tc>
          <w:tcPr>
            <w:tcW w:w="14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(257)</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ind w:left="160"/>
              <w:spacing w:after="0" w:line="201" w:lineRule="exact"/>
              <w:rPr>
                <w:sz w:val="20"/>
                <w:szCs w:val="20"/>
                <w:color w:val="auto"/>
              </w:rPr>
            </w:pPr>
            <w:r>
              <w:rPr>
                <w:rFonts w:ascii="Arial" w:cs="Arial" w:eastAsia="Arial" w:hAnsi="Arial"/>
                <w:sz w:val="18"/>
                <w:szCs w:val="18"/>
                <w:color w:val="auto"/>
                <w:w w:val="93"/>
              </w:rPr>
              <w:t>Less: Net loss attributable to the noncontrolling interest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w w:val="96"/>
              </w:rPr>
              <w:t>in Ocean Power Technologies (Australasia) Pty Ltd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39,004</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8,508</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w w:val="96"/>
              </w:rPr>
              <w:t>Net loss attributable to Ocean Power Technologies, Inc</w:t>
            </w:r>
          </w:p>
        </w:tc>
        <w:tc>
          <w:tcPr>
            <w:tcW w:w="120" w:type="dxa"/>
            <w:vAlign w:val="bottom"/>
            <w:shd w:val="clear" w:color="auto" w:fill="C0FFFF"/>
          </w:tcPr>
          <w:p>
            <w:pPr>
              <w:spacing w:after="0"/>
              <w:rPr>
                <w:sz w:val="20"/>
                <w:szCs w:val="20"/>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(4,751,540)</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(349) %</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(3,882,357)</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(256) %</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Revenues decreased by $0.1 million, or 10%, to $1.4 million in the three months ended October 31, 2012, as compared to $1.5 million in the three months ended October 31, 2011. The change in revenues was attributable to the following factors:</w:t>
      </w:r>
    </w:p>
    <w:p>
      <w:pPr>
        <w:spacing w:after="0" w:line="224" w:lineRule="exact"/>
        <w:rPr>
          <w:sz w:val="20"/>
          <w:szCs w:val="20"/>
          <w:color w:val="auto"/>
        </w:rPr>
      </w:pPr>
    </w:p>
    <w:p>
      <w:pPr>
        <w:ind w:left="460" w:right="200" w:hanging="452"/>
        <w:spacing w:after="0" w:line="342"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Revenues relating to our utility PowerBuoy system increased by $0.3 million due primarily to an increase in billable work on our PowerBuoy project off the coast of Oregon and our project with Mitsui Engineering &amp; Shipbuilding, offset by a decrease in billable work related to our PB500 project.</w:t>
      </w:r>
    </w:p>
    <w:p>
      <w:pPr>
        <w:spacing w:after="0" w:line="123" w:lineRule="exact"/>
        <w:rPr>
          <w:rFonts w:ascii="Arial" w:cs="Arial" w:eastAsia="Arial" w:hAnsi="Arial"/>
          <w:sz w:val="16"/>
          <w:szCs w:val="16"/>
          <w:b w:val="1"/>
          <w:bCs w:val="1"/>
          <w:color w:val="auto"/>
        </w:rPr>
      </w:pPr>
    </w:p>
    <w:p>
      <w:pPr>
        <w:ind w:left="460" w:right="140" w:hanging="452"/>
        <w:spacing w:after="0" w:line="264" w:lineRule="auto"/>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$0.4 million primarily as a result of a decrease in billable work on our projects to provide our PowerBuoy technology to the US Navy's Littoral Expeditionary Autonomous PowerBuoy (“LEAP”) program. The LEAP project was completed during fiscal 2012.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revenues decreased by $0.3 million, or 16%, to $1.2 million in the three months ended October 31, 2012, as compared to $1.5 million in the three months ended October 31, 2011. This decrease in the cost of revenues reflected the decrease in billable work related to our LEAP project with the US Navy and our PB500 project. The LEAP project was completed during fiscal 2012. This was partially offset by the increased activity on our PowerBuoy project off the coast of Oregon and our project with Mitsui Engineering &amp; Shipbuilding.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both"/>
        <w:spacing w:after="0" w:line="272" w:lineRule="auto"/>
        <w:rPr>
          <w:sz w:val="20"/>
          <w:szCs w:val="20"/>
          <w:color w:val="auto"/>
        </w:rPr>
      </w:pPr>
      <w:r>
        <w:rPr>
          <w:rFonts w:ascii="Arial" w:cs="Arial" w:eastAsia="Arial" w:hAnsi="Arial"/>
          <w:sz w:val="17"/>
          <w:szCs w:val="17"/>
          <w:color w:val="auto"/>
        </w:rPr>
        <w:t>We operated at a small gross profit in the three month periods ended October 31, 2012 and 2011. Most of our projects in the three month periods ended October 31, 2012 and 2011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Product development costs increased by $0.8 million, or 42%, to $2.9 million in the three months ended October 31, 2012, as compared to $2.1 million in the three months ended October 31, 2011. Product development costs were attributable primarily to our efforts to increase the power output and reliability of our utility PowerBuoy system, especially for our utility-scale PowerBuoy system. The increase in product development costs was related primarily to an increase in activity related to our PowerBuoy project off the coast of Oregon, partially offset by a decrease in activity related to our project off the coast of Scotland.</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Scotland project was completed in fiscal 2012.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three months ended October 31, 2012, the majority of funding for our PB500 PowerBuoy development project was from external sources.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general and administrative costs increased by $0.1 million, or 4%, to $2.1 million for the three months ended October 31, 2012 as compared to $2.0 million for the three months ended October 31, 2011. The increase was due primarily to an increase in site development expenses related to a potential project in Australia.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Interest income decreased approximately 72% to $35,000 for the three months ended October 31, 2012, as compared to $126,000 in the three months ended October 31, 2011, due to a decrease in cash, cash equivalents and marketable securities and a decrease in average yield.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79"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Foreign exchange gain was $103,000 for the three months ended October 31, 2012, compared to a foreign exchange gain of $29,000 for the three months ended October 31, 2011. The difference was attributable primarily to the relative change in value of the British pound sterling, Euro, Australian dollar and Japanese yen compared to the US dollar during the two periods.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Six Months Ended October 31, 2012 Compared to Six Months Ended October 31, 2011</w:t>
      </w:r>
    </w:p>
    <w:p>
      <w:pPr>
        <w:spacing w:after="0" w:line="2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2012 and 2011: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160" w:type="dxa"/>
            <w:vAlign w:val="bottom"/>
          </w:tcPr>
          <w:p>
            <w:pPr>
              <w:spacing w:after="0"/>
              <w:rPr>
                <w:sz w:val="18"/>
                <w:szCs w:val="18"/>
                <w:color w:val="auto"/>
              </w:rPr>
            </w:pPr>
          </w:p>
        </w:tc>
        <w:tc>
          <w:tcPr>
            <w:tcW w:w="2660" w:type="dxa"/>
            <w:vAlign w:val="bottom"/>
            <w:gridSpan w:val="4"/>
          </w:tcPr>
          <w:p>
            <w:pPr>
              <w:jc w:val="right"/>
              <w:ind w:right="880"/>
              <w:spacing w:after="0"/>
              <w:rPr>
                <w:sz w:val="20"/>
                <w:szCs w:val="20"/>
                <w:color w:val="auto"/>
              </w:rPr>
            </w:pPr>
            <w:r>
              <w:rPr>
                <w:rFonts w:ascii="Arial" w:cs="Arial" w:eastAsia="Arial" w:hAnsi="Arial"/>
                <w:sz w:val="18"/>
                <w:szCs w:val="18"/>
                <w:b w:val="1"/>
                <w:bCs w:val="1"/>
                <w:color w:val="auto"/>
              </w:rPr>
              <w:t>Six Months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October 31, 2012</w:t>
            </w:r>
          </w:p>
        </w:tc>
        <w:tc>
          <w:tcPr>
            <w:tcW w:w="160" w:type="dxa"/>
            <w:vAlign w:val="bottom"/>
          </w:tcPr>
          <w:p>
            <w:pPr>
              <w:spacing w:after="0"/>
              <w:rPr>
                <w:sz w:val="20"/>
                <w:szCs w:val="20"/>
                <w:color w:val="auto"/>
              </w:rPr>
            </w:pPr>
          </w:p>
        </w:tc>
        <w:tc>
          <w:tcPr>
            <w:tcW w:w="2660" w:type="dxa"/>
            <w:vAlign w:val="bottom"/>
            <w:gridSpan w:val="4"/>
          </w:tcPr>
          <w:p>
            <w:pPr>
              <w:jc w:val="right"/>
              <w:ind w:right="960"/>
              <w:spacing w:after="0"/>
              <w:rPr>
                <w:sz w:val="20"/>
                <w:szCs w:val="20"/>
                <w:color w:val="auto"/>
              </w:rPr>
            </w:pPr>
            <w:r>
              <w:rPr>
                <w:rFonts w:ascii="Arial" w:cs="Arial" w:eastAsia="Arial" w:hAnsi="Arial"/>
                <w:sz w:val="18"/>
                <w:szCs w:val="18"/>
                <w:b w:val="1"/>
                <w:bCs w:val="1"/>
                <w:color w:val="auto"/>
              </w:rPr>
              <w:t>October 31, 2011</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360" w:type="dxa"/>
            <w:vAlign w:val="bottom"/>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9"/>
              </w:rPr>
              <w:t>2012 Period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As a %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As a % of</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2"/>
              </w:rPr>
              <w:t>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Revenues  (1)</w:t>
            </w:r>
          </w:p>
        </w:tc>
        <w:tc>
          <w:tcPr>
            <w:tcW w:w="16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9"/>
              </w:rPr>
              <w:t>Amount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Revenues  (1)</w:t>
            </w: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2011 Period</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2,342,695</w:t>
            </w:r>
          </w:p>
        </w:tc>
        <w:tc>
          <w:tcPr>
            <w:tcW w:w="14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3,426,289</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100%</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2,226,137</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3,385,492</w:t>
            </w:r>
          </w:p>
        </w:tc>
        <w:tc>
          <w:tcPr>
            <w:tcW w:w="2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0FFFF"/>
          </w:tcPr>
          <w:p>
            <w:pPr>
              <w:spacing w:after="0"/>
              <w:rPr>
                <w:sz w:val="19"/>
                <w:szCs w:val="19"/>
                <w:color w:val="auto"/>
              </w:rPr>
            </w:pPr>
          </w:p>
        </w:tc>
        <w:tc>
          <w:tcPr>
            <w:tcW w:w="180" w:type="dxa"/>
            <w:vAlign w:val="bottom"/>
            <w:shd w:val="clear" w:color="auto" w:fill="C0FFFF"/>
          </w:tcPr>
          <w:p>
            <w:pPr>
              <w:spacing w:after="0"/>
              <w:rPr>
                <w:sz w:val="19"/>
                <w:szCs w:val="19"/>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116,558</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0FFFF"/>
          </w:tcPr>
          <w:p>
            <w:pPr>
              <w:spacing w:after="0"/>
              <w:rPr>
                <w:sz w:val="19"/>
                <w:szCs w:val="19"/>
                <w:color w:val="auto"/>
              </w:rPr>
            </w:pP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40,797</w:t>
            </w: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Borders>
              <w:top w:val="single" w:sz="8" w:color="C0FFFF"/>
            </w:tcBorders>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C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80" w:type="dxa"/>
            <w:vAlign w:val="bottom"/>
            <w:tcBorders>
              <w:top w:val="single" w:sz="8" w:color="C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0FF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C0FFFF"/>
            </w:tcBorders>
          </w:tcPr>
          <w:p>
            <w:pPr>
              <w:spacing w:after="0"/>
              <w:rPr>
                <w:sz w:val="18"/>
                <w:szCs w:val="18"/>
                <w:color w:val="auto"/>
              </w:rPr>
            </w:pPr>
          </w:p>
        </w:tc>
        <w:tc>
          <w:tcPr>
            <w:tcW w:w="1100" w:type="dxa"/>
            <w:vAlign w:val="bottom"/>
            <w:tcBorders>
              <w:top w:val="single" w:sz="8" w:color="C0FFFF"/>
            </w:tcBorders>
          </w:tcPr>
          <w:p>
            <w:pPr>
              <w:spacing w:after="0"/>
              <w:rPr>
                <w:sz w:val="18"/>
                <w:szCs w:val="18"/>
                <w:color w:val="auto"/>
              </w:rPr>
            </w:pPr>
          </w:p>
        </w:tc>
        <w:tc>
          <w:tcPr>
            <w:tcW w:w="26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ind w:left="160"/>
              <w:spacing w:after="0"/>
              <w:rPr>
                <w:sz w:val="20"/>
                <w:szCs w:val="20"/>
                <w:color w:val="auto"/>
              </w:rPr>
            </w:pPr>
            <w:r>
              <w:rPr>
                <w:rFonts w:ascii="Arial" w:cs="Arial" w:eastAsia="Arial" w:hAnsi="Arial"/>
                <w:sz w:val="18"/>
                <w:szCs w:val="18"/>
                <w:color w:val="auto"/>
              </w:rPr>
              <w:t>Product development costs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4,864,994</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5,163,127</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151</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4,488,966</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4,034,850</w:t>
            </w:r>
          </w:p>
        </w:tc>
        <w:tc>
          <w:tcPr>
            <w:tcW w:w="22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9,353,960</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399</w:t>
            </w:r>
          </w:p>
        </w:tc>
        <w:tc>
          <w:tcPr>
            <w:tcW w:w="160" w:type="dxa"/>
            <w:vAlign w:val="bottom"/>
            <w:shd w:val="clear" w:color="auto" w:fill="C0FFFF"/>
          </w:tcPr>
          <w:p>
            <w:pPr>
              <w:spacing w:after="0"/>
              <w:rPr>
                <w:sz w:val="18"/>
                <w:szCs w:val="18"/>
                <w:color w:val="auto"/>
              </w:rPr>
            </w:pPr>
          </w:p>
        </w:tc>
        <w:tc>
          <w:tcPr>
            <w:tcW w:w="960" w:type="dxa"/>
            <w:vAlign w:val="bottom"/>
            <w:shd w:val="clear" w:color="auto" w:fill="C0FFFF"/>
          </w:tcPr>
          <w:p>
            <w:pPr>
              <w:jc w:val="right"/>
              <w:spacing w:after="0"/>
              <w:rPr>
                <w:sz w:val="20"/>
                <w:szCs w:val="20"/>
                <w:color w:val="auto"/>
              </w:rPr>
            </w:pPr>
            <w:r>
              <w:rPr>
                <w:rFonts w:ascii="Arial" w:cs="Arial" w:eastAsia="Arial" w:hAnsi="Arial"/>
                <w:sz w:val="18"/>
                <w:szCs w:val="18"/>
                <w:color w:val="auto"/>
              </w:rPr>
              <w:t>9,197,977</w:t>
            </w:r>
          </w:p>
        </w:tc>
        <w:tc>
          <w:tcPr>
            <w:tcW w:w="220" w:type="dxa"/>
            <w:vAlign w:val="bottom"/>
            <w:shd w:val="clear" w:color="auto" w:fill="C0FFFF"/>
          </w:tcPr>
          <w:p>
            <w:pPr>
              <w:spacing w:after="0"/>
              <w:rPr>
                <w:sz w:val="18"/>
                <w:szCs w:val="18"/>
                <w:color w:val="auto"/>
              </w:rPr>
            </w:pP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268</w:t>
            </w:r>
          </w:p>
        </w:tc>
        <w:tc>
          <w:tcPr>
            <w:tcW w:w="1360" w:type="dxa"/>
            <w:vAlign w:val="bottom"/>
            <w:gridSpan w:val="2"/>
            <w:shd w:val="clear" w:color="auto" w:fill="C0FFFF"/>
          </w:tcPr>
          <w:p>
            <w:pPr>
              <w:jc w:val="right"/>
              <w:ind w:right="2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shd w:val="clear" w:color="auto" w:fill="C0FFFF"/>
          </w:tcPr>
          <w:p>
            <w:pPr>
              <w:spacing w:after="0"/>
              <w:rPr>
                <w:sz w:val="2"/>
                <w:szCs w:val="2"/>
                <w:color w:val="auto"/>
              </w:rPr>
            </w:pPr>
          </w:p>
        </w:tc>
        <w:tc>
          <w:tcPr>
            <w:tcW w:w="120" w:type="dxa"/>
            <w:vAlign w:val="bottom"/>
            <w:shd w:val="clear" w:color="auto" w:fill="C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C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0FF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shd w:val="clear" w:color="auto" w:fill="C0FFFF"/>
          </w:tcPr>
          <w:p>
            <w:pPr>
              <w:spacing w:after="0"/>
              <w:rPr>
                <w:sz w:val="2"/>
                <w:szCs w:val="2"/>
                <w:color w:val="auto"/>
              </w:rPr>
            </w:pPr>
          </w:p>
        </w:tc>
        <w:tc>
          <w:tcPr>
            <w:tcW w:w="1100" w:type="dxa"/>
            <w:vAlign w:val="bottom"/>
            <w:shd w:val="clear" w:color="auto" w:fill="C0FFFF"/>
          </w:tcPr>
          <w:p>
            <w:pPr>
              <w:spacing w:after="0"/>
              <w:rPr>
                <w:sz w:val="2"/>
                <w:szCs w:val="2"/>
                <w:color w:val="auto"/>
              </w:rPr>
            </w:pPr>
          </w:p>
        </w:tc>
        <w:tc>
          <w:tcPr>
            <w:tcW w:w="260" w:type="dxa"/>
            <w:vAlign w:val="bottom"/>
            <w:shd w:val="clear" w:color="auto" w:fill="C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(9,237,402)</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(9,157,180)</w:t>
            </w: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(267)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Interest income, net</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90,312</w:t>
            </w:r>
          </w:p>
        </w:tc>
        <w:tc>
          <w:tcPr>
            <w:tcW w:w="1480" w:type="dxa"/>
            <w:vAlign w:val="bottom"/>
            <w:gridSpan w:val="2"/>
            <w:shd w:val="clear" w:color="auto" w:fill="C0FFFF"/>
          </w:tcPr>
          <w:p>
            <w:pPr>
              <w:jc w:val="right"/>
              <w:ind w:right="3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220"/>
              <w:spacing w:after="0"/>
              <w:rPr>
                <w:sz w:val="20"/>
                <w:szCs w:val="20"/>
                <w:color w:val="auto"/>
              </w:rPr>
            </w:pPr>
            <w:r>
              <w:rPr>
                <w:rFonts w:ascii="Arial" w:cs="Arial" w:eastAsia="Arial" w:hAnsi="Arial"/>
                <w:sz w:val="18"/>
                <w:szCs w:val="18"/>
                <w:color w:val="auto"/>
              </w:rPr>
              <w:t>246,370</w:t>
            </w:r>
          </w:p>
        </w:tc>
        <w:tc>
          <w:tcPr>
            <w:tcW w:w="1480" w:type="dxa"/>
            <w:vAlign w:val="bottom"/>
            <w:gridSpan w:val="2"/>
            <w:shd w:val="clear" w:color="auto" w:fill="C0FFFF"/>
          </w:tcPr>
          <w:p>
            <w:pPr>
              <w:jc w:val="right"/>
              <w:ind w:right="360"/>
              <w:spacing w:after="0"/>
              <w:rPr>
                <w:sz w:val="20"/>
                <w:szCs w:val="20"/>
                <w:color w:val="auto"/>
              </w:rPr>
            </w:pPr>
            <w:r>
              <w:rPr>
                <w:rFonts w:ascii="Arial" w:cs="Arial" w:eastAsia="Arial" w:hAnsi="Arial"/>
                <w:sz w:val="18"/>
                <w:szCs w:val="18"/>
                <w:color w:val="auto"/>
              </w:rPr>
              <w:t>7</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Foreign exchange (loss) gain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(5,582)</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20,293</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0FFFF"/>
          </w:tcPr>
          <w:p>
            <w:pPr>
              <w:spacing w:after="0"/>
              <w:rPr>
                <w:sz w:val="18"/>
                <w:szCs w:val="18"/>
                <w:color w:val="auto"/>
              </w:rPr>
            </w:pPr>
          </w:p>
        </w:tc>
        <w:tc>
          <w:tcPr>
            <w:tcW w:w="180" w:type="dxa"/>
            <w:vAlign w:val="bottom"/>
            <w:shd w:val="clear" w:color="auto" w:fill="C0FFFF"/>
          </w:tcPr>
          <w:p>
            <w:pPr>
              <w:spacing w:after="0"/>
              <w:rPr>
                <w:sz w:val="18"/>
                <w:szCs w:val="18"/>
                <w:color w:val="auto"/>
              </w:rPr>
            </w:pP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(9,152,672)</w:t>
            </w:r>
          </w:p>
        </w:tc>
        <w:tc>
          <w:tcPr>
            <w:tcW w:w="1480" w:type="dxa"/>
            <w:vAlign w:val="bottom"/>
            <w:gridSpan w:val="2"/>
            <w:shd w:val="clear" w:color="auto" w:fill="C0FFFF"/>
          </w:tcPr>
          <w:p>
            <w:pPr>
              <w:jc w:val="right"/>
              <w:ind w:right="32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0FFFF"/>
          </w:tcPr>
          <w:p>
            <w:pPr>
              <w:spacing w:after="0"/>
              <w:rPr>
                <w:sz w:val="18"/>
                <w:szCs w:val="18"/>
                <w:color w:val="auto"/>
              </w:rPr>
            </w:pP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(8,890,517)</w:t>
            </w:r>
          </w:p>
        </w:tc>
        <w:tc>
          <w:tcPr>
            <w:tcW w:w="1480" w:type="dxa"/>
            <w:vAlign w:val="bottom"/>
            <w:gridSpan w:val="2"/>
            <w:shd w:val="clear" w:color="auto" w:fill="C0FFFF"/>
          </w:tcPr>
          <w:p>
            <w:pPr>
              <w:jc w:val="right"/>
              <w:ind w:right="300"/>
              <w:spacing w:after="0"/>
              <w:rPr>
                <w:sz w:val="20"/>
                <w:szCs w:val="20"/>
                <w:color w:val="auto"/>
              </w:rPr>
            </w:pPr>
            <w:r>
              <w:rPr>
                <w:rFonts w:ascii="Arial" w:cs="Arial" w:eastAsia="Arial" w:hAnsi="Arial"/>
                <w:sz w:val="18"/>
                <w:szCs w:val="18"/>
                <w:color w:val="auto"/>
              </w:rPr>
              <w:t>(259)</w:t>
            </w:r>
          </w:p>
        </w:tc>
        <w:tc>
          <w:tcPr>
            <w:tcW w:w="1360" w:type="dxa"/>
            <w:vAlign w:val="bottom"/>
            <w:gridSpan w:val="2"/>
            <w:shd w:val="clear" w:color="auto" w:fill="C0FFFF"/>
          </w:tcPr>
          <w:p>
            <w:pPr>
              <w:jc w:val="right"/>
              <w:ind w:right="2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ind w:left="160"/>
              <w:spacing w:after="0" w:line="201" w:lineRule="exact"/>
              <w:rPr>
                <w:sz w:val="20"/>
                <w:szCs w:val="20"/>
                <w:color w:val="auto"/>
              </w:rPr>
            </w:pPr>
            <w:r>
              <w:rPr>
                <w:rFonts w:ascii="Arial" w:cs="Arial" w:eastAsia="Arial" w:hAnsi="Arial"/>
                <w:sz w:val="18"/>
                <w:szCs w:val="18"/>
                <w:color w:val="auto"/>
                <w:w w:val="93"/>
              </w:rPr>
              <w:t>Less: Net loss attributable to the noncontrolling interest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ind w:left="320"/>
              <w:spacing w:after="0"/>
              <w:rPr>
                <w:sz w:val="20"/>
                <w:szCs w:val="20"/>
                <w:color w:val="auto"/>
              </w:rPr>
            </w:pPr>
            <w:r>
              <w:rPr>
                <w:rFonts w:ascii="Arial" w:cs="Arial" w:eastAsia="Arial" w:hAnsi="Arial"/>
                <w:sz w:val="18"/>
                <w:szCs w:val="18"/>
                <w:color w:val="auto"/>
                <w:w w:val="96"/>
              </w:rPr>
              <w:t>in Ocean Power Technologies (Australasia) Pty Ltd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65,079</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13,096</w:t>
            </w:r>
          </w:p>
        </w:tc>
        <w:tc>
          <w:tcPr>
            <w:tcW w:w="14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80" w:type="dxa"/>
            <w:vAlign w:val="bottom"/>
            <w:shd w:val="clear" w:color="auto" w:fill="C0FFFF"/>
          </w:tcPr>
          <w:p>
            <w:pPr>
              <w:spacing w:after="0"/>
              <w:rPr>
                <w:sz w:val="20"/>
                <w:szCs w:val="20"/>
                <w:color w:val="auto"/>
              </w:rPr>
            </w:pPr>
            <w:r>
              <w:rPr>
                <w:rFonts w:ascii="Arial" w:cs="Arial" w:eastAsia="Arial" w:hAnsi="Arial"/>
                <w:sz w:val="18"/>
                <w:szCs w:val="18"/>
                <w:color w:val="auto"/>
                <w:w w:val="96"/>
              </w:rPr>
              <w:t>Net loss attributable to Ocean Power Technologies, Inc</w:t>
            </w:r>
          </w:p>
        </w:tc>
        <w:tc>
          <w:tcPr>
            <w:tcW w:w="120" w:type="dxa"/>
            <w:vAlign w:val="bottom"/>
            <w:shd w:val="clear" w:color="auto" w:fill="C0FFFF"/>
          </w:tcPr>
          <w:p>
            <w:pPr>
              <w:spacing w:after="0"/>
              <w:rPr>
                <w:sz w:val="20"/>
                <w:szCs w:val="20"/>
                <w:color w:val="auto"/>
              </w:rPr>
            </w:pPr>
          </w:p>
        </w:tc>
        <w:tc>
          <w:tcPr>
            <w:tcW w:w="180" w:type="dxa"/>
            <w:vAlign w:val="bottom"/>
            <w:shd w:val="clear" w:color="auto" w:fill="C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(9,087,593)</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(388) %</w:t>
            </w:r>
          </w:p>
        </w:tc>
        <w:tc>
          <w:tcPr>
            <w:tcW w:w="160" w:type="dxa"/>
            <w:vAlign w:val="bottom"/>
            <w:shd w:val="clear" w:color="auto" w:fill="C0FF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(8,877,421)</w:t>
            </w:r>
          </w:p>
        </w:tc>
        <w:tc>
          <w:tcPr>
            <w:tcW w:w="1480" w:type="dxa"/>
            <w:vAlign w:val="bottom"/>
            <w:gridSpan w:val="2"/>
            <w:shd w:val="clear" w:color="auto" w:fill="C0FFFF"/>
          </w:tcPr>
          <w:p>
            <w:pPr>
              <w:jc w:val="right"/>
              <w:ind w:right="120"/>
              <w:spacing w:after="0"/>
              <w:rPr>
                <w:sz w:val="20"/>
                <w:szCs w:val="20"/>
                <w:color w:val="auto"/>
              </w:rPr>
            </w:pPr>
            <w:r>
              <w:rPr>
                <w:rFonts w:ascii="Arial" w:cs="Arial" w:eastAsia="Arial" w:hAnsi="Arial"/>
                <w:sz w:val="18"/>
                <w:szCs w:val="18"/>
                <w:color w:val="auto"/>
              </w:rPr>
              <w:t>(259) %</w:t>
            </w:r>
          </w:p>
        </w:tc>
        <w:tc>
          <w:tcPr>
            <w:tcW w:w="1360" w:type="dxa"/>
            <w:vAlign w:val="bottom"/>
            <w:gridSpan w:val="2"/>
            <w:shd w:val="clear" w:color="auto" w:fill="C0FF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0FFFF"/>
            </w:tcBorders>
            <w:shd w:val="clear" w:color="auto" w:fill="C0FFFF"/>
          </w:tcPr>
          <w:p>
            <w:pPr>
              <w:spacing w:after="0" w:line="20" w:lineRule="exact"/>
              <w:rPr>
                <w:sz w:val="1"/>
                <w:szCs w:val="1"/>
                <w:color w:val="auto"/>
              </w:rPr>
            </w:pPr>
          </w:p>
        </w:tc>
        <w:tc>
          <w:tcPr>
            <w:tcW w:w="11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(1) Certain subtotals may not add due to rounding.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Revenues decreased by $1.1 million, or 32%, to $2.3 million in the six months ended October 31, 2012, as compared to $3.4 million in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31, 2011. The change in revenues was attributable to the following factors:</w:t>
      </w:r>
    </w:p>
    <w:p>
      <w:pPr>
        <w:spacing w:after="0" w:line="265" w:lineRule="exact"/>
        <w:rPr>
          <w:sz w:val="20"/>
          <w:szCs w:val="20"/>
          <w:color w:val="auto"/>
        </w:rPr>
      </w:pPr>
    </w:p>
    <w:p>
      <w:pPr>
        <w:ind w:left="460" w:right="160" w:hanging="452"/>
        <w:spacing w:after="0" w:line="264"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utility PowerBuoy system increased by $0.4 million primarily due to an increase in billable work on our Power Buoy project off the coast of Oregon, our WavePort project off the coast of Spain and our project with Mitsui Engineering &amp; Shipbuilding, offset by a decrease in billable work related to our PB500 project.</w:t>
      </w:r>
    </w:p>
    <w:p>
      <w:pPr>
        <w:spacing w:after="0" w:line="181" w:lineRule="exact"/>
        <w:rPr>
          <w:rFonts w:ascii="Arial" w:cs="Arial" w:eastAsia="Arial" w:hAnsi="Arial"/>
          <w:sz w:val="18"/>
          <w:szCs w:val="18"/>
          <w:b w:val="1"/>
          <w:bCs w:val="1"/>
          <w:color w:val="auto"/>
        </w:rPr>
      </w:pPr>
    </w:p>
    <w:p>
      <w:pPr>
        <w:ind w:left="460" w:right="140" w:hanging="452"/>
        <w:spacing w:after="0" w:line="264" w:lineRule="auto"/>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Revenues relating to our autonomous PowerBuoy system decreased by $1.5 million primarily as a result of a decrease in billable work on our projects to provide our PowerBuoy technology to the US Navy's Littoral Expeditionary Autonomous PowerBuoy (“LEAP”) program. The LEAP project was completed during fiscal 2012.</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revenues decreased by $1.2 million, or 34%, to $2.2 million in the six months ended October 31, 2012, as compared to $3.4 million in the six months ended October 31, 2011. This decrease in the cost of revenues reflected the decrease in billable work related to our LEAP project with the US Navy and our PB500 project. The LEAP project was completed during fiscal 2012. This was partially offset by the increased activity on our PowerBuoy project off the coast of Oregon and our project with Mitsui Engineering &amp; Shipbuilding.</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6" w:name="page27"/>
    <w:bookmarkEnd w:id="26"/>
    <w:p>
      <w:pPr>
        <w:ind w:right="40"/>
        <w:spacing w:after="0" w:line="272" w:lineRule="auto"/>
        <w:rPr>
          <w:sz w:val="20"/>
          <w:szCs w:val="20"/>
          <w:color w:val="auto"/>
        </w:rPr>
      </w:pPr>
      <w:r>
        <w:rPr>
          <w:rFonts w:ascii="Arial" w:cs="Arial" w:eastAsia="Arial" w:hAnsi="Arial"/>
          <w:sz w:val="17"/>
          <w:szCs w:val="17"/>
          <w:color w:val="auto"/>
        </w:rPr>
        <w:t>We operated at a small gross profit in the six month periods ended October 31, 2012 and 2011. Most of our projects in the six month periods ended October 31, 2012 and 2011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7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Product development costs decreased by $0.3 million, or 6%, to $4.9 million in the six months ended October 31, 2012, as compared to $5.2 million in the six months ended October 31, 2011. Product development costs were attributable primarily to our efforts to increase the power output and reliability of our utility PowerBuoy system, especially for our utility-scale PowerBuoy system. The decrease in product development costs was related primarily to a decrease in activity related to our project off the coast of Scotland. The Scotland project was completed in fiscal 2012. This was partially offset by an increase in activity related to our PowerBuoy project off the coast of Oregon. Over the next several years, it is our intent to fund the majority of our research and development expenses, including cost-sharing arrangements, with sources of external funding. If we are unable to obtain external funding, we may curtail our research and development expenses or we may decide to self-fund significant research and development expenses, in which case our product development costs may increase. During the six months ended October 31, 2012, the majority of funding for our PB500 PowerBuoy development project was from external sources.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Selling, general and administrative costs increased by $0.5 million, or 11%, to $4.5 million for the six months ended October 31, 2012 as compared to $4.0 million for the six months ended October 31, 2011. The increase was due primarily to an increase in site development expenses related to a potential project in Australia.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7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Interest income decreased approximately 63% to $90,000 for the six months ended October 31, 2012, as compared to $246,000 in the six months ended October 31, 2011, due to a decrease in cash, cash equivalents and marketable securities and a decrease in average yield.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Foreign exchange loss was $6,000 for the six months ended October 31, 2012, compared to a foreign exchange gain of $20,000 for the six months ended October 31, 2011. The difference was attributable primarily to the relative change in value of the British pound sterling, Euro, Australian dollar and Japanese yen compared to the US dollar during the two periods.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2012, our revenues were $12.4 million, our net losses were $35.6 million and our net cash used in operating activities was $32.7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Cash flows for the six months ended October 31, 2012 and 2011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7"/>
              </w:rPr>
              <w:t>Six Months Ended October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(9,152,672)</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(8,890,517)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Adjustments for noncash operating items</w:t>
            </w:r>
          </w:p>
        </w:tc>
        <w:tc>
          <w:tcPr>
            <w:tcW w:w="260" w:type="dxa"/>
            <w:vAlign w:val="bottom"/>
            <w:shd w:val="clear" w:color="auto" w:fill="C0FFFF"/>
          </w:tcPr>
          <w:p>
            <w:pPr>
              <w:spacing w:after="0"/>
              <w:rPr>
                <w:sz w:val="19"/>
                <w:szCs w:val="19"/>
                <w:color w:val="auto"/>
              </w:rPr>
            </w:pPr>
          </w:p>
        </w:tc>
        <w:tc>
          <w:tcPr>
            <w:tcW w:w="146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894,187</w:t>
            </w:r>
          </w:p>
        </w:tc>
        <w:tc>
          <w:tcPr>
            <w:tcW w:w="340" w:type="dxa"/>
            <w:vAlign w:val="bottom"/>
            <w:shd w:val="clear" w:color="auto" w:fill="C0FFFF"/>
          </w:tcPr>
          <w:p>
            <w:pPr>
              <w:spacing w:after="0"/>
              <w:rPr>
                <w:sz w:val="19"/>
                <w:szCs w:val="19"/>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917,028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cash operating loss</w:t>
            </w:r>
          </w:p>
        </w:tc>
        <w:tc>
          <w:tcPr>
            <w:tcW w:w="260" w:type="dxa"/>
            <w:vAlign w:val="bottom"/>
            <w:shd w:val="clear" w:color="auto" w:fill="C0FFFF"/>
          </w:tcPr>
          <w:p>
            <w:pPr>
              <w:spacing w:after="0"/>
              <w:rPr>
                <w:sz w:val="18"/>
                <w:szCs w:val="18"/>
                <w:color w:val="auto"/>
              </w:rPr>
            </w:pPr>
          </w:p>
        </w:tc>
        <w:tc>
          <w:tcPr>
            <w:tcW w:w="14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(8,258,485)</w:t>
            </w: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(7,973,489)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change in operating assets and liabilities</w:t>
            </w:r>
          </w:p>
        </w:tc>
        <w:tc>
          <w:tcPr>
            <w:tcW w:w="260" w:type="dxa"/>
            <w:vAlign w:val="bottom"/>
            <w:shd w:val="clear" w:color="auto" w:fill="C0FFFF"/>
          </w:tcPr>
          <w:p>
            <w:pPr>
              <w:spacing w:after="0"/>
              <w:rPr>
                <w:sz w:val="18"/>
                <w:szCs w:val="18"/>
                <w:color w:val="auto"/>
              </w:rPr>
            </w:pPr>
          </w:p>
        </w:tc>
        <w:tc>
          <w:tcPr>
            <w:tcW w:w="146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1,957,604</w:t>
            </w:r>
          </w:p>
        </w:tc>
        <w:tc>
          <w:tcPr>
            <w:tcW w:w="340" w:type="dxa"/>
            <w:vAlign w:val="bottom"/>
            <w:shd w:val="clear" w:color="auto" w:fill="C0FFFF"/>
          </w:tcPr>
          <w:p>
            <w:pPr>
              <w:spacing w:after="0"/>
              <w:rPr>
                <w:sz w:val="18"/>
                <w:szCs w:val="18"/>
                <w:color w:val="auto"/>
              </w:rPr>
            </w:pP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84,305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(6,300,881)</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(7,889,184)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10,446,947</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80"/>
              <w:spacing w:after="0"/>
              <w:rPr>
                <w:sz w:val="20"/>
                <w:szCs w:val="20"/>
                <w:color w:val="auto"/>
              </w:rPr>
            </w:pPr>
            <w:r>
              <w:rPr>
                <w:rFonts w:ascii="Arial" w:cs="Arial" w:eastAsia="Arial" w:hAnsi="Arial"/>
                <w:sz w:val="18"/>
                <w:szCs w:val="18"/>
                <w:color w:val="auto"/>
              </w:rPr>
              <w:t>9,551,012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0FFFF"/>
            </w:tcBorders>
            <w:gridSpan w:val="2"/>
            <w:shd w:val="clear" w:color="auto" w:fill="C0FFFF"/>
          </w:tcPr>
          <w:p>
            <w:pPr>
              <w:jc w:val="right"/>
              <w:ind w:right="100"/>
              <w:spacing w:after="0"/>
              <w:rPr>
                <w:sz w:val="20"/>
                <w:szCs w:val="20"/>
                <w:color w:val="auto"/>
              </w:rPr>
            </w:pPr>
            <w:r>
              <w:rPr>
                <w:rFonts w:ascii="Arial" w:cs="Arial" w:eastAsia="Arial" w:hAnsi="Arial"/>
                <w:sz w:val="18"/>
                <w:szCs w:val="18"/>
                <w:color w:val="auto"/>
              </w:rPr>
              <w:t>(59,122)</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(128,245)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Borders>
              <w:top w:val="single" w:sz="8" w:color="C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Borders>
              <w:top w:val="single" w:sz="8" w:color="C0FF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Borders>
              <w:top w:val="single" w:sz="8" w:color="C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60" w:type="dxa"/>
            <w:vAlign w:val="bottom"/>
            <w:shd w:val="clear" w:color="auto" w:fill="C0FF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shd w:val="clear" w:color="auto" w:fill="C0FF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right w:val="single" w:sz="8" w:color="C0FFFF"/>
            </w:tcBorders>
            <w:gridSpan w:val="2"/>
            <w:shd w:val="clear" w:color="auto" w:fill="C0FFFF"/>
          </w:tcPr>
          <w:p>
            <w:pPr>
              <w:jc w:val="right"/>
              <w:ind w:right="160"/>
              <w:spacing w:after="0"/>
              <w:rPr>
                <w:sz w:val="20"/>
                <w:szCs w:val="20"/>
                <w:color w:val="auto"/>
              </w:rPr>
            </w:pPr>
            <w:r>
              <w:rPr>
                <w:rFonts w:ascii="Arial" w:cs="Arial" w:eastAsia="Arial" w:hAnsi="Arial"/>
                <w:sz w:val="18"/>
                <w:szCs w:val="18"/>
                <w:color w:val="auto"/>
              </w:rPr>
              <w:t>6,127</w:t>
            </w:r>
          </w:p>
        </w:tc>
        <w:tc>
          <w:tcPr>
            <w:tcW w:w="340" w:type="dxa"/>
            <w:vAlign w:val="bottom"/>
            <w:shd w:val="clear" w:color="auto" w:fill="C0FF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0FFFF"/>
          </w:tcPr>
          <w:p>
            <w:pPr>
              <w:jc w:val="right"/>
              <w:ind w:right="20"/>
              <w:spacing w:after="0"/>
              <w:rPr>
                <w:sz w:val="20"/>
                <w:szCs w:val="20"/>
                <w:color w:val="auto"/>
              </w:rPr>
            </w:pPr>
            <w:r>
              <w:rPr>
                <w:rFonts w:ascii="Arial" w:cs="Arial" w:eastAsia="Arial" w:hAnsi="Arial"/>
                <w:sz w:val="18"/>
                <w:szCs w:val="18"/>
                <w:color w:val="auto"/>
              </w:rPr>
              <w:t>(153,281)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0FFFF"/>
              <w:right w:val="single" w:sz="8" w:color="C0FFFF"/>
            </w:tcBorders>
            <w:shd w:val="clear" w:color="auto" w:fill="C0FF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cash used in operating activities was $6.3 million and $7.9 million for the six months ended October 31, 2012 and 2011, respectively. The change was the result of an increase in cash provided by the net change in operating assets and liabilities of $1.9 million offset by an increase in net loss of $0.3 million. Our quarterly cash outflow from operating activities may vary significantly in future periods depending upon the success of our new business development initiatives and expenditures related to our PowerBuoy project in Oregon.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83"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Net cash provided by investing activities was $10.4 million for the six months ended October 31, 2012 and $9.6 million for the six months ended October 31, 2011. The change was primarily the result of a net increase in maturities of marketable securities during the six months ended October 31,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2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Net cash used in financing activities was $59,000 and $128,000 for the six months ended October 31, 2012 and 2011, respectively. The net cash used was primarily for repayment of long-term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$6,000 in the six months ended October 31, 2012 and a decrease of $153,000 in the six months ended October 31, 2011. The effect of exchange rates on cash and cash equivalents results primarily from gains or losses on consolidation of foreign subsidiaries and foreign denominated cash and cash equivalents.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67" w:right="2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Liquidity and Capital Resources Outlook</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success of our commercial relationships with major customers;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 of commercialization activities, including demonstration projects, product marketing and sales;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implementation of our expansion plans, including the hiring of new employees;</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b w:val="1"/>
          <w:bCs w:val="1"/>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planning on deploying a PowerBuoy off the coast of Reedsport, Oregon in calendar 2013. However, deployment and commissioning of this PowerBuoy will result in a significant use of funds. Therefore, we intend to seek additional funding for this project, in view of risks associated with weather delays, operations and any other contingencies.</w:t>
      </w:r>
    </w:p>
    <w:p>
      <w:pPr>
        <w:spacing w:after="0" w:line="23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our current cash, cash equivalents and investments will be sufficient to meet our anticipated cash needs for working capital and capital expenditures through April 30, 2014. If existing resources are insufficient to satisfy our liquidity requirements or if we acquire or license rights to additional product technologies, we may seek to sell additional equity or debt securities or obtain a credit facility. The sale of additional equity or convertible securities could result in dilution to our stockholders. If additional funds are raised through the issuance of debt securities, these securities could have rights senior to those associated with our common stock and could contain covenants that would restrict our operations. Financing may not be available in amounts or on terms acceptable to us, or at all. If we are unable to obtain required financing, we may be required to reduce the scope of our planned product development and marketing efforts, which could harm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29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29" w:name="page30"/>
    <w:bookmarkEnd w:id="29"/>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21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pursuant to Exchange Act Rule 13a-15(b). Based upon that evaluation, as of October 31, 2012, our Chief Executive Officer and Chief Financial Officer concluded that our disclosure controls and procedures were effective.</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7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October 31, 2012 that has materially affected, or is reasonably likely to materially affect, our internal control over financial reporting.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83" w:lineRule="exact"/>
        <w:rPr>
          <w:sz w:val="20"/>
          <w:szCs w:val="20"/>
          <w:color w:val="auto"/>
        </w:rPr>
      </w:pPr>
    </w:p>
    <w:p>
      <w:pPr>
        <w:ind w:right="520"/>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200" w:lineRule="exact"/>
        <w:rPr>
          <w:sz w:val="20"/>
          <w:szCs w:val="20"/>
          <w:color w:val="auto"/>
        </w:rPr>
      </w:pPr>
    </w:p>
    <w:p>
      <w:pPr>
        <w:spacing w:after="0" w:line="30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2012.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13, 2012.</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0" w:name="page31"/>
    <w:bookmarkEnd w:id="30"/>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Company’s share repurchases during the quarter: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Approximate Dollar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Purchased as Part of</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Value of Shares 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w:t>
            </w:r>
          </w:p>
        </w:tc>
        <w:tc>
          <w:tcPr>
            <w:tcW w:w="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0"/>
              </w:rPr>
              <w:t>Average Price Paid per</w:t>
            </w:r>
          </w:p>
        </w:tc>
        <w:tc>
          <w:tcPr>
            <w:tcW w:w="220" w:type="dxa"/>
            <w:vAlign w:val="bottom"/>
          </w:tcPr>
          <w:p>
            <w:pPr>
              <w:spacing w:after="0"/>
              <w:rPr>
                <w:sz w:val="18"/>
                <w:szCs w:val="18"/>
                <w:color w:val="auto"/>
              </w:rPr>
            </w:pPr>
          </w:p>
        </w:tc>
        <w:tc>
          <w:tcPr>
            <w:tcW w:w="2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Publicly Announced</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May Yet Be Purchased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ind w:left="1100"/>
              <w:spacing w:after="0"/>
              <w:rPr>
                <w:sz w:val="20"/>
                <w:szCs w:val="20"/>
                <w:color w:val="auto"/>
              </w:rPr>
            </w:pPr>
            <w:r>
              <w:rPr>
                <w:rFonts w:ascii="Arial" w:cs="Arial" w:eastAsia="Arial" w:hAnsi="Arial"/>
                <w:sz w:val="18"/>
                <w:szCs w:val="18"/>
                <w:b w:val="1"/>
                <w:bCs w:val="1"/>
                <w:color w:val="auto"/>
              </w:rPr>
              <w:t>Period</w:t>
            </w:r>
          </w:p>
        </w:tc>
        <w:tc>
          <w:tcPr>
            <w:tcW w:w="14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26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Plans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Under the Plan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0FFFF"/>
          </w:tcPr>
          <w:p>
            <w:pPr>
              <w:spacing w:after="0"/>
              <w:rPr>
                <w:sz w:val="20"/>
                <w:szCs w:val="20"/>
                <w:color w:val="auto"/>
              </w:rPr>
            </w:pPr>
            <w:r>
              <w:rPr>
                <w:rFonts w:ascii="Arial" w:cs="Arial" w:eastAsia="Arial" w:hAnsi="Arial"/>
                <w:sz w:val="18"/>
                <w:szCs w:val="18"/>
                <w:color w:val="auto"/>
              </w:rPr>
              <w:t>August 1-31, 2012</w:t>
            </w:r>
          </w:p>
        </w:tc>
        <w:tc>
          <w:tcPr>
            <w:tcW w:w="140" w:type="dxa"/>
            <w:vAlign w:val="bottom"/>
            <w:shd w:val="clear" w:color="auto" w:fill="C0FFFF"/>
          </w:tcPr>
          <w:p>
            <w:pPr>
              <w:spacing w:after="0"/>
              <w:rPr>
                <w:sz w:val="18"/>
                <w:szCs w:val="18"/>
                <w:color w:val="auto"/>
              </w:rPr>
            </w:pPr>
          </w:p>
        </w:tc>
        <w:tc>
          <w:tcPr>
            <w:tcW w:w="1940" w:type="dxa"/>
            <w:vAlign w:val="bottom"/>
            <w:shd w:val="clear" w:color="auto" w:fill="C0FFFF"/>
          </w:tcPr>
          <w:p>
            <w:pPr>
              <w:ind w:left="17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0FFFF"/>
          </w:tcPr>
          <w:p>
            <w:pPr>
              <w:spacing w:after="0"/>
              <w:rPr>
                <w:sz w:val="18"/>
                <w:szCs w:val="18"/>
                <w:color w:val="auto"/>
              </w:rPr>
            </w:pPr>
          </w:p>
        </w:tc>
        <w:tc>
          <w:tcPr>
            <w:tcW w:w="1940" w:type="dxa"/>
            <w:vAlign w:val="bottom"/>
            <w:shd w:val="clear" w:color="auto" w:fill="C0FFFF"/>
          </w:tcPr>
          <w:p>
            <w:pPr>
              <w:ind w:left="1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0FFFF"/>
          </w:tcPr>
          <w:p>
            <w:pPr>
              <w:spacing w:after="0"/>
              <w:rPr>
                <w:sz w:val="18"/>
                <w:szCs w:val="18"/>
                <w:color w:val="auto"/>
              </w:rPr>
            </w:pPr>
          </w:p>
        </w:tc>
        <w:tc>
          <w:tcPr>
            <w:tcW w:w="2140" w:type="dxa"/>
            <w:vAlign w:val="bottom"/>
            <w:gridSpan w:val="2"/>
            <w:shd w:val="clear" w:color="auto" w:fill="C0FFFF"/>
          </w:tcPr>
          <w:p>
            <w:pPr>
              <w:ind w:left="17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0FFFF"/>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September 1-30, 2012</w:t>
            </w:r>
          </w:p>
        </w:tc>
        <w:tc>
          <w:tcPr>
            <w:tcW w:w="140" w:type="dxa"/>
            <w:vAlign w:val="bottom"/>
          </w:tcPr>
          <w:p>
            <w:pPr>
              <w:spacing w:after="0"/>
              <w:rPr>
                <w:sz w:val="18"/>
                <w:szCs w:val="18"/>
                <w:color w:val="auto"/>
              </w:rPr>
            </w:pPr>
          </w:p>
        </w:tc>
        <w:tc>
          <w:tcPr>
            <w:tcW w:w="1940" w:type="dxa"/>
            <w:vAlign w:val="bottom"/>
          </w:tcPr>
          <w:p>
            <w:pPr>
              <w:ind w:left="1760"/>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8"/>
                <w:szCs w:val="18"/>
                <w:color w:val="auto"/>
              </w:rPr>
            </w:pPr>
          </w:p>
        </w:tc>
        <w:tc>
          <w:tcPr>
            <w:tcW w:w="1940" w:type="dxa"/>
            <w:vAlign w:val="bottom"/>
          </w:tcPr>
          <w:p>
            <w:pPr>
              <w:ind w:left="176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21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040" w:type="dxa"/>
            <w:vAlign w:val="bottom"/>
            <w:gridSpan w:val="2"/>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0FFFF"/>
          </w:tcPr>
          <w:p>
            <w:pPr>
              <w:spacing w:after="0"/>
              <w:rPr>
                <w:sz w:val="20"/>
                <w:szCs w:val="20"/>
                <w:color w:val="auto"/>
              </w:rPr>
            </w:pPr>
            <w:r>
              <w:rPr>
                <w:rFonts w:ascii="Arial" w:cs="Arial" w:eastAsia="Arial" w:hAnsi="Arial"/>
                <w:sz w:val="18"/>
                <w:szCs w:val="18"/>
                <w:color w:val="auto"/>
              </w:rPr>
              <w:t>October 1-31, 2012</w:t>
            </w:r>
          </w:p>
        </w:tc>
        <w:tc>
          <w:tcPr>
            <w:tcW w:w="140" w:type="dxa"/>
            <w:vAlign w:val="bottom"/>
            <w:shd w:val="clear" w:color="auto" w:fill="C0FFFF"/>
          </w:tcPr>
          <w:p>
            <w:pPr>
              <w:spacing w:after="0"/>
              <w:rPr>
                <w:sz w:val="18"/>
                <w:szCs w:val="18"/>
                <w:color w:val="auto"/>
              </w:rPr>
            </w:pPr>
          </w:p>
        </w:tc>
        <w:tc>
          <w:tcPr>
            <w:tcW w:w="1940" w:type="dxa"/>
            <w:vAlign w:val="bottom"/>
            <w:shd w:val="clear" w:color="auto" w:fill="C0FFFF"/>
          </w:tcPr>
          <w:p>
            <w:pPr>
              <w:ind w:left="17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0FFFF"/>
          </w:tcPr>
          <w:p>
            <w:pPr>
              <w:spacing w:after="0"/>
              <w:rPr>
                <w:sz w:val="18"/>
                <w:szCs w:val="18"/>
                <w:color w:val="auto"/>
              </w:rPr>
            </w:pPr>
          </w:p>
        </w:tc>
        <w:tc>
          <w:tcPr>
            <w:tcW w:w="1940" w:type="dxa"/>
            <w:vAlign w:val="bottom"/>
            <w:shd w:val="clear" w:color="auto" w:fill="C0FFFF"/>
          </w:tcPr>
          <w:p>
            <w:pPr>
              <w:ind w:left="17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0FFFF"/>
          </w:tcPr>
          <w:p>
            <w:pPr>
              <w:spacing w:after="0"/>
              <w:rPr>
                <w:sz w:val="18"/>
                <w:szCs w:val="18"/>
                <w:color w:val="auto"/>
              </w:rPr>
            </w:pPr>
          </w:p>
        </w:tc>
        <w:tc>
          <w:tcPr>
            <w:tcW w:w="2140" w:type="dxa"/>
            <w:vAlign w:val="bottom"/>
            <w:gridSpan w:val="2"/>
            <w:shd w:val="clear" w:color="auto" w:fill="C0FFFF"/>
          </w:tcPr>
          <w:p>
            <w:pPr>
              <w:ind w:left="174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0FFFF"/>
          </w:tcPr>
          <w:p>
            <w:pPr>
              <w:ind w:left="1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56"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On December 12, 2012, we agreed to amend the employment agreements of our Executive Vice Chairman, Dr. George W. Taylor, and our Chief Executive Officer, Charles F. Dunleavy (each, an “Officer”). The amendment (the “Amendment”) to each Officer’s Amended and Restated Employment Agreement dated as of April 8, 2009 (the “Employment Agreement”) provides for a reduction in the Officer’s base salary for the period from January 1, 2013 until July 31, 2013 (the “Temporary Salary Reduction Period”). During the Temporary Salary Reduction Period, Dr. Taylor’s annualized base salary will be reduced from $475,000 to $420,000 and Mr. Dunleavy’s annualized base salary will be reduced from $425,000 to $375,000. At the end of the Temporary Salary Reduction Period, each Officer’s salary will return to the level prior to the reduction, subject to increases or decreases otherwise contemplated by the Employment Agreement. In consideration of his agreement to accept the Amendment, each Officer will receive, at his election, incentive stock options or restricted stock equal in value to his aggregate salary reduction (an “Equity Grant”). Each Equity Grant will be fully vested on the grant date and will be issued pursuant to the terms of our 2006 Stock Incentive Plan. If for any reason the Officer is terminated during the Temporary Salary Reduction Period, the salary reduction will not be taken into account when calculating any severance or other benefits to which the Officer may be entitled. The other terms of the Employment Agreements remain unchanged.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1" w:name="page32"/>
    <w:bookmarkEnd w:id="31"/>
    <w:p>
      <w:pPr>
        <w:spacing w:after="0"/>
        <w:tabs>
          <w:tab w:leader="none" w:pos="9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i w:val="1"/>
          <w:iCs w:val="1"/>
          <w:color w:val="auto"/>
        </w:rPr>
        <w:t>EXHIBITS</w:t>
      </w:r>
    </w:p>
    <w:p>
      <w:pPr>
        <w:spacing w:after="0" w:line="283"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Letter to Employment Agreement, dated December 12, 2012, between George W. Taylor and Ocean Power Technologies, Inc.</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Letter to Employment Agreement, dated December 12, 2012, between Charles F. Dunleavy and Ocean Power Technologies, Inc.</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ind w:left="360"/>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820" w:hanging="461"/>
        <w:spacing w:after="0" w:line="288"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2012, filed December 14, 2012: (i) Consolidated Balance Sheets – October 31, 2012 (unaudited) and April 30, 2012, (ii) Consolidated Statements of Operations (unaudited) – Three and Six Months Ended October 31, 2012 and 2011, (iii)</w:t>
      </w:r>
    </w:p>
    <w:p>
      <w:pPr>
        <w:ind w:left="820" w:right="380"/>
        <w:spacing w:after="0" w:line="302" w:lineRule="auto"/>
        <w:rPr>
          <w:rFonts w:ascii="Arial" w:cs="Arial" w:eastAsia="Arial" w:hAnsi="Arial"/>
          <w:sz w:val="16"/>
          <w:szCs w:val="16"/>
          <w:color w:val="auto"/>
        </w:rPr>
      </w:pPr>
      <w:r>
        <w:rPr>
          <w:rFonts w:ascii="Arial" w:cs="Arial" w:eastAsia="Arial" w:hAnsi="Arial"/>
          <w:sz w:val="16"/>
          <w:szCs w:val="16"/>
          <w:color w:val="auto"/>
        </w:rPr>
        <w:t>Consolidated Statements of Comprehensive Loss (unaudited) – Three and Six Months Ended October 31, 2012 and 2011, (iv) Consolidated Statements of Cash Flows (unaudited) – Six Months Ended October 31, 2012 and 2011, (v) Consolidated Statements of Stockholders’ Equity (unaudited) – Six Months Ended October 31, 2012 and 2011 and (vi) Notes to Consolidated Financial Statements.*</w:t>
      </w:r>
    </w:p>
    <w:p>
      <w:pPr>
        <w:spacing w:after="0" w:line="371" w:lineRule="exact"/>
        <w:rPr>
          <w:rFonts w:ascii="Arial" w:cs="Arial" w:eastAsia="Arial" w:hAnsi="Arial"/>
          <w:sz w:val="16"/>
          <w:szCs w:val="16"/>
          <w:color w:val="auto"/>
        </w:rPr>
      </w:pPr>
    </w:p>
    <w:p>
      <w:pPr>
        <w:ind w:left="820" w:right="46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67" w:right="299" w:bottom="1440" w:gutter="0" w:footer="0" w:header="0"/>
        </w:sectPr>
      </w:pPr>
    </w:p>
    <w:bookmarkStart w:id="32" w:name="page33"/>
    <w:bookmarkEnd w:id="3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984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pacing w:after="0" w:line="200" w:lineRule="exact"/>
        <w:rPr>
          <w:sz w:val="20"/>
          <w:szCs w:val="20"/>
          <w:color w:val="auto"/>
        </w:rPr>
      </w:pPr>
    </w:p>
    <w:p>
      <w:pPr>
        <w:spacing w:after="0" w:line="34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984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33" w:name="page34"/>
    <w:bookmarkEnd w:id="33"/>
    <w:p>
      <w:pPr>
        <w:jc w:val="center"/>
        <w:ind w:right="120"/>
        <w:spacing w:after="0"/>
        <w:rPr>
          <w:sz w:val="20"/>
          <w:szCs w:val="20"/>
          <w:color w:val="auto"/>
        </w:rPr>
      </w:pPr>
      <w:r>
        <w:rPr>
          <w:rFonts w:ascii="Arial" w:cs="Arial" w:eastAsia="Arial" w:hAnsi="Arial"/>
          <w:sz w:val="18"/>
          <w:szCs w:val="18"/>
          <w:b w:val="1"/>
          <w:bCs w:val="1"/>
          <w:color w:val="auto"/>
        </w:rPr>
        <w:t>EXHIBITS INDEX</w:t>
      </w:r>
    </w:p>
    <w:p>
      <w:pPr>
        <w:spacing w:after="0" w:line="28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Letter to Employment Agreement, dated December 12, 2012, between George W. Taylor and Ocean Power Technologies,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Amendment Letter to Employment Agreement, dated December 12, 2012, between Charles F. Dunleavy and Ocean Power Technologies, Inc.</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Section 906 of the Sarbanes-Oxley Act of 2002</w:t>
      </w:r>
    </w:p>
    <w:p>
      <w:pPr>
        <w:spacing w:after="0" w:line="225"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Section 906 of the Sarbanes-Oxley Act of 2002</w:t>
      </w:r>
    </w:p>
    <w:p>
      <w:pPr>
        <w:spacing w:after="0" w:line="225" w:lineRule="exact"/>
        <w:rPr>
          <w:sz w:val="20"/>
          <w:szCs w:val="20"/>
          <w:color w:val="auto"/>
        </w:rPr>
      </w:pPr>
    </w:p>
    <w:p>
      <w:pPr>
        <w:jc w:val="both"/>
        <w:ind w:left="620" w:hanging="603"/>
        <w:spacing w:after="0" w:line="288"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2012, filed December 14, 2012: (i) Consolidated Balance Sheets – October 31, 2012 (unaudited) and April 30, 2012, (ii) Consolidated Statements of Operations (unaudited) – Three and Six Months Ended October 31, 2012 and 2011, (iii)</w:t>
      </w:r>
    </w:p>
    <w:p>
      <w:pPr>
        <w:ind w:left="620" w:right="380"/>
        <w:spacing w:after="0" w:line="302" w:lineRule="auto"/>
        <w:rPr>
          <w:rFonts w:ascii="Arial" w:cs="Arial" w:eastAsia="Arial" w:hAnsi="Arial"/>
          <w:sz w:val="16"/>
          <w:szCs w:val="16"/>
          <w:color w:val="auto"/>
        </w:rPr>
      </w:pPr>
      <w:r>
        <w:rPr>
          <w:rFonts w:ascii="Arial" w:cs="Arial" w:eastAsia="Arial" w:hAnsi="Arial"/>
          <w:sz w:val="16"/>
          <w:szCs w:val="16"/>
          <w:color w:val="auto"/>
        </w:rPr>
        <w:t>Consolidated Statements of Comprehensive Loss (unaudited) – Three and Six Months Ended October 31, 2012 and 2011, (iv) Consolidated Statements of Cash Flows (unaudited) – Six Months Ended October 31, 2012 and 2011, (v) Consolidated Statements of Stockholders’ Equity (unaudited) – Six Months Ended October 31, 2012 and 2011 and (vi) Notes to Consolidated Financial Statements.*</w:t>
      </w:r>
    </w:p>
    <w:p>
      <w:pPr>
        <w:spacing w:after="0" w:line="371" w:lineRule="exact"/>
        <w:rPr>
          <w:rFonts w:ascii="Arial" w:cs="Arial" w:eastAsia="Arial" w:hAnsi="Arial"/>
          <w:sz w:val="16"/>
          <w:szCs w:val="16"/>
          <w:color w:val="auto"/>
        </w:rPr>
      </w:pPr>
    </w:p>
    <w:p>
      <w:pPr>
        <w:ind w:left="620" w:right="460"/>
        <w:spacing w:after="0" w:line="264" w:lineRule="auto"/>
        <w:rPr>
          <w:rFonts w:ascii="Arial" w:cs="Arial" w:eastAsia="Arial" w:hAnsi="Arial"/>
          <w:sz w:val="16"/>
          <w:szCs w:val="16"/>
          <w:color w:val="auto"/>
        </w:rPr>
      </w:pPr>
      <w:r>
        <w:rPr>
          <w:rFonts w:ascii="Arial" w:cs="Arial" w:eastAsia="Arial" w:hAnsi="Arial"/>
          <w:sz w:val="18"/>
          <w:szCs w:val="18"/>
          <w:color w:val="auto"/>
        </w:rPr>
        <w:t>* 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ectPr>
          <w:pgSz w:w="11900" w:h="16838" w:orient="portrait"/>
          <w:cols w:equalWidth="0" w:num="1">
            <w:col w:w="11160"/>
          </w:cols>
          <w:pgMar w:left="440" w:top="567" w:right="29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George W. Taylor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12,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L. Davis, Chairman of Compensation Committee</w:t>
      </w:r>
    </w:p>
    <w:p>
      <w:pPr>
        <w:spacing w:after="0" w:line="26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8"/>
          <w:szCs w:val="18"/>
          <w:i w:val="1"/>
          <w:iCs w:val="1"/>
          <w:color w:val="auto"/>
        </w:rPr>
        <w:t>Employment Agreement</w:t>
      </w:r>
      <w:r>
        <w:rPr>
          <w:rFonts w:ascii="Arial" w:cs="Arial" w:eastAsia="Arial" w:hAnsi="Arial"/>
          <w:sz w:val="18"/>
          <w:szCs w:val="18"/>
          <w:color w:val="auto"/>
        </w:rPr>
        <w:t>”).</w:t>
      </w:r>
    </w:p>
    <w:p>
      <w:pPr>
        <w:spacing w:after="0" w:line="241" w:lineRule="exact"/>
        <w:rPr>
          <w:sz w:val="20"/>
          <w:szCs w:val="20"/>
          <w:color w:val="auto"/>
        </w:rPr>
      </w:pPr>
    </w:p>
    <w:p>
      <w:pPr>
        <w:ind w:right="60" w:firstLine="8"/>
        <w:spacing w:after="0" w:line="277" w:lineRule="auto"/>
        <w:tabs>
          <w:tab w:leader="none" w:pos="62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2013 and shall continue in effect until July 31, 2013 (the “</w:t>
      </w:r>
      <w:r>
        <w:rPr>
          <w:rFonts w:ascii="Arial" w:cs="Arial" w:eastAsia="Arial" w:hAnsi="Arial"/>
          <w:sz w:val="18"/>
          <w:szCs w:val="18"/>
          <w:i w:val="1"/>
          <w:iCs w:val="1"/>
          <w:color w:val="auto"/>
        </w:rPr>
        <w:t>Temporary Salary</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 Period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60" w:firstLine="8"/>
        <w:spacing w:after="0" w:line="259" w:lineRule="auto"/>
        <w:tabs>
          <w:tab w:leader="none" w:pos="63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Temporary Salary Reduction Period, my annualized base salary shall be reduced from $475,000 to $420,000 (the “</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$475,000, subject to further increases or decreases as may be made from time to time in accordance with the terms of the Employment Agreement.</w:t>
      </w:r>
    </w:p>
    <w:p>
      <w:pPr>
        <w:spacing w:after="0" w:line="240" w:lineRule="exact"/>
        <w:rPr>
          <w:rFonts w:ascii="Arial" w:cs="Arial" w:eastAsia="Arial" w:hAnsi="Arial"/>
          <w:sz w:val="18"/>
          <w:szCs w:val="18"/>
          <w:color w:val="auto"/>
        </w:rPr>
      </w:pPr>
    </w:p>
    <w:p>
      <w:pPr>
        <w:ind w:firstLine="8"/>
        <w:spacing w:after="0" w:line="270" w:lineRule="auto"/>
        <w:tabs>
          <w:tab w:leader="none" w:pos="63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firstLine="8"/>
        <w:spacing w:after="0" w:line="264" w:lineRule="auto"/>
        <w:tabs>
          <w:tab w:leader="none" w:pos="63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$475,000 for purposes of any severance or other benefits that I may be entitled to under the Employment Agreement based on such termination.</w:t>
      </w: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your acknowledgement and agreement with the foregoing matters by executing this letter agreement in the space set forth below.</w:t>
      </w: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George W. Taylor</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George W.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25298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David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5146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146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David L. Davis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020"/>
          </w:cols>
          <w:pgMar w:left="240" w:top="571" w:right="6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10.2</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Charles F. Dunleavy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12,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1590 Reed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Pennington, NJ 08534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David L. Davis, Chairman of Compensation Committee</w:t>
      </w:r>
    </w:p>
    <w:p>
      <w:pPr>
        <w:spacing w:after="0" w:line="26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Temporary Executive Salary Reduction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David:</w:t>
      </w:r>
    </w:p>
    <w:p>
      <w:pPr>
        <w:spacing w:after="0" w:line="279"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This letter confirms our discussion regarding our agreement to have my base salary compensation temporarily reduced in order to help reduce the monthly cash expenditures of Ocean Power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as we collectively work toward achieving improved cash flow. This letter outlines our agreement with respect to the foregoing, and amends the Amended and Restated Employment Agreement dated April 8, 2009 between myself and the Company (the “</w:t>
      </w:r>
      <w:r>
        <w:rPr>
          <w:rFonts w:ascii="Arial" w:cs="Arial" w:eastAsia="Arial" w:hAnsi="Arial"/>
          <w:sz w:val="18"/>
          <w:szCs w:val="18"/>
          <w:i w:val="1"/>
          <w:iCs w:val="1"/>
          <w:color w:val="auto"/>
        </w:rPr>
        <w:t>Employment Agreement</w:t>
      </w:r>
      <w:r>
        <w:rPr>
          <w:rFonts w:ascii="Arial" w:cs="Arial" w:eastAsia="Arial" w:hAnsi="Arial"/>
          <w:sz w:val="18"/>
          <w:szCs w:val="18"/>
          <w:color w:val="auto"/>
        </w:rPr>
        <w:t>”).</w:t>
      </w:r>
    </w:p>
    <w:p>
      <w:pPr>
        <w:spacing w:after="0" w:line="241" w:lineRule="exact"/>
        <w:rPr>
          <w:sz w:val="20"/>
          <w:szCs w:val="20"/>
          <w:color w:val="auto"/>
        </w:rPr>
      </w:pPr>
    </w:p>
    <w:p>
      <w:pPr>
        <w:ind w:right="60" w:firstLine="8"/>
        <w:spacing w:after="0" w:line="277" w:lineRule="auto"/>
        <w:tabs>
          <w:tab w:leader="none" w:pos="6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period of temporary salary reduction shall commence on January 1, 2013 and shall continue in effect until July 31, 2013 (the “</w:t>
      </w:r>
      <w:r>
        <w:rPr>
          <w:rFonts w:ascii="Arial" w:cs="Arial" w:eastAsia="Arial" w:hAnsi="Arial"/>
          <w:sz w:val="18"/>
          <w:szCs w:val="18"/>
          <w:i w:val="1"/>
          <w:iCs w:val="1"/>
          <w:color w:val="auto"/>
        </w:rPr>
        <w:t>Temporary Salary</w:t>
      </w:r>
      <w:r>
        <w:rPr>
          <w:rFonts w:ascii="Arial" w:cs="Arial" w:eastAsia="Arial" w:hAnsi="Arial"/>
          <w:sz w:val="18"/>
          <w:szCs w:val="18"/>
          <w:color w:val="auto"/>
        </w:rPr>
        <w:t xml:space="preserve"> </w:t>
      </w:r>
      <w:r>
        <w:rPr>
          <w:rFonts w:ascii="Arial" w:cs="Arial" w:eastAsia="Arial" w:hAnsi="Arial"/>
          <w:sz w:val="18"/>
          <w:szCs w:val="18"/>
          <w:i w:val="1"/>
          <w:iCs w:val="1"/>
          <w:color w:val="auto"/>
        </w:rPr>
        <w:t>Reduction Period</w:t>
      </w:r>
      <w:r>
        <w:rPr>
          <w:rFonts w:ascii="Arial" w:cs="Arial" w:eastAsia="Arial" w:hAnsi="Arial"/>
          <w:sz w:val="18"/>
          <w:szCs w:val="18"/>
          <w:color w:val="auto"/>
        </w:rPr>
        <w:t>”).</w:t>
      </w:r>
    </w:p>
    <w:p>
      <w:pPr>
        <w:spacing w:after="0" w:line="224" w:lineRule="exact"/>
        <w:rPr>
          <w:rFonts w:ascii="Arial" w:cs="Arial" w:eastAsia="Arial" w:hAnsi="Arial"/>
          <w:sz w:val="18"/>
          <w:szCs w:val="18"/>
          <w:color w:val="auto"/>
        </w:rPr>
      </w:pPr>
    </w:p>
    <w:p>
      <w:pPr>
        <w:ind w:right="60" w:firstLine="8"/>
        <w:spacing w:after="0" w:line="259" w:lineRule="auto"/>
        <w:tabs>
          <w:tab w:leader="none" w:pos="6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Temporary Salary Reduction Period, my annualized base salary shall be reduced from $425,000 to $375,000 (the “</w:t>
      </w:r>
      <w:r>
        <w:rPr>
          <w:rFonts w:ascii="Arial" w:cs="Arial" w:eastAsia="Arial" w:hAnsi="Arial"/>
          <w:sz w:val="18"/>
          <w:szCs w:val="18"/>
          <w:i w:val="1"/>
          <w:iCs w:val="1"/>
          <w:color w:val="auto"/>
        </w:rPr>
        <w:t>Temporary Salary</w:t>
      </w:r>
      <w:r>
        <w:rPr>
          <w:rFonts w:ascii="Arial" w:cs="Arial" w:eastAsia="Arial" w:hAnsi="Arial"/>
          <w:sz w:val="18"/>
          <w:szCs w:val="18"/>
          <w:color w:val="auto"/>
        </w:rPr>
        <w:t>”), and such Temporary Salary will be payable in accordance with the Company’s normal payroll procedures. At the end of the Temporary Salary Reduction Period, my annualized base salary shall return to $425,000, subject to further increases or decreases as may be made from time to time in accordance with the terms of the Employment Agreement.</w:t>
      </w:r>
    </w:p>
    <w:p>
      <w:pPr>
        <w:spacing w:after="0" w:line="240" w:lineRule="exact"/>
        <w:rPr>
          <w:rFonts w:ascii="Arial" w:cs="Arial" w:eastAsia="Arial" w:hAnsi="Arial"/>
          <w:sz w:val="18"/>
          <w:szCs w:val="18"/>
          <w:color w:val="auto"/>
        </w:rPr>
      </w:pPr>
    </w:p>
    <w:p>
      <w:pPr>
        <w:ind w:firstLine="8"/>
        <w:spacing w:after="0" w:line="270" w:lineRule="auto"/>
        <w:tabs>
          <w:tab w:leader="none" w:pos="63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consideration for my agreement to accept the Temporary Salary during the Temporary Salary Reduction Period, the Company is agreeing to issue me incentive stock options (“</w:t>
      </w:r>
      <w:r>
        <w:rPr>
          <w:rFonts w:ascii="Arial" w:cs="Arial" w:eastAsia="Arial" w:hAnsi="Arial"/>
          <w:sz w:val="17"/>
          <w:szCs w:val="17"/>
          <w:i w:val="1"/>
          <w:iCs w:val="1"/>
          <w:color w:val="auto"/>
        </w:rPr>
        <w:t>Options</w:t>
      </w:r>
      <w:r>
        <w:rPr>
          <w:rFonts w:ascii="Arial" w:cs="Arial" w:eastAsia="Arial" w:hAnsi="Arial"/>
          <w:sz w:val="17"/>
          <w:szCs w:val="17"/>
          <w:color w:val="auto"/>
        </w:rPr>
        <w:t>”) or shares of restricted stock (“</w:t>
      </w:r>
      <w:r>
        <w:rPr>
          <w:rFonts w:ascii="Arial" w:cs="Arial" w:eastAsia="Arial" w:hAnsi="Arial"/>
          <w:sz w:val="17"/>
          <w:szCs w:val="17"/>
          <w:i w:val="1"/>
          <w:iCs w:val="1"/>
          <w:color w:val="auto"/>
        </w:rPr>
        <w:t>Restricted Stock</w:t>
      </w:r>
      <w:r>
        <w:rPr>
          <w:rFonts w:ascii="Arial" w:cs="Arial" w:eastAsia="Arial" w:hAnsi="Arial"/>
          <w:sz w:val="17"/>
          <w:szCs w:val="17"/>
          <w:color w:val="auto"/>
        </w:rPr>
        <w:t>”) under the Company’s 2006 Stock Incentive Plan (the “</w:t>
      </w:r>
      <w:r>
        <w:rPr>
          <w:rFonts w:ascii="Arial" w:cs="Arial" w:eastAsia="Arial" w:hAnsi="Arial"/>
          <w:sz w:val="17"/>
          <w:szCs w:val="17"/>
          <w:i w:val="1"/>
          <w:iCs w:val="1"/>
          <w:color w:val="auto"/>
        </w:rPr>
        <w:t>Plan</w:t>
      </w:r>
      <w:r>
        <w:rPr>
          <w:rFonts w:ascii="Arial" w:cs="Arial" w:eastAsia="Arial" w:hAnsi="Arial"/>
          <w:sz w:val="17"/>
          <w:szCs w:val="17"/>
          <w:color w:val="auto"/>
        </w:rPr>
        <w:t>”) equal in value to the aggregate reduction in my base salary during the Temporary Salary Reduction Period. Such grants of Options or shares of Restricted Stock shall be made on the last day of each calendar quarter during the Temporary Salary Reduction Period (or, if the Temporary Salary Reduction Period ends during a calendar quarter, on the last day of the Temporary Salary Reduction Period) at the then fair market value of the Company’s Common Stock as required under the Plan. The number of shares underlying such Options or the number of shares of Restricted Stock shall be determined on the date of grant and shall have an aggregate value (based on the Company’s customary valuation methodology) equal to the aggregate reduction in base salary during such calendar quarter. Such Options or shares of Restricted Stock shall be fully vested on the date of grant (and will otherwise contain customary terms for such a grant), and I will notify the Company at least 5 business days prior to the end of such calendar quarter whether I am electing to receive Options or shares of Restricted Stock as consideration for such calendar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445770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firstLine="8"/>
        <w:spacing w:after="0" w:line="264" w:lineRule="auto"/>
        <w:tabs>
          <w:tab w:leader="none" w:pos="6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for any reason my employment with the Company is terminated during the Temporary Salary Reduction Period, my base salary on the date of termination shall be deemed to be equal to $425,000 for purposes of any severance or other benefits that I may be entitled to under the Employment Agreement based on such termination.</w:t>
      </w: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reflects the only amendments to my Employment Agreement. Except as specifically amended hereby, the Employment Agreement shall continue in full force and effect.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Please confirm your acknowledgement and agreement with the foregoing matters by executing this letter agreement in the space set forth below.</w:t>
      </w:r>
    </w:p>
    <w:p>
      <w:pPr>
        <w:spacing w:after="0" w:line="29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Charles F. Dunleavy</w:t>
      </w:r>
    </w:p>
    <w:p>
      <w:pPr>
        <w:spacing w:after="0" w:line="4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-127635</wp:posOffset>
            </wp:positionV>
            <wp:extent cx="25298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ACKNOWLEDGED AND AGREED: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Ocean Power Technologies,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David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24003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color w:val="auto"/>
        </w:rPr>
        <w:t>David L. Davis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Its: </w:t>
      </w:r>
      <w:r>
        <w:rPr>
          <w:rFonts w:ascii="Arial" w:cs="Arial" w:eastAsia="Arial" w:hAnsi="Arial"/>
          <w:sz w:val="18"/>
          <w:szCs w:val="18"/>
          <w:color w:val="auto"/>
        </w:rPr>
        <w:t>Chairman - Compensation Committee</w:t>
      </w:r>
    </w:p>
    <w:p>
      <w:pPr>
        <w:sectPr>
          <w:pgSz w:w="11900" w:h="16838" w:orient="portrait"/>
          <w:cols w:equalWidth="0" w:num="1">
            <w:col w:w="11020"/>
          </w:cols>
          <w:pgMar w:left="240" w:top="571" w:right="6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79"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sz w:val="20"/>
          <w:szCs w:val="20"/>
          <w:color w:val="auto"/>
        </w:rPr>
      </w:pPr>
    </w:p>
    <w:p>
      <w:pPr>
        <w:ind w:left="460" w:right="22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sz w:val="20"/>
          <w:szCs w:val="20"/>
          <w:color w:val="auto"/>
        </w:rPr>
      </w:pPr>
    </w:p>
    <w:p>
      <w:pPr>
        <w:ind w:left="460" w:right="380" w:hanging="452"/>
        <w:spacing w:after="0" w:line="34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8" w:lineRule="exact"/>
        <w:rPr>
          <w:sz w:val="20"/>
          <w:szCs w:val="20"/>
          <w:color w:val="auto"/>
        </w:rPr>
      </w:pPr>
    </w:p>
    <w:p>
      <w:pPr>
        <w:ind w:left="4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Brian M. Posner, certify that:</w:t>
      </w:r>
    </w:p>
    <w:p>
      <w:pPr>
        <w:spacing w:after="0" w:line="27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right="48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right="44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60" w:right="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left="460" w:right="22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460" w:right="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460" w:right="140" w:hanging="452"/>
        <w:spacing w:after="0" w:line="264"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right="380" w:hanging="452"/>
        <w:spacing w:after="0" w:line="34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24" w:lineRule="exact"/>
        <w:rPr>
          <w:sz w:val="20"/>
          <w:szCs w:val="20"/>
          <w:color w:val="auto"/>
        </w:rPr>
      </w:pPr>
    </w:p>
    <w:p>
      <w:pPr>
        <w:ind w:left="4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60" w:hanging="452"/>
        <w:spacing w:after="0" w:line="277"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2012, as filed with the Securities and Exchange Commission on the date hereof (the "Report"), the undersigned, Charles F. Dunleavy, Chief Executive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2012, as filed with the Securities and Exchange Commission on the date hereof (the "Report"), the undersigned, Brian M. Posner, Chief Financial Officer of the Company, hereby certifies, pursuant to 18 U.S.C. Section 1350, that:</w:t>
      </w:r>
    </w:p>
    <w:p>
      <w:pPr>
        <w:spacing w:after="0" w:line="23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Brian M. Posner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Brian M. Posner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Officer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14, 2012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01"/>
    </w:lvl>
    <w:lvl w:ilvl="1">
      <w:lvlJc w:val="left"/>
      <w:lvlText w:val="*"/>
      <w:numFmt w:val="bullet"/>
      <w:start w:val="1"/>
    </w:lvl>
  </w:abstractNum>
  <w:abstractNum w:abstractNumId="6">
    <w:nsid w:val="DED7263"/>
    <w:multiLevelType w:val="hybridMultilevel"/>
    <w:lvl w:ilvl="0">
      <w:lvlJc w:val="left"/>
      <w:lvlText w:val="%1"/>
      <w:numFmt w:val="decimal"/>
      <w:start w:val="101"/>
    </w:lvl>
    <w:lvl w:ilvl="1">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4"/>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4"/>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lowerLetter"/>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5"/>
    </w:lvl>
  </w:abstractNum>
  <w:abstractNum w:abstractNumId="18">
    <w:nsid w:val="62BBD95A"/>
    <w:multiLevelType w:val="hybridMultilevel"/>
    <w:lvl w:ilvl="0">
      <w:lvlJc w:val="left"/>
      <w:lvlText w:val="(%1)"/>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2019-12-09T18:52:32Z</dcterms:created>
  <dcterms:modified xsi:type="dcterms:W3CDTF">2019-12-09T18:52:32Z</dcterms:modified>
</cp:coreProperties>
</file>