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left="3940" w:right="1580" w:hanging="3669"/>
        <w:spacing w:after="0" w:line="501" w:lineRule="auto"/>
        <w:tabs>
          <w:tab w:leader="none" w:pos="68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July 31, 2017</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700" w:hanging="429"/>
        <w:spacing w:after="0"/>
        <w:tabs>
          <w:tab w:leader="none" w:pos="7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668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26" w:right="239" w:bottom="1440" w:gutter="0" w:footer="0" w:header="0"/>
        </w:sectPr>
      </w:pPr>
    </w:p>
    <w:p>
      <w:pPr>
        <w:spacing w:after="0" w:line="20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20" w:space="720"/>
            <w:col w:w="4080"/>
          </w:cols>
          <w:pgMar w:left="240" w:top="226" w:right="23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p>
      <w:pPr>
        <w:ind w:left="460"/>
        <w:spacing w:after="0" w:line="207" w:lineRule="exact"/>
        <w:tabs>
          <w:tab w:leader="none" w:pos="3480" w:val="left"/>
          <w:tab w:leader="none" w:pos="6180" w:val="left"/>
          <w:tab w:leader="none" w:pos="87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58" w:lineRule="exact"/>
        <w:rPr>
          <w:sz w:val="24"/>
          <w:szCs w:val="24"/>
          <w:color w:val="auto"/>
        </w:rPr>
      </w:pPr>
    </w:p>
    <w:p>
      <w:pPr>
        <w:jc w:val="center"/>
        <w:ind w:left="2680"/>
        <w:spacing w:after="0"/>
        <w:rPr>
          <w:sz w:val="20"/>
          <w:szCs w:val="20"/>
          <w:color w:val="auto"/>
        </w:rPr>
      </w:pPr>
      <w:r>
        <w:rPr>
          <w:rFonts w:ascii="Arial" w:cs="Arial" w:eastAsia="Arial" w:hAnsi="Arial"/>
          <w:sz w:val="18"/>
          <w:szCs w:val="18"/>
          <w:color w:val="auto"/>
        </w:rPr>
        <w:t>(Do not check if a smaller</w:t>
      </w:r>
    </w:p>
    <w:p>
      <w:pPr>
        <w:spacing w:after="0" w:line="23" w:lineRule="exact"/>
        <w:rPr>
          <w:sz w:val="24"/>
          <w:szCs w:val="24"/>
          <w:color w:val="auto"/>
        </w:rPr>
      </w:pPr>
    </w:p>
    <w:p>
      <w:pPr>
        <w:jc w:val="center"/>
        <w:ind w:left="2680"/>
        <w:spacing w:after="0"/>
        <w:rPr>
          <w:sz w:val="20"/>
          <w:szCs w:val="20"/>
          <w:color w:val="auto"/>
        </w:rPr>
      </w:pPr>
      <w:r>
        <w:rPr>
          <w:rFonts w:ascii="Arial" w:cs="Arial" w:eastAsia="Arial" w:hAnsi="Arial"/>
          <w:sz w:val="18"/>
          <w:szCs w:val="18"/>
          <w:color w:val="auto"/>
        </w:rPr>
        <w:t>reporting company)</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58" w:lineRule="exact"/>
        <w:rPr>
          <w:sz w:val="24"/>
          <w:szCs w:val="24"/>
          <w:color w:val="auto"/>
        </w:rPr>
      </w:pPr>
    </w:p>
    <w:p>
      <w:pPr>
        <w:jc w:val="both"/>
        <w:ind w:right="20"/>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As of August 30, 2017 the number of outstanding shares of common stock of the registrant was 12,526,124.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570230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FORM 10-Q</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4"/>
        </w:trPr>
        <w:tc>
          <w:tcPr>
            <w:tcW w:w="962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 — FINANCIAL INFORMATION</w:t>
            </w: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202"/>
        </w:trPr>
        <w:tc>
          <w:tcPr>
            <w:tcW w:w="9620" w:type="dxa"/>
            <w:vAlign w:val="bottom"/>
            <w:gridSpan w:val="19"/>
            <w:vMerge w:val="continue"/>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18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60" w:type="dxa"/>
            <w:vAlign w:val="bottom"/>
            <w:gridSpan w:val="17"/>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as of July 31, 2017 (unaudited) and April 30, 2017</w:t>
              </w:r>
            </w:hyperlink>
          </w:p>
        </w:tc>
        <w:tc>
          <w:tcPr>
            <w:tcW w:w="156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 for the three months ended July 31, 2017 and 2016</w:t>
              </w:r>
            </w:hyperlink>
          </w:p>
        </w:tc>
        <w:tc>
          <w:tcPr>
            <w:tcW w:w="1640" w:type="dxa"/>
            <w:vAlign w:val="bottom"/>
            <w:gridSpan w:val="3"/>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gridSpan w:val="17"/>
          </w:tcPr>
          <w:p>
            <w:pPr>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Unaudited Consolidated Statements of Comprehensive Loss for the three months ended July 31, 2017 and 2016</w:t>
              </w:r>
            </w:hyperlink>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Consolidated Statement of Stockholders' Equity for the three months ended July 31, 2017</w:t>
              </w:r>
            </w:hyperlink>
          </w:p>
        </w:tc>
        <w:tc>
          <w:tcPr>
            <w:tcW w:w="920" w:type="dxa"/>
            <w:vAlign w:val="bottom"/>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38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Unaudited Consolidated Statements of Cash Flows for the three months ended July 31, 2017 and 2016</w:t>
              </w:r>
            </w:hyperlink>
          </w:p>
        </w:tc>
        <w:tc>
          <w:tcPr>
            <w:tcW w:w="1580" w:type="dxa"/>
            <w:vAlign w:val="bottom"/>
            <w:gridSpan w:val="2"/>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60" w:type="dxa"/>
            <w:vAlign w:val="bottom"/>
            <w:gridSpan w:val="1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Unaudited Consolidated Financial Statements</w:t>
              </w:r>
            </w:hyperlink>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918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180" w:type="dxa"/>
            <w:vAlign w:val="bottom"/>
            <w:gridSpan w:val="5"/>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Item 4. Controls and Procedures</w:t>
              </w:r>
            </w:hyperlink>
          </w:p>
        </w:tc>
        <w:tc>
          <w:tcPr>
            <w:tcW w:w="6840" w:type="dxa"/>
            <w:vAlign w:val="bottom"/>
            <w:gridSpan w:val="11"/>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962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900" w:type="dxa"/>
            <w:vAlign w:val="bottom"/>
            <w:tcBorders>
              <w:bottom w:val="single" w:sz="8" w:color="0000EE"/>
            </w:tcBorders>
            <w:gridSpan w:val="5"/>
          </w:tcPr>
          <w:p>
            <w:pPr>
              <w:spacing w:after="0" w:line="190"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1. Legal Proceedings</w:t>
              </w:r>
            </w:hyperlink>
          </w:p>
        </w:tc>
        <w:tc>
          <w:tcPr>
            <w:tcW w:w="7280" w:type="dxa"/>
            <w:vAlign w:val="bottom"/>
            <w:gridSpan w:val="13"/>
          </w:tcPr>
          <w:p>
            <w:pPr>
              <w:spacing w:after="0"/>
              <w:rPr>
                <w:sz w:val="16"/>
                <w:szCs w:val="16"/>
                <w:color w:val="auto"/>
              </w:rPr>
            </w:pPr>
          </w:p>
        </w:tc>
        <w:tc>
          <w:tcPr>
            <w:tcW w:w="156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1A. Risk Factors</w:t>
              </w:r>
            </w:hyperlink>
          </w:p>
        </w:tc>
        <w:tc>
          <w:tcPr>
            <w:tcW w:w="7580" w:type="dxa"/>
            <w:vAlign w:val="bottom"/>
            <w:gridSpan w:val="15"/>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918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2. Unregistered Sales of Equity Securities and Use of Proceeds</w:t>
              </w:r>
            </w:hyperlink>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3. Defaults Upon Senior Securities</w:t>
              </w:r>
            </w:hyperlink>
          </w:p>
        </w:tc>
        <w:tc>
          <w:tcPr>
            <w:tcW w:w="4280" w:type="dxa"/>
            <w:vAlign w:val="bottom"/>
            <w:gridSpan w:val="8"/>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Item 4. Mine Safety Disclosures</w:t>
              </w:r>
            </w:hyperlink>
          </w:p>
        </w:tc>
        <w:tc>
          <w:tcPr>
            <w:tcW w:w="6300" w:type="dxa"/>
            <w:vAlign w:val="bottom"/>
            <w:gridSpan w:val="10"/>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Item 5. Other Information</w:t>
              </w:r>
            </w:hyperlink>
          </w:p>
        </w:tc>
        <w:tc>
          <w:tcPr>
            <w:tcW w:w="440" w:type="dxa"/>
            <w:vAlign w:val="bottom"/>
            <w:tcBorders>
              <w:top w:val="single" w:sz="8" w:color="0000EE"/>
            </w:tcBorders>
            <w:gridSpan w:val="2"/>
          </w:tcPr>
          <w:p>
            <w:pPr>
              <w:spacing w:after="0"/>
              <w:rPr>
                <w:sz w:val="17"/>
                <w:szCs w:val="17"/>
                <w:color w:val="auto"/>
              </w:rPr>
            </w:pPr>
          </w:p>
        </w:tc>
        <w:tc>
          <w:tcPr>
            <w:tcW w:w="6860" w:type="dxa"/>
            <w:vAlign w:val="bottom"/>
            <w:gridSpan w:val="12"/>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Item 6. Exhibits</w:t>
              </w:r>
            </w:hyperlink>
          </w:p>
        </w:tc>
        <w:tc>
          <w:tcPr>
            <w:tcW w:w="8020" w:type="dxa"/>
            <w:vAlign w:val="bottom"/>
            <w:gridSpan w:val="16"/>
          </w:tcPr>
          <w:p>
            <w:pPr>
              <w:spacing w:after="0"/>
              <w:rPr>
                <w:sz w:val="17"/>
                <w:szCs w:val="17"/>
                <w:color w:val="auto"/>
              </w:rPr>
            </w:pPr>
          </w:p>
        </w:tc>
        <w:tc>
          <w:tcPr>
            <w:tcW w:w="156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PowerBuoy and the Ocean Power Technologies logo are trademarks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118" w:right="47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a number of risks and uncertainties that are beyond our control, including:</w:t>
      </w:r>
    </w:p>
    <w:p>
      <w:pPr>
        <w:spacing w:after="0" w:line="187" w:lineRule="exact"/>
        <w:rPr>
          <w:sz w:val="20"/>
          <w:szCs w:val="20"/>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224"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79"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2017,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60" w:type="dxa"/>
            <w:vAlign w:val="bottom"/>
          </w:tcPr>
          <w:p>
            <w:pPr>
              <w:ind w:left="334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60" w:type="dxa"/>
            <w:vAlign w:val="bottom"/>
          </w:tcPr>
          <w:p>
            <w:pPr>
              <w:ind w:left="14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6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60" w:type="dxa"/>
            <w:vAlign w:val="bottom"/>
          </w:tcPr>
          <w:p>
            <w:pPr>
              <w:jc w:val="center"/>
              <w:ind w:left="2730"/>
              <w:spacing w:after="0"/>
              <w:rPr>
                <w:sz w:val="20"/>
                <w:szCs w:val="20"/>
                <w:color w:val="auto"/>
              </w:rPr>
            </w:pPr>
            <w:r>
              <w:rPr>
                <w:rFonts w:ascii="Arial" w:cs="Arial" w:eastAsia="Arial" w:hAnsi="Arial"/>
                <w:sz w:val="18"/>
                <w:szCs w:val="18"/>
                <w:b w:val="1"/>
                <w:bCs w:val="1"/>
                <w:color w:val="auto"/>
                <w:w w:val="87"/>
              </w:rPr>
              <w:t>Consolidated Balance Sheets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60" w:type="dxa"/>
            <w:vAlign w:val="bottom"/>
          </w:tcPr>
          <w:p>
            <w:pPr>
              <w:jc w:val="center"/>
              <w:ind w:left="2710"/>
              <w:spacing w:after="0"/>
              <w:rPr>
                <w:sz w:val="20"/>
                <w:szCs w:val="20"/>
                <w:color w:val="auto"/>
              </w:rPr>
            </w:pPr>
            <w:r>
              <w:rPr>
                <w:rFonts w:ascii="Arial" w:cs="Arial" w:eastAsia="Arial" w:hAnsi="Arial"/>
                <w:sz w:val="18"/>
                <w:szCs w:val="18"/>
                <w:b w:val="1"/>
                <w:bCs w:val="1"/>
                <w:color w:val="auto"/>
                <w:w w:val="88"/>
              </w:rPr>
              <w:t>(in $000’s, except share data)</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400"/>
              <w:spacing w:after="0"/>
              <w:rPr>
                <w:sz w:val="20"/>
                <w:szCs w:val="20"/>
                <w:color w:val="auto"/>
              </w:rPr>
            </w:pPr>
            <w:r>
              <w:rPr>
                <w:rFonts w:ascii="Arial" w:cs="Arial" w:eastAsia="Arial" w:hAnsi="Arial"/>
                <w:sz w:val="18"/>
                <w:szCs w:val="18"/>
                <w:color w:val="auto"/>
                <w:w w:val="97"/>
              </w:rPr>
              <w:t>July 31, 2017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April 30, 2017</w:t>
            </w: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6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92"/>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Restricted cash- short-term</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Litigation receivable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20" w:type="dxa"/>
            <w:vAlign w:val="bottom"/>
            <w:gridSpan w:val="2"/>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12,782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9,746</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Restricted cash- long-term</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20" w:type="dxa"/>
            <w:vAlign w:val="bottom"/>
            <w:gridSpan w:val="2"/>
          </w:tcPr>
          <w:p>
            <w:pPr>
              <w:ind w:left="320"/>
              <w:spacing w:after="0"/>
              <w:rPr>
                <w:sz w:val="20"/>
                <w:szCs w:val="20"/>
                <w:color w:val="auto"/>
              </w:rPr>
            </w:pPr>
            <w:r>
              <w:rPr>
                <w:rFonts w:ascii="Arial" w:cs="Arial" w:eastAsia="Arial" w:hAnsi="Arial"/>
                <w:sz w:val="18"/>
                <w:szCs w:val="18"/>
                <w:color w:val="auto"/>
              </w:rPr>
              <w:t>Total assets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13,085</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10,073</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260" w:type="dxa"/>
            <w:vAlign w:val="bottom"/>
            <w:shd w:val="clear" w:color="auto" w:fill="CCEEFF"/>
          </w:tcPr>
          <w:p>
            <w:pPr>
              <w:jc w:val="center"/>
              <w:ind w:right="530"/>
              <w:spacing w:after="0" w:line="196" w:lineRule="exact"/>
              <w:rPr>
                <w:sz w:val="20"/>
                <w:szCs w:val="20"/>
                <w:color w:val="auto"/>
              </w:rPr>
            </w:pPr>
            <w:r>
              <w:rPr>
                <w:rFonts w:ascii="Arial" w:cs="Arial" w:eastAsia="Arial" w:hAnsi="Arial"/>
                <w:sz w:val="18"/>
                <w:szCs w:val="18"/>
                <w:color w:val="auto"/>
                <w:w w:val="99"/>
              </w:rPr>
              <w:t>LIABILITIES AND STOCKHOLDERS' EQUITY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Litigation payable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Warrant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Deferred credits payable current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0"/>
        </w:trPr>
        <w:tc>
          <w:tcPr>
            <w:tcW w:w="20" w:type="dxa"/>
            <w:vAlign w:val="bottom"/>
          </w:tcPr>
          <w:p>
            <w:pPr>
              <w:spacing w:after="0"/>
              <w:rPr>
                <w:sz w:val="18"/>
                <w:szCs w:val="18"/>
                <w:color w:val="auto"/>
              </w:rPr>
            </w:pPr>
          </w:p>
        </w:tc>
        <w:tc>
          <w:tcPr>
            <w:tcW w:w="7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Long-term portion of capital lease obligations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0"/>
        </w:trPr>
        <w:tc>
          <w:tcPr>
            <w:tcW w:w="20" w:type="dxa"/>
            <w:vAlign w:val="bottom"/>
          </w:tcPr>
          <w:p>
            <w:pPr>
              <w:spacing w:after="0"/>
              <w:rPr>
                <w:sz w:val="18"/>
                <w:szCs w:val="18"/>
                <w:color w:val="auto"/>
              </w:rPr>
            </w:pPr>
          </w:p>
        </w:tc>
        <w:tc>
          <w:tcPr>
            <w:tcW w:w="7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Ocean Power Technologies, Inc. stockholders’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7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$0.001 par value; authorized 50,000,000 shares, issued 12,621,205 and 6,313,996 shares,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70,081 and 48,065 shares, respectively</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(295)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193,234</w:t>
            </w:r>
          </w:p>
        </w:tc>
      </w:tr>
      <w:tr>
        <w:trPr>
          <w:trHeight w:val="216"/>
        </w:trPr>
        <w:tc>
          <w:tcPr>
            <w:tcW w:w="20" w:type="dxa"/>
            <w:vAlign w:val="bottom"/>
          </w:tcPr>
          <w:p>
            <w:pPr>
              <w:spacing w:after="0"/>
              <w:rPr>
                <w:sz w:val="18"/>
                <w:szCs w:val="18"/>
                <w:color w:val="auto"/>
              </w:rPr>
            </w:pPr>
          </w:p>
        </w:tc>
        <w:tc>
          <w:tcPr>
            <w:tcW w:w="79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(190,043)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(187,370)</w:t>
            </w: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10,086</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5,447</w:t>
            </w:r>
          </w:p>
        </w:tc>
        <w:tc>
          <w:tcPr>
            <w:tcW w:w="100" w:type="dxa"/>
            <w:vAlign w:val="bottom"/>
            <w:tcBorders>
              <w:top w:val="single" w:sz="8" w:color="CCEEFF"/>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9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$000’s,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w w:val="95"/>
              </w:rPr>
              <w:t>Three months ended July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 (loss)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Product development costs</w:t>
            </w: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Interest income, net</w:t>
            </w:r>
          </w:p>
        </w:tc>
        <w:tc>
          <w:tcPr>
            <w:tcW w:w="3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80"/>
              <w:spacing w:after="0"/>
              <w:rPr>
                <w:sz w:val="20"/>
                <w:szCs w:val="20"/>
                <w:color w:val="auto"/>
              </w:rPr>
            </w:pPr>
            <w:r>
              <w:rPr>
                <w:rFonts w:ascii="Arial" w:cs="Arial" w:eastAsia="Arial" w:hAnsi="Arial"/>
                <w:sz w:val="18"/>
                <w:szCs w:val="18"/>
                <w:color w:val="auto"/>
              </w:rPr>
              <w:t>(2,663)</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(0.22)</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Pr>
          <w:p>
            <w:pPr>
              <w:ind w:left="160"/>
              <w:spacing w:after="0" w:line="196" w:lineRule="exact"/>
              <w:rPr>
                <w:sz w:val="20"/>
                <w:szCs w:val="20"/>
                <w:color w:val="auto"/>
              </w:rPr>
            </w:pPr>
            <w:r>
              <w:rPr>
                <w:rFonts w:ascii="Arial" w:cs="Arial" w:eastAsia="Arial" w:hAnsi="Arial"/>
                <w:sz w:val="18"/>
                <w:szCs w:val="18"/>
                <w:color w:val="auto"/>
              </w:rPr>
              <w:t>Weighted average shares used to compute basic and diluted net loss per share</w:t>
            </w:r>
          </w:p>
        </w:tc>
        <w:tc>
          <w:tcPr>
            <w:tcW w:w="300" w:type="dxa"/>
            <w:vAlign w:val="bottom"/>
          </w:tcPr>
          <w:p>
            <w:pPr>
              <w:spacing w:after="0"/>
              <w:rPr>
                <w:sz w:val="17"/>
                <w:szCs w:val="17"/>
                <w:color w:val="auto"/>
              </w:rPr>
            </w:pPr>
          </w:p>
        </w:tc>
        <w:tc>
          <w:tcPr>
            <w:tcW w:w="12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12,268,683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2,228,585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ectPr>
          <w:pgSz w:w="11900" w:h="16838" w:orient="portrait"/>
          <w:cols w:equalWidth="0" w:num="1">
            <w:col w:w="11380"/>
          </w:cols>
          <w:pgMar w:left="240" w:top="118"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 adjustment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Total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Unaudited Consolidated Statements of Comprehensive Loss</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(in $000’s)</w:t>
      </w:r>
    </w:p>
    <w:p>
      <w:pPr>
        <w:spacing w:after="0" w:line="261"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50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8"/>
                <w:szCs w:val="18"/>
                <w:color w:val="auto"/>
              </w:rPr>
            </w:pPr>
          </w:p>
        </w:tc>
      </w:tr>
      <w:tr>
        <w:trPr>
          <w:trHeight w:val="411"/>
        </w:trPr>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(2,663)</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(3,827)</w:t>
            </w: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0"/>
        </w:trPr>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-445135</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-162560</wp:posOffset>
            </wp:positionV>
            <wp:extent cx="72466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2">
            <w:col w:w="2880" w:space="240"/>
            <w:col w:w="8260"/>
          </w:cols>
          <w:pgMar w:left="240" w:top="118" w:right="279" w:bottom="1440" w:gutter="0" w:footer="0" w:header="0"/>
          <w:type w:val="continuous"/>
        </w:sectPr>
      </w:pPr>
    </w:p>
    <w:bookmarkStart w:id="7" w:name="page8"/>
    <w:bookmarkEnd w:id="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$000’s, except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20" w:type="dxa"/>
            <w:vAlign w:val="bottom"/>
            <w:gridSpan w:val="5"/>
            <w:vMerge w:val="restart"/>
          </w:tcPr>
          <w:p>
            <w:pPr>
              <w:jc w:val="right"/>
              <w:ind w:right="580"/>
              <w:spacing w:after="0"/>
              <w:rPr>
                <w:sz w:val="20"/>
                <w:szCs w:val="20"/>
                <w:color w:val="auto"/>
              </w:rPr>
            </w:pPr>
            <w:r>
              <w:rPr>
                <w:rFonts w:ascii="Arial" w:cs="Arial" w:eastAsia="Arial" w:hAnsi="Arial"/>
                <w:sz w:val="18"/>
                <w:szCs w:val="18"/>
                <w:b w:val="1"/>
                <w:bCs w:val="1"/>
                <w:color w:val="auto"/>
              </w:rPr>
              <w:t>Common Shares</w:t>
            </w:r>
          </w:p>
        </w:tc>
        <w:tc>
          <w:tcPr>
            <w:tcW w:w="216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Treasury Shares</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Additional</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20" w:type="dxa"/>
            <w:vAlign w:val="bottom"/>
            <w:gridSpan w:val="5"/>
            <w:vMerge w:val="continue"/>
          </w:tcPr>
          <w:p>
            <w:pPr>
              <w:spacing w:after="0"/>
              <w:rPr>
                <w:sz w:val="19"/>
                <w:szCs w:val="19"/>
                <w:color w:val="auto"/>
              </w:rPr>
            </w:pPr>
          </w:p>
        </w:tc>
        <w:tc>
          <w:tcPr>
            <w:tcW w:w="216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Paid-In</w:t>
            </w:r>
          </w:p>
        </w:tc>
        <w:tc>
          <w:tcPr>
            <w:tcW w:w="1360" w:type="dxa"/>
            <w:vAlign w:val="bottom"/>
            <w:gridSpan w:val="4"/>
          </w:tcPr>
          <w:p>
            <w:pPr>
              <w:ind w:left="220"/>
              <w:spacing w:after="0"/>
              <w:rPr>
                <w:sz w:val="20"/>
                <w:szCs w:val="20"/>
                <w:color w:val="auto"/>
              </w:rPr>
            </w:pPr>
            <w:r>
              <w:rPr>
                <w:rFonts w:ascii="Arial" w:cs="Arial" w:eastAsia="Arial" w:hAnsi="Arial"/>
                <w:sz w:val="18"/>
                <w:szCs w:val="18"/>
                <w:b w:val="1"/>
                <w:bCs w:val="1"/>
                <w:color w:val="auto"/>
                <w:w w:val="99"/>
              </w:rPr>
              <w:t>Accumulated</w:t>
            </w:r>
          </w:p>
        </w:tc>
        <w:tc>
          <w:tcPr>
            <w:tcW w:w="14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Comprehensive</w:t>
            </w:r>
          </w:p>
        </w:tc>
        <w:tc>
          <w:tcPr>
            <w:tcW w:w="12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8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Capital</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Balances, April 30,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6,313,996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(48,065)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193,234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(187,370)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7"/>
              </w:rPr>
              <w:t>Stock based compensation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w w:val="94"/>
              </w:rPr>
              <w:t>Issuance of restricted stock,</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net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114,459</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stock, net of</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financing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6,192,750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tcPr>
          <w:p>
            <w:pPr>
              <w:spacing w:after="0" w:line="201" w:lineRule="exact"/>
              <w:rPr>
                <w:sz w:val="20"/>
                <w:szCs w:val="20"/>
                <w:color w:val="auto"/>
              </w:rPr>
            </w:pPr>
            <w:r>
              <w:rPr>
                <w:rFonts w:ascii="Arial" w:cs="Arial" w:eastAsia="Arial" w:hAnsi="Arial"/>
                <w:sz w:val="18"/>
                <w:szCs w:val="18"/>
                <w:color w:val="auto"/>
              </w:rPr>
              <w:t>Acquisition of treasury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stock</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(22,016)</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Adoption of accounting</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standard update related to</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compensation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 (ASU 2016-</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09)</w:t>
            </w: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July 31, 2017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12,621,205</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0"/>
              </w:rPr>
              <w:t>(70,081)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200,549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$000’s)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99"/>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(2,663)</w:t>
            </w:r>
          </w:p>
        </w:tc>
        <w:tc>
          <w:tcPr>
            <w:tcW w:w="108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Foreign exchange gain</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Loss on disposal of property, plant and equipment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320"/>
              <w:spacing w:after="0"/>
              <w:rPr>
                <w:sz w:val="20"/>
                <w:szCs w:val="20"/>
                <w:color w:val="auto"/>
              </w:rPr>
            </w:pPr>
            <w:r>
              <w:rPr>
                <w:rFonts w:ascii="Arial" w:cs="Arial" w:eastAsia="Arial" w:hAnsi="Arial"/>
                <w:sz w:val="18"/>
                <w:szCs w:val="18"/>
                <w:color w:val="auto"/>
              </w:rPr>
              <w:t>Change in fair value of warrant liabilities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Unbilled receivable</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8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(1,531)</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Unearned revenues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6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(4,238)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(2,921)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net of costs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issuance of common stock and related warrants, net of costs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Payment of capital lease obligations</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Payment of debt</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Acquisition of treasury stock</w:t>
            </w: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increase in cash, cash equivalents and restricted cash</w:t>
            </w: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11,929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4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schedule of cash flows information:</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960" w:type="dxa"/>
            <w:vAlign w:val="bottom"/>
          </w:tcPr>
          <w:p>
            <w:pPr>
              <w:jc w:val="right"/>
              <w:ind w:right="799"/>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ind w:right="84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2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Ocean Power Technologies, Inc. (the “Company”) was founded in 1984 in New Jersey, commenced business operations in 1994 and re-incorporated in Delaware in 2007. The Company is developing and commercializing its proprietary systems that generate electricity by harnessing the renewable energy of ocean waves. The Company uses proprietary technologies that convert the mechanical energy created by the heaving motion of ocean waves into electricity. The Company has designed and continues to develop the PowerBuoy product line which is based on modular, ocean-going buoys, which the Company has been periodically ocean testing since 1997. The Company markets its PowerBuoys in the United States and internationally. Since fiscal 2002, government agencies have accounted for a significant portion of the Company’s revenues. These revenues were largely for the support of product development efforts. The Company’s goal is that an increased portion of its revenues be from the sale or lease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products and services.</w:t>
      </w:r>
    </w:p>
    <w:p>
      <w:pPr>
        <w:spacing w:after="0" w:line="16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2017 filed with the Securities and Exchange Commission (“SEC”) and elsewhere in this Form 10-Q.</w:t>
      </w:r>
    </w:p>
    <w:p>
      <w:pPr>
        <w:spacing w:after="0" w:line="18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Liquidity/Going Concern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have been prepared assuming the Company will continue as a going concern. The Company has experienced substantial and recurring losses from operations, which have contributed to an accumulated deficit of $190.0 million as of July 31, 2017. As of July 31, 2017, the Company had approximately $11.4 million in cash and cash equivalents on hand. The Company generated revenues of $0.2 million during each of the three months ended July 31, 2017 and 2016. Based on the Company’s cash and cash equivalents and marketable securities as of July 31, 2017, the Company believes that it will be able to finance its capital requirements and operations into the quarter ending July 31, 2018. The Company will require additional equity and/or debt financing to continue its operations. The Company cannot provide assurances that it will be able to secure additional funding when needed or at all, or, if secured, that such funding would be on favorable terms. These factors raise substantial doubt about the Company’s ability to continue as a going concern.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consolidated financial statements have been prepared on a going concern basis, which contemplates the realization of assets and satisfaction of liabilities in the normal course of business. The consolidated financial statements do not include any adjustments relating to the recoverability and classification of recorded assets amounts or the amounts and classification of liabilities that might result from the outcome of this uncertainty.</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is evaluating different strategies to obtain the required additional funding for future operations. These strategies may include, but are not limited to, additional funding from current or new investors, officers and directors; borrowings of debt; a public offering of the Company’s equity or debt securities; partnerships and/or collaborations. There can be no assurance that any of these future-funding efforts will be successful.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In fiscal 2017 and the three months ended July 31, 2017,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lack of available financing and</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insufficient capital, performance of PowerBuoys, its inability to market and commercialize its PowerBuoys, technology development, scalability of technology and production, dependence on skills of key personnel, concentration of customers and suppliers, deployment risks and laws, regulations and permitting. In order to continue to implement its business strategy, the Company requires additional equity and/or debt financing. The Company closed four equity financing arrangements during the year ended April 30, 2017 and three months ended July 31, 2017. The Company does not currently have any committed sources of debt or equity financing, and the Company cannot assure that additional equity and/or debt financing will be available to the Company as needed on acceptable terms, or at all. Historically, the Company has raised capital through securities sales in the public capital markets. If sufficient additional financing is not obtained when needed, the Company may be required to further curtail or limit operations, product development costs, and/or selling, general and administrative activities in order to reduce its cash expenditures. This could cause the Company to be unable to execute its business plan, take advantage of future opportunities and may cause it to scale back, delay or eliminate some or all of its product development activities and/or reduce the scope of or cease its operations.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2, 2016, the Company entered into a securities purchase agreement, which was amended on June 7, 2016 (as amended, the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to the Company from the offering were approximately $1.7 million, after deducting placement agent fees and estimated offering expenses payable by the Company, but excluding the proceeds, if any, from the exercise of the warrants issued in the offering. The warrants have an exercise price of $6.08 per share, became exercisable on December 3, 2016 (“Initial Exercise Date”), and will expire five years following the Initial Exercise Date. The Company paid the placement agents approximately $0.1 million as placement agent fees in connection with the sale of securities in the offering. The Company also reimbursed the placement agents $35,000 for their out of pocket and legal expenses in connection with the offering.</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sale of additional equity or convertible securities could result in dilution to stockholders. If additional funds are raised through the issuance of debt securities, these securities could have rights senior to those associated with the Company’s Common Stock and could contain covenants that would restrict its operations. Financing may not be available in amounts or on terms acceptable to the Company, or at all. If the Company is unable to obtain required financing, it may be required to reduce the scope of its operations, including its planned product development and marketing efforts, which could materially and adversely harm its financial condition and operating results. If the Company is unable to secure additional financing, it may be forced to cease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fair value of warrant liabilities, valuation allowances for receivables and deferred income tax assets; estimated costs to complete projects;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revenue under fixed price or cost plus contracts is recognized using the cost to cost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Cash Equivalents, 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considers all highly liquid investments with a maturity of three months or less when purchased to be cash equivalents. The Company invests excess cash in an overnight U.S. government securities repurchase bank account and a money market account. In accordance with the terms of the repurchase agreement, the Company does not take possession of the related securities. The agreement contains provisions to ensure that the market value of the underlying assets remain sufficient to protect the Company in the event of default by the bank by requiring that the underlying securities have a total market value of at least 100% of the bank’s total obligations under the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2017</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4"/>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00" w:type="dxa"/>
            <w:vAlign w:val="bottom"/>
          </w:tcPr>
          <w:p>
            <w:pPr>
              <w:spacing w:after="0"/>
              <w:rPr>
                <w:sz w:val="17"/>
                <w:szCs w:val="17"/>
                <w:color w:val="auto"/>
              </w:rPr>
            </w:pPr>
          </w:p>
        </w:tc>
        <w:tc>
          <w:tcPr>
            <w:tcW w:w="194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9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Overnight repurchase account</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and Security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agreement is between the Company and Barclays Bank. Under this agreement, the cash is on deposit at Barclays Bank and serves as security for letters of credit and bank guarantees that are expected to be issued by Barclays Bank on behalf of OPT LTD, one of the Company's subsidiaries, under a credit facility established by Barclays Bank for OPT LTD. The credit facility is approximately €0.3 million ($0.3 million) and carries a fee of 1% per annum of the amount of any such obligations issued by Barclays Bank. The credit facility does not have an expiration date, but is cancelable at the discretion of the bank. As of July 31, 2017, there was €0.3 million ($0.3 million) in letters of credit outstanding under this agreement.</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agreement is between the Company and Santander Bank. Under this agreement, the cash is on deposit at Santander Bank and serves as security for letter of credit issued by Santander Bank for the lease of new warehouse/office space in Monroe Township, New Jersey. The agreement cannot be extended beyond January 31, 2025, and is cancelable at the discretion of the bank. Restricted cash includes the following:</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July 31, 2017</w:t>
            </w:r>
          </w:p>
        </w:tc>
        <w:tc>
          <w:tcPr>
            <w:tcW w:w="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April 30, 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580" w:type="dxa"/>
            <w:vAlign w:val="bottom"/>
            <w:gridSpan w:val="4"/>
          </w:tcPr>
          <w:p>
            <w:pPr>
              <w:jc w:val="right"/>
              <w:ind w:right="357"/>
              <w:spacing w:after="0"/>
              <w:rPr>
                <w:sz w:val="20"/>
                <w:szCs w:val="20"/>
                <w:color w:val="auto"/>
              </w:rPr>
            </w:pPr>
            <w:r>
              <w:rPr>
                <w:rFonts w:ascii="Arial" w:cs="Arial" w:eastAsia="Arial" w:hAnsi="Arial"/>
                <w:sz w:val="18"/>
                <w:szCs w:val="18"/>
                <w:color w:val="auto"/>
              </w:rPr>
              <w:t>(in thousands)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32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3200" w:type="dxa"/>
            <w:vAlign w:val="bottom"/>
            <w:gridSpan w:val="2"/>
            <w:shd w:val="clear" w:color="auto" w:fill="CCEEFF"/>
          </w:tcPr>
          <w:p>
            <w:pPr>
              <w:jc w:val="right"/>
              <w:ind w:right="11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w:t>
            </w:r>
          </w:p>
        </w:tc>
        <w:tc>
          <w:tcPr>
            <w:tcW w:w="1020" w:type="dxa"/>
            <w:vAlign w:val="bottom"/>
            <w:gridSpan w:val="2"/>
            <w:shd w:val="clear" w:color="auto" w:fill="CCEEFF"/>
          </w:tcPr>
          <w:p>
            <w:pPr>
              <w:jc w:val="right"/>
              <w:ind w:right="67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Santander Bank</w:t>
            </w:r>
          </w:p>
        </w:tc>
        <w:tc>
          <w:tcPr>
            <w:tcW w:w="19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154</w:t>
            </w:r>
          </w:p>
        </w:tc>
        <w:tc>
          <w:tcPr>
            <w:tcW w:w="1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1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515</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2017</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April 30, 2017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4"/>
          </w:tcPr>
          <w:p>
            <w:pPr>
              <w:jc w:val="right"/>
              <w:ind w:right="1050"/>
              <w:spacing w:after="0"/>
              <w:rPr>
                <w:sz w:val="20"/>
                <w:szCs w:val="20"/>
                <w:color w:val="auto"/>
              </w:rPr>
            </w:pPr>
            <w:r>
              <w:rPr>
                <w:rFonts w:ascii="Arial" w:cs="Arial" w:eastAsia="Arial" w:hAnsi="Arial"/>
                <w:sz w:val="18"/>
                <w:szCs w:val="18"/>
                <w:color w:val="auto"/>
              </w:rPr>
              <w:t>(in thousands)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Restricted cash- short term</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cash- long term</w:t>
            </w: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11,929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July 31, 2017 and April 30, 2017, all of the Company’s investments were classified as held-to-maturity.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Foreign Exchange Gains and Losses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are included in “Foreign exchange gain/(loss)” in the accompanying consolidated statements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Property and Equipment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Property and equipment is stated at cost, less accumulated depreciation and amortization. Depreciation and amortization is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Concentration of Credit Risk</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700" w:type="dxa"/>
            <w:vAlign w:val="bottom"/>
            <w:vMerge w:val="restart"/>
          </w:tcPr>
          <w:p>
            <w:pPr>
              <w:spacing w:after="0"/>
              <w:rPr>
                <w:sz w:val="20"/>
                <w:szCs w:val="20"/>
                <w:color w:val="auto"/>
              </w:rPr>
            </w:pPr>
            <w:r>
              <w:rPr>
                <w:rFonts w:ascii="Arial" w:cs="Arial" w:eastAsia="Arial" w:hAnsi="Arial"/>
                <w:sz w:val="18"/>
                <w:szCs w:val="18"/>
                <w:b w:val="1"/>
                <w:bCs w:val="1"/>
                <w:color w:val="auto"/>
              </w:rPr>
              <w:t>Customer</w:t>
            </w:r>
          </w:p>
        </w:tc>
        <w:tc>
          <w:tcPr>
            <w:tcW w:w="80" w:type="dxa"/>
            <w:vAlign w:val="bottom"/>
            <w:vMerge w:val="restart"/>
          </w:tcPr>
          <w:p>
            <w:pPr>
              <w:spacing w:after="0"/>
              <w:rPr>
                <w:sz w:val="20"/>
                <w:szCs w:val="20"/>
                <w:color w:val="auto"/>
              </w:rPr>
            </w:pPr>
          </w:p>
        </w:tc>
        <w:tc>
          <w:tcPr>
            <w:tcW w:w="34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5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tcPr>
          <w:p>
            <w:pPr>
              <w:spacing w:after="0"/>
              <w:rPr>
                <w:sz w:val="18"/>
                <w:szCs w:val="18"/>
                <w:color w:val="auto"/>
              </w:rPr>
            </w:pPr>
          </w:p>
        </w:tc>
        <w:tc>
          <w:tcPr>
            <w:tcW w:w="180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U.S. Department of Defense Office of Naval Research</w:t>
            </w: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loss of, or a significant reduction in revenues from a current customer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Warrant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warrants to purchase shares of its common stock are classified as warrant liabilities and are recorded at fair value. The warrant liabilities are subject to re-measurement at each balance sheet date and the Company recognizes any change in fair value in its consolidated statements of operations within “Change in fair value of warrant liabilities.” The Company will continue to adjust the carrying value of the warrants for changes in the estimated fair value until such time as these instruments are exercised or expire. At that time, the liabilities will be reclassified to “Additional paid-in capital”, a component of “Stockholders' equity” on the consolidated balance sheets.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warrants on common stock and non-vested restricted stock issued to employees and non-employee directors, totaling 701,977 for the three months ended July 31, 2017 and 711,453 for the three months ended July 31, 2016, were excluded from each of the computations as the effect would be anti-dilutive due to the Company's losses.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Share-Based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three months ended July 31, 2017 and 2016 was approximately $0.1 million and $0.2 million, respectively. The following table summarizes share-based compensation related to the Company’s share-based plans by expense category for the three months ended July 31, 2017 and 2016:</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6880" w:type="dxa"/>
            <w:vAlign w:val="bottom"/>
          </w:tcPr>
          <w:p>
            <w:pPr>
              <w:spacing w:after="0"/>
              <w:rPr>
                <w:sz w:val="20"/>
                <w:szCs w:val="20"/>
                <w:color w:val="auto"/>
              </w:rPr>
            </w:pPr>
          </w:p>
        </w:tc>
        <w:tc>
          <w:tcPr>
            <w:tcW w:w="28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July 31,</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88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6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320" w:type="dxa"/>
            <w:vAlign w:val="bottom"/>
            <w:gridSpan w:val="2"/>
          </w:tcPr>
          <w:p>
            <w:pPr>
              <w:jc w:val="right"/>
              <w:ind w:right="630"/>
              <w:spacing w:after="0"/>
              <w:rPr>
                <w:sz w:val="20"/>
                <w:szCs w:val="20"/>
                <w:color w:val="auto"/>
              </w:rPr>
            </w:pPr>
            <w:r>
              <w:rPr>
                <w:rFonts w:ascii="Arial" w:cs="Arial" w:eastAsia="Arial" w:hAnsi="Arial"/>
                <w:sz w:val="16"/>
                <w:szCs w:val="16"/>
                <w:color w:val="auto"/>
                <w:w w:val="73"/>
              </w:rPr>
              <w:t>thousands)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6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Selling, general and administratvie</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r>
      <w:tr>
        <w:trPr>
          <w:trHeight w:val="25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Recently Issued Accounting Standards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(c) “Liquidity/Going Concern” within Note</w:t>
      </w:r>
    </w:p>
    <w:p>
      <w:pPr>
        <w:spacing w:after="0" w:line="2" w:lineRule="exact"/>
        <w:rPr>
          <w:sz w:val="20"/>
          <w:szCs w:val="20"/>
          <w:color w:val="auto"/>
        </w:rPr>
      </w:pPr>
    </w:p>
    <w:p>
      <w:pPr>
        <w:ind w:firstLine="8"/>
        <w:spacing w:after="0" w:line="261" w:lineRule="auto"/>
        <w:tabs>
          <w:tab w:leader="none" w:pos="285"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“Background and Liquidity” of the consolidated financial statements included in this Quarterly Report on Form 10-Q for further discussion on the Company’s ability to continue as a going concern.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accounting for forfeitures,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$10,000 on the date of initial adoption. In periods subsequent to adoption, a higher expense will be recognized earlier during the respective vesting periods of stock-based awards that are not forfeited. The Company expects that the income tax amendments within ASU 2016-09 will have no impact on its results of operations or cash flows because it is in a net operating loss position with a full valuation allowance.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$488,000 and $300,000 of restricted cash to cash, cash equivalents and restricted cash, beginning of period for the period April 30, 2017 and April 30, 2016 in the statement of cash flows. The Company reclassified $266,000 of restricted cash to cash, cash equivalents and restricted cash, end of period for the period ended July 31, 2016 in the statement of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Marketable securities with initial maturities greater than three months but that mature within one year from the balance sheet date are classified as current assets and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2017</w:t>
            </w:r>
          </w:p>
        </w:tc>
        <w:tc>
          <w:tcPr>
            <w:tcW w:w="100" w:type="dxa"/>
            <w:vAlign w:val="bottom"/>
          </w:tcPr>
          <w:p>
            <w:pPr>
              <w:spacing w:after="0"/>
              <w:rPr>
                <w:sz w:val="20"/>
                <w:szCs w:val="20"/>
                <w:color w:val="auto"/>
              </w:rPr>
            </w:pPr>
          </w:p>
        </w:tc>
      </w:tr>
      <w:tr>
        <w:trPr>
          <w:trHeight w:val="224"/>
        </w:trPr>
        <w:tc>
          <w:tcPr>
            <w:tcW w:w="5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9"/>
                <w:szCs w:val="19"/>
                <w:color w:val="auto"/>
              </w:rPr>
            </w:pPr>
          </w:p>
        </w:tc>
      </w:tr>
      <w:tr>
        <w:trPr>
          <w:trHeight w:val="202"/>
        </w:trPr>
        <w:tc>
          <w:tcPr>
            <w:tcW w:w="5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Certificate of Deposit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0"/>
        </w:trPr>
        <w:tc>
          <w:tcPr>
            <w:tcW w:w="580" w:type="dxa"/>
            <w:vAlign w:val="bottom"/>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460" w:type="dxa"/>
            <w:vAlign w:val="bottom"/>
            <w:gridSpan w:val="2"/>
          </w:tcPr>
          <w:p>
            <w:pPr>
              <w:ind w:left="100"/>
              <w:spacing w:after="0"/>
              <w:rPr>
                <w:sz w:val="20"/>
                <w:szCs w:val="20"/>
                <w:color w:val="auto"/>
              </w:rPr>
            </w:pPr>
            <w:r>
              <w:rPr>
                <w:rFonts w:ascii="Arial" w:cs="Arial" w:eastAsia="Arial" w:hAnsi="Arial"/>
                <w:sz w:val="18"/>
                <w:szCs w:val="18"/>
                <w:b w:val="1"/>
                <w:bCs w:val="1"/>
                <w:color w:val="auto"/>
              </w:rPr>
              <w:t>(4) Accrued Expenses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60" w:type="dxa"/>
            <w:vAlign w:val="bottom"/>
            <w:gridSpan w:val="2"/>
          </w:tcPr>
          <w:p>
            <w:pPr>
              <w:spacing w:after="0"/>
              <w:rPr>
                <w:sz w:val="20"/>
                <w:szCs w:val="20"/>
                <w:color w:val="auto"/>
              </w:rPr>
            </w:pPr>
            <w:r>
              <w:rPr>
                <w:rFonts w:ascii="Arial" w:cs="Arial" w:eastAsia="Arial" w:hAnsi="Arial"/>
                <w:sz w:val="18"/>
                <w:szCs w:val="18"/>
                <w:color w:val="auto"/>
              </w:rPr>
              <w:t>Accrued expenses consist of the following at July 31, 2017 and April 30, 2017.</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July 31, 2017</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April 30, 2017</w:t>
            </w:r>
          </w:p>
        </w:tc>
        <w:tc>
          <w:tcPr>
            <w:tcW w:w="10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(in</w:t>
            </w:r>
          </w:p>
        </w:tc>
        <w:tc>
          <w:tcPr>
            <w:tcW w:w="1720" w:type="dxa"/>
            <w:vAlign w:val="bottom"/>
            <w:gridSpan w:val="3"/>
          </w:tcPr>
          <w:p>
            <w:pPr>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19"/>
                <w:szCs w:val="19"/>
                <w:color w:val="auto"/>
              </w:rPr>
            </w:pPr>
          </w:p>
        </w:tc>
      </w:tr>
      <w:tr>
        <w:trPr>
          <w:trHeight w:val="202"/>
        </w:trPr>
        <w:tc>
          <w:tcPr>
            <w:tcW w:w="58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Project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Contract loss reserve</w:t>
            </w:r>
          </w:p>
        </w:tc>
        <w:tc>
          <w:tcPr>
            <w:tcW w:w="18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298</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Employee incentive payments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Accrued salary and benefits</w:t>
            </w:r>
          </w:p>
        </w:tc>
        <w:tc>
          <w:tcPr>
            <w:tcW w:w="18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Accrued taxes payable</w:t>
            </w:r>
          </w:p>
        </w:tc>
        <w:tc>
          <w:tcPr>
            <w:tcW w:w="180" w:type="dxa"/>
            <w:vAlign w:val="bottom"/>
          </w:tcPr>
          <w:p>
            <w:pPr>
              <w:spacing w:after="0"/>
              <w:rPr>
                <w:sz w:val="18"/>
                <w:szCs w:val="18"/>
                <w:color w:val="auto"/>
              </w:rPr>
            </w:pPr>
          </w:p>
        </w:tc>
        <w:tc>
          <w:tcPr>
            <w:tcW w:w="1580" w:type="dxa"/>
            <w:vAlign w:val="bottom"/>
            <w:gridSpan w:val="2"/>
          </w:tcPr>
          <w:p>
            <w:pPr>
              <w:jc w:val="right"/>
              <w:ind w:right="11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0"/>
        </w:trPr>
        <w:tc>
          <w:tcPr>
            <w:tcW w:w="580" w:type="dxa"/>
            <w:vAlign w:val="bottom"/>
          </w:tcPr>
          <w:p>
            <w:pPr>
              <w:spacing w:after="0" w:line="20" w:lineRule="exact"/>
              <w:rPr>
                <w:sz w:val="1"/>
                <w:szCs w:val="1"/>
                <w:color w:val="auto"/>
              </w:rPr>
            </w:pPr>
          </w:p>
        </w:tc>
        <w:tc>
          <w:tcPr>
            <w:tcW w:w="6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r>
      <w:tr>
        <w:trPr>
          <w:trHeight w:val="20"/>
        </w:trPr>
        <w:tc>
          <w:tcPr>
            <w:tcW w:w="58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Deferred Credits Payable</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year ended April 30, 2001, in connection with the sale of common stock to an investor, the Company received $0.6 million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$0.6 million, less the aggregate discount on any emission credits sold to the investor prior to such date. In December 2012, the Company and the investor agreed to extend the period for the sale of emission credits until December 31, 2017. As of July 31, 2017, the Company has not generated any emissions credits eligible for purchase under the agreement. As a result, the Company anticipates returning the option fee of $0.6 million. Therefore, the $0.6 million is reflected in the consolidated balance sheets within “Deferred credits payable current” as of July 31, 2017 and April 30, 2017,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warrants have an exercise price of $6.08 per share, became exercisable on December 3, 2016 (“Initial Exercise Date”), and will expire five years following the Initial Exercise Date.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Warrants were exercisable immediately at an exercise price of $9.36 per share. The Warrants will expire on the fifth (5th) anniversary of the initial date of issuance.</w:t>
      </w:r>
    </w:p>
    <w:p>
      <w:pPr>
        <w:spacing w:after="0" w:line="15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Both sets of warrants contain a feature whereby they could require the transfer of assets and therefore are classified as a liability in accordance with ASC 480. As such, the warrants with a value of $0.3 million and $0.3 million at July 31, 2017 and April 30, 2017, respectively, are reflected within “Warrant liabilities” in the unaudited consolidated balance sheets.</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 unrealized gain and unrealized loss of approximately $37,000 and $752,000, respectively, were included within “Change in fair value of warrant liability” in the consolidated statements of operations for the three months ended July 31, 2017 and 2016, respectively. The Company determined the fair value using the Black-Scholes option pricing model with the following assumptions:</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13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July 31, 2017</w:t>
            </w:r>
          </w:p>
        </w:tc>
        <w:tc>
          <w:tcPr>
            <w:tcW w:w="180" w:type="dxa"/>
            <w:vAlign w:val="bottom"/>
          </w:tcPr>
          <w:p>
            <w:pPr>
              <w:spacing w:after="0"/>
              <w:rPr>
                <w:sz w:val="20"/>
                <w:szCs w:val="20"/>
                <w:color w:val="auto"/>
              </w:rPr>
            </w:pPr>
          </w:p>
        </w:tc>
        <w:tc>
          <w:tcPr>
            <w:tcW w:w="13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July 31, 2016</w:t>
            </w:r>
          </w:p>
        </w:tc>
        <w:tc>
          <w:tcPr>
            <w:tcW w:w="100" w:type="dxa"/>
            <w:vAlign w:val="bottom"/>
          </w:tcPr>
          <w:p>
            <w:pPr>
              <w:spacing w:after="0"/>
              <w:rPr>
                <w:sz w:val="20"/>
                <w:szCs w:val="20"/>
                <w:color w:val="auto"/>
              </w:rPr>
            </w:pPr>
          </w:p>
        </w:tc>
      </w:tr>
      <w:tr>
        <w:trPr>
          <w:trHeight w:val="210"/>
        </w:trPr>
        <w:tc>
          <w:tcPr>
            <w:tcW w:w="7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Risk-free rate</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1.68%</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1.00%</w:t>
            </w: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   -   4.4</w:t>
            </w:r>
          </w:p>
        </w:tc>
        <w:tc>
          <w:tcPr>
            <w:tcW w:w="15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rPr>
              <w:t>5.0   -   5.4</w:t>
            </w:r>
          </w:p>
        </w:tc>
        <w:tc>
          <w:tcPr>
            <w:tcW w:w="100" w:type="dxa"/>
            <w:vAlign w:val="bottom"/>
            <w:shd w:val="clear" w:color="auto" w:fill="CCEEFF"/>
          </w:tcPr>
          <w:p>
            <w:pPr>
              <w:spacing w:after="0"/>
              <w:rPr>
                <w:sz w:val="18"/>
                <w:szCs w:val="18"/>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140.3%</w:t>
            </w:r>
          </w:p>
        </w:tc>
        <w:tc>
          <w:tcPr>
            <w:tcW w:w="1560" w:type="dxa"/>
            <w:vAlign w:val="bottom"/>
            <w:gridSpan w:val="2"/>
          </w:tcPr>
          <w:p>
            <w:pPr>
              <w:jc w:val="center"/>
              <w:ind w:left="110"/>
              <w:spacing w:after="0"/>
              <w:rPr>
                <w:sz w:val="20"/>
                <w:szCs w:val="20"/>
                <w:color w:val="auto"/>
              </w:rPr>
            </w:pPr>
            <w:r>
              <w:rPr>
                <w:rFonts w:ascii="Arial" w:cs="Arial" w:eastAsia="Arial" w:hAnsi="Arial"/>
                <w:sz w:val="18"/>
                <w:szCs w:val="18"/>
                <w:color w:val="auto"/>
                <w:w w:val="91"/>
              </w:rPr>
              <w:t>125.4%</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three months ended July 31, 2017 and 2016</w:t>
      </w:r>
    </w:p>
    <w:p>
      <w:pPr>
        <w:spacing w:after="0" w:line="229"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 xml:space="preserve">The fair value of each stock option granted, for both service-based and performance-based vesting requirements during the three months ended July 31, 2017 and 2016,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Expected volatility was based on the Company’s historical volatility during the three months ended July 31, 2017 and 2016. The below assumptions were used to determine the weighted average per share fair value of $1.10 for stock options granted during the three months ended July 31, 2016. No options were granted during the three months ended July 31, 2017.</w:t>
      </w:r>
    </w:p>
    <w:p>
      <w:pPr>
        <w:spacing w:after="0" w:line="174" w:lineRule="exact"/>
        <w:rPr>
          <w:sz w:val="20"/>
          <w:szCs w:val="20"/>
          <w:color w:val="auto"/>
        </w:rPr>
      </w:pPr>
    </w:p>
    <w:p>
      <w:pPr>
        <w:ind w:left="7940"/>
        <w:spacing w:after="0"/>
        <w:rPr>
          <w:sz w:val="20"/>
          <w:szCs w:val="20"/>
          <w:color w:val="auto"/>
        </w:rPr>
      </w:pPr>
      <w:r>
        <w:rPr>
          <w:rFonts w:ascii="Arial" w:cs="Arial" w:eastAsia="Arial" w:hAnsi="Arial"/>
          <w:sz w:val="18"/>
          <w:szCs w:val="18"/>
          <w:b w:val="1"/>
          <w:bCs w:val="1"/>
          <w:color w:val="auto"/>
        </w:rPr>
        <w:t>Three months ended July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940" w:type="dxa"/>
            <w:vAlign w:val="bottom"/>
            <w:gridSpan w:val="2"/>
          </w:tcPr>
          <w:p>
            <w:pPr>
              <w:spacing w:after="0"/>
              <w:rPr>
                <w:sz w:val="18"/>
                <w:szCs w:val="18"/>
                <w:color w:val="auto"/>
              </w:rPr>
            </w:pPr>
          </w:p>
        </w:tc>
        <w:tc>
          <w:tcPr>
            <w:tcW w:w="640" w:type="dxa"/>
            <w:vAlign w:val="bottom"/>
            <w:gridSpan w:val="2"/>
          </w:tcPr>
          <w:p>
            <w:pPr>
              <w:spacing w:after="0"/>
              <w:rPr>
                <w:sz w:val="18"/>
                <w:szCs w:val="18"/>
                <w:color w:val="auto"/>
              </w:rPr>
            </w:pPr>
          </w:p>
        </w:tc>
        <w:tc>
          <w:tcPr>
            <w:tcW w:w="16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6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N/A</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N/A</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620" w:type="dxa"/>
            <w:vAlign w:val="bottom"/>
          </w:tcPr>
          <w:p>
            <w:pPr>
              <w:spacing w:after="0"/>
              <w:rPr>
                <w:sz w:val="20"/>
                <w:szCs w:val="20"/>
                <w:color w:val="auto"/>
              </w:rPr>
            </w:pPr>
          </w:p>
        </w:tc>
      </w:tr>
      <w:tr>
        <w:trPr>
          <w:trHeight w:val="661"/>
        </w:trPr>
        <w:tc>
          <w:tcPr>
            <w:tcW w:w="580" w:type="dxa"/>
            <w:vAlign w:val="bottom"/>
          </w:tcPr>
          <w:p>
            <w:pPr>
              <w:spacing w:after="0"/>
              <w:rPr>
                <w:sz w:val="24"/>
                <w:szCs w:val="24"/>
                <w:color w:val="auto"/>
              </w:rPr>
            </w:pPr>
          </w:p>
        </w:tc>
        <w:tc>
          <w:tcPr>
            <w:tcW w:w="6860" w:type="dxa"/>
            <w:vAlign w:val="bottom"/>
          </w:tcPr>
          <w:p>
            <w:pPr>
              <w:ind w:left="5040"/>
              <w:spacing w:after="0"/>
              <w:rPr>
                <w:sz w:val="20"/>
                <w:szCs w:val="20"/>
                <w:color w:val="auto"/>
              </w:rPr>
            </w:pPr>
            <w:r>
              <w:rPr>
                <w:rFonts w:ascii="Arial" w:cs="Arial" w:eastAsia="Arial" w:hAnsi="Arial"/>
                <w:sz w:val="18"/>
                <w:szCs w:val="18"/>
                <w:color w:val="auto"/>
              </w:rPr>
              <w:t>16</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05"/>
        </w:trPr>
        <w:tc>
          <w:tcPr>
            <w:tcW w:w="58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r>
        <w:trPr>
          <w:trHeight w:val="61"/>
        </w:trPr>
        <w:tc>
          <w:tcPr>
            <w:tcW w:w="580" w:type="dxa"/>
            <w:vAlign w:val="bottom"/>
            <w:shd w:val="clear" w:color="auto" w:fill="808080"/>
          </w:tcPr>
          <w:p>
            <w:pPr>
              <w:spacing w:after="0"/>
              <w:rPr>
                <w:sz w:val="5"/>
                <w:szCs w:val="5"/>
                <w:color w:val="auto"/>
              </w:rPr>
            </w:pPr>
          </w:p>
        </w:tc>
        <w:tc>
          <w:tcPr>
            <w:tcW w:w="68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18" w:right="19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5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514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Underlying</w:t>
            </w:r>
          </w:p>
        </w:tc>
        <w:tc>
          <w:tcPr>
            <w:tcW w:w="26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Exercise</w:t>
            </w:r>
          </w:p>
        </w:tc>
        <w:tc>
          <w:tcPr>
            <w:tcW w:w="16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514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260" w:type="dxa"/>
            <w:vAlign w:val="bottom"/>
          </w:tcPr>
          <w:p>
            <w:pPr>
              <w:spacing w:after="0"/>
              <w:rPr>
                <w:sz w:val="20"/>
                <w:szCs w:val="20"/>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2017</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237,214</w:t>
            </w: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20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8"/>
                <w:szCs w:val="18"/>
                <w:color w:val="auto"/>
                <w:w w:val="79"/>
              </w:rPr>
              <w:t>7.6</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Cancelled/forfeited</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(6,910)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161.18</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July 31, 2017</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230,304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w:t>
            </w:r>
          </w:p>
        </w:tc>
        <w:tc>
          <w:tcPr>
            <w:tcW w:w="162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7.6</w:t>
            </w:r>
          </w:p>
        </w:tc>
      </w:tr>
      <w:tr>
        <w:trPr>
          <w:trHeight w:val="197"/>
        </w:trPr>
        <w:tc>
          <w:tcPr>
            <w:tcW w:w="5140" w:type="dxa"/>
            <w:vAlign w:val="bottom"/>
          </w:tcPr>
          <w:p>
            <w:pPr>
              <w:spacing w:after="0" w:line="196" w:lineRule="exact"/>
              <w:rPr>
                <w:sz w:val="20"/>
                <w:szCs w:val="20"/>
                <w:color w:val="auto"/>
              </w:rPr>
            </w:pPr>
            <w:r>
              <w:rPr>
                <w:rFonts w:ascii="Arial" w:cs="Arial" w:eastAsia="Arial" w:hAnsi="Arial"/>
                <w:sz w:val="18"/>
                <w:szCs w:val="18"/>
                <w:color w:val="auto"/>
              </w:rPr>
              <w:t>Exercisable as of July 31, 2017</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128,641</w:t>
            </w:r>
          </w:p>
        </w:tc>
        <w:tc>
          <w:tcPr>
            <w:tcW w:w="2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16.10</w:t>
            </w:r>
          </w:p>
        </w:tc>
        <w:tc>
          <w:tcPr>
            <w:tcW w:w="1620" w:type="dxa"/>
            <w:vAlign w:val="bottom"/>
            <w:gridSpan w:val="2"/>
          </w:tcPr>
          <w:p>
            <w:pPr>
              <w:ind w:left="1300"/>
              <w:spacing w:after="0" w:line="196" w:lineRule="exact"/>
              <w:rPr>
                <w:sz w:val="20"/>
                <w:szCs w:val="20"/>
                <w:color w:val="auto"/>
              </w:rPr>
            </w:pPr>
            <w:r>
              <w:rPr>
                <w:rFonts w:ascii="Arial" w:cs="Arial" w:eastAsia="Arial" w:hAnsi="Arial"/>
                <w:sz w:val="18"/>
                <w:szCs w:val="18"/>
                <w:color w:val="auto"/>
              </w:rPr>
              <w:t>6.3</w:t>
            </w:r>
          </w:p>
        </w:tc>
      </w:tr>
      <w:tr>
        <w:trPr>
          <w:trHeight w:val="20"/>
        </w:trPr>
        <w:tc>
          <w:tcPr>
            <w:tcW w:w="5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July 31, 2017, the total intrinsic value of outstanding and exercisable options was approximately $5,000 and $4,000, respectively. As of July 31, 2017, approximately 100,323 additional options were unvested, which had no intrinsic value and a weighted average remaining contractual term of 9.2 years. There was approximately $69,000 and $83,000 of total recognized compensation cost related to stock options during each of the three months ended July 31, 2017 and 2016, respectively. As of July 31, 2017, there was approximately $0.1 million of total unrecognized compensation cost related to non-vested stock options granted under the plans. This cost is expected to be recognized over a weighted-average period of 0.4 years. The Company typically issues newly authorized but unissued shares to satisfy option exercises under these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expense for non-vested restricted stock is generally recorded based on its market value on the date of grant and recognized ratably over the associated service and performance period. During the three months ended July 31, 2017, the Company granted 114,584 shares subject to service-based vesting requirements and no shares subject to performance-based vesting requirements. The achievement or vesting requirement of the performance-based grants is tied to the Company’s total shareholder return (“TSR”) relative to the total shareholder return of three alternative energy Exchange Traded Funds as measured over a specific performance period. No vesting of the relevant shares will occur in instances where the Company’s TSR for the relevant period is below 80% of the peer group. However, additional opportunities to vest some or all of a portion of the shares in a subsequent period may occur. Compensation expense for these awards with market-based vesting is calculated based on the estimated fair value as of the grant date utilizing a Monte Carlo simulation model and is recognized over the service period on a straight-line basis.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stock issued and unvested as of July 31, 2017 included 12,000 shares of unvested restricted stock subjected to performance-based vesting requirements.</w:t>
      </w:r>
    </w:p>
    <w:p>
      <w:pPr>
        <w:sectPr>
          <w:pgSz w:w="11900" w:h="16838" w:orient="portrait"/>
          <w:cols w:equalWidth="0" w:num="1">
            <w:col w:w="11420"/>
          </w:cols>
          <w:pgMar w:left="240" w:top="118"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April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Cancelled/forfeited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579755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 and unvested at July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6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Average Price per</w:t>
            </w:r>
          </w:p>
        </w:tc>
      </w:tr>
      <w:tr>
        <w:trPr>
          <w:trHeight w:val="234"/>
        </w:trPr>
        <w:tc>
          <w:tcPr>
            <w:tcW w:w="15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of 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Share</w:t>
            </w:r>
          </w:p>
        </w:tc>
      </w:tr>
      <w:tr>
        <w:trPr>
          <w:trHeight w:val="411"/>
        </w:trPr>
        <w:tc>
          <w:tcPr>
            <w:tcW w:w="1560" w:type="dxa"/>
            <w:vAlign w:val="bottom"/>
          </w:tcPr>
          <w:p>
            <w:pPr>
              <w:jc w:val="right"/>
              <w:spacing w:after="0"/>
              <w:rPr>
                <w:sz w:val="20"/>
                <w:szCs w:val="20"/>
                <w:color w:val="auto"/>
              </w:rPr>
            </w:pPr>
            <w:r>
              <w:rPr>
                <w:rFonts w:ascii="Arial" w:cs="Arial" w:eastAsia="Arial" w:hAnsi="Arial"/>
                <w:sz w:val="18"/>
                <w:szCs w:val="18"/>
                <w:color w:val="auto"/>
              </w:rPr>
              <w:t>103,412</w:t>
            </w:r>
          </w:p>
        </w:tc>
        <w:tc>
          <w:tcPr>
            <w:tcW w:w="1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16"/>
        </w:trPr>
        <w:tc>
          <w:tcPr>
            <w:tcW w:w="1560" w:type="dxa"/>
            <w:vAlign w:val="bottom"/>
          </w:tcPr>
          <w:p>
            <w:pPr>
              <w:jc w:val="right"/>
              <w:spacing w:after="0"/>
              <w:rPr>
                <w:sz w:val="20"/>
                <w:szCs w:val="20"/>
                <w:color w:val="auto"/>
              </w:rPr>
            </w:pPr>
            <w:r>
              <w:rPr>
                <w:rFonts w:ascii="Arial" w:cs="Arial" w:eastAsia="Arial" w:hAnsi="Arial"/>
                <w:sz w:val="18"/>
                <w:szCs w:val="18"/>
                <w:color w:val="auto"/>
              </w:rPr>
              <w:t>114,584</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(70,650)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0"/>
        </w:trPr>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147,221</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20" w:space="600"/>
            <w:col w:w="4500"/>
          </w:cols>
          <w:pgMar w:left="240" w:top="118" w:right="239" w:bottom="1440" w:gutter="0" w:footer="0" w:header="0"/>
          <w:type w:val="continuous"/>
        </w:sectPr>
      </w:pPr>
    </w:p>
    <w:p>
      <w:pPr>
        <w:spacing w:after="0" w:line="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$22,000 and $0.1 million of total recognized compensation cost related to restricted stock for the three months ended July 31, 2017 and 2016, respectively. As of July 31, 2017, there was approximately $0.2 million of total unrecognized compensation cost related to unvested restricted stock granted under our plans. This cost is expected to be recognized over a weighted average period of 1.5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9" w:name="page20"/>
    <w:bookmarkEnd w:id="1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Treasury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July 31, 2017 and 2016, 22,016 and 447 shares, respectively, of common stock were purchased by the Company from employees to pay taxes related to the vesting of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pacing w:after="0" w:line="158" w:lineRule="exact"/>
        <w:rPr>
          <w:sz w:val="20"/>
          <w:szCs w:val="20"/>
          <w:color w:val="auto"/>
        </w:rPr>
      </w:pPr>
    </w:p>
    <w:p>
      <w:pPr>
        <w:jc w:val="both"/>
        <w:ind w:left="1040" w:right="20" w:hanging="1039"/>
        <w:spacing w:after="0" w:line="264" w:lineRule="auto"/>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 Active markets are considered to be those in which transactions for the assets or liabilities occur in sufficient frequency and volume to provide pricing information on an ongoing basis.</w:t>
      </w:r>
    </w:p>
    <w:p>
      <w:pPr>
        <w:spacing w:after="0" w:line="181" w:lineRule="exact"/>
        <w:rPr>
          <w:sz w:val="20"/>
          <w:szCs w:val="20"/>
          <w:color w:val="auto"/>
        </w:rPr>
      </w:pPr>
    </w:p>
    <w:p>
      <w:pPr>
        <w:jc w:val="both"/>
        <w:ind w:left="1040" w:hanging="1039"/>
        <w:spacing w:after="0" w:line="264" w:lineRule="auto"/>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Quoted prices in markets that are not active, or inputs which are observable, either directly or indirectly, for substantially the full term of the asset or liability. This category includes quoted prices for similar assets or liabilities in active markets and quoted prices for identical or similar assets or liabilities in inactive markets.</w:t>
      </w:r>
    </w:p>
    <w:p>
      <w:pPr>
        <w:spacing w:after="0" w:line="181" w:lineRule="exact"/>
        <w:rPr>
          <w:sz w:val="20"/>
          <w:szCs w:val="20"/>
          <w:color w:val="auto"/>
        </w:rPr>
      </w:pPr>
    </w:p>
    <w:p>
      <w:pPr>
        <w:jc w:val="both"/>
        <w:ind w:left="1040" w:hanging="1039"/>
        <w:spacing w:after="0" w:line="264" w:lineRule="auto"/>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are not corroborated by market data. This category is comprised of financial and non-financial assets and liabilities whose fair value is estimated based on internally developed models or methodologies using significant inputs that are generally less readily observable from objective sources.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transfers occurred. There were no transfers between any levels during the three months ended July 31, 2017 and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information is provided to help readers gain an understanding of the relationship between amounts reported in the accompanying consolidated financial statements and the related market or fair value. The disclosures include financial instruments and derivative financial instruments, other than investment in affiliates.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Liabilities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warrant liabilities (refer to Note 6) recorded in the Company's financial statements is determined using the Black-Scholes option pricing model and the quoted price of the Company's common stock in an active market, volatility and expected life, is a Level 3 measurement. Volatility is based on the actual market activity of the Company's stock. The expected life is based on the remaining contractual term of the warrants and the risk free interest rate is based on the implied yield available on U.S. Treasury Securities with a maturity equivalent to the warrants' expected life.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assets and liabilities measured at fair value on a recurring basis as of July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Quoted prices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in active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markets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other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Value in</w:t>
            </w: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identical assts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591"/>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432"/>
        </w:trPr>
        <w:tc>
          <w:tcPr>
            <w:tcW w:w="9620" w:type="dxa"/>
            <w:vAlign w:val="bottom"/>
            <w:gridSpan w:val="14"/>
          </w:tcPr>
          <w:p>
            <w:pPr>
              <w:jc w:val="right"/>
              <w:ind w:right="631"/>
              <w:spacing w:after="0"/>
              <w:rPr>
                <w:sz w:val="20"/>
                <w:szCs w:val="20"/>
                <w:color w:val="auto"/>
              </w:rPr>
            </w:pPr>
            <w:r>
              <w:rPr>
                <w:rFonts w:ascii="Arial" w:cs="Arial" w:eastAsia="Arial" w:hAnsi="Arial"/>
                <w:sz w:val="18"/>
                <w:szCs w:val="18"/>
                <w:color w:val="auto"/>
                <w:w w:val="91"/>
              </w:rPr>
              <w:t>The following table presents financial assets and liabilities measured at fair value on a recurring basis as of April 30, 2017.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Quoted prices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in active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1"/>
              </w:rPr>
              <w:t>Significant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markets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other</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Value in</w:t>
            </w: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5"/>
              </w:rPr>
              <w:t>identical assts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observable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or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8"/>
              </w:rPr>
              <w:t>inputs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inputs</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Balance Sheet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(Level 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90"/>
              </w:rPr>
              <w:t>(Level 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jc w:val="right"/>
              <w:ind w:right="591"/>
              <w:spacing w:after="0"/>
              <w:rPr>
                <w:sz w:val="20"/>
                <w:szCs w:val="20"/>
                <w:color w:val="auto"/>
              </w:rPr>
            </w:pPr>
            <w:r>
              <w:rPr>
                <w:rFonts w:ascii="Arial" w:cs="Arial" w:eastAsia="Arial" w:hAnsi="Arial"/>
                <w:sz w:val="18"/>
                <w:szCs w:val="18"/>
                <w:color w:val="auto"/>
              </w:rPr>
              <w:t>(in thousands)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54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14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2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432"/>
        </w:trPr>
        <w:tc>
          <w:tcPr>
            <w:tcW w:w="9620" w:type="dxa"/>
            <w:vAlign w:val="bottom"/>
            <w:gridSpan w:val="14"/>
          </w:tcPr>
          <w:p>
            <w:pPr>
              <w:jc w:val="right"/>
              <w:ind w:right="631"/>
              <w:spacing w:after="0"/>
              <w:rPr>
                <w:sz w:val="20"/>
                <w:szCs w:val="20"/>
                <w:color w:val="auto"/>
              </w:rPr>
            </w:pPr>
            <w:r>
              <w:rPr>
                <w:rFonts w:ascii="Arial" w:cs="Arial" w:eastAsia="Arial" w:hAnsi="Arial"/>
                <w:sz w:val="18"/>
                <w:szCs w:val="18"/>
                <w:color w:val="auto"/>
                <w:w w:val="91"/>
              </w:rPr>
              <w:t>The following table provides a summary of changes in fair value of the Company’s warrant liabilities held at July 31, 2017.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300" w:type="dxa"/>
            <w:vAlign w:val="bottom"/>
            <w:tcBorders>
              <w:bottom w:val="single" w:sz="8" w:color="auto"/>
            </w:tcBorders>
            <w:gridSpan w:val="9"/>
          </w:tcPr>
          <w:p>
            <w:pPr>
              <w:ind w:left="1820"/>
              <w:spacing w:after="0"/>
              <w:rPr>
                <w:sz w:val="20"/>
                <w:szCs w:val="20"/>
                <w:color w:val="auto"/>
              </w:rPr>
            </w:pPr>
            <w:r>
              <w:rPr>
                <w:rFonts w:ascii="Arial" w:cs="Arial" w:eastAsia="Arial" w:hAnsi="Arial"/>
                <w:sz w:val="18"/>
                <w:szCs w:val="18"/>
                <w:color w:val="auto"/>
                <w:w w:val="93"/>
              </w:rPr>
              <w:t>Fair Value Measurement Using Significant Unobservable Inputs ( Level 3)</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center"/>
              <w:ind w:left="471"/>
              <w:spacing w:after="0"/>
              <w:rPr>
                <w:sz w:val="20"/>
                <w:szCs w:val="20"/>
                <w:color w:val="auto"/>
              </w:rPr>
            </w:pPr>
            <w:r>
              <w:rPr>
                <w:rFonts w:ascii="Arial" w:cs="Arial" w:eastAsia="Arial" w:hAnsi="Arial"/>
                <w:sz w:val="18"/>
                <w:szCs w:val="18"/>
                <w:color w:val="auto"/>
                <w:w w:val="89"/>
              </w:rPr>
              <w:t>Total</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left="351"/>
              <w:spacing w:after="0"/>
              <w:rPr>
                <w:sz w:val="20"/>
                <w:szCs w:val="20"/>
                <w:color w:val="auto"/>
              </w:rPr>
            </w:pPr>
            <w:r>
              <w:rPr>
                <w:rFonts w:ascii="Arial" w:cs="Arial" w:eastAsia="Arial" w:hAnsi="Arial"/>
                <w:sz w:val="18"/>
                <w:szCs w:val="18"/>
                <w:color w:val="auto"/>
                <w:w w:val="87"/>
              </w:rPr>
              <w:t>Warrant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Borders>
              <w:bottom w:val="single" w:sz="8" w:color="auto"/>
            </w:tcBorders>
            <w:gridSpan w:val="3"/>
          </w:tcPr>
          <w:p>
            <w:pPr>
              <w:jc w:val="center"/>
              <w:ind w:left="371"/>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5"/>
          </w:tcPr>
          <w:p>
            <w:pPr>
              <w:jc w:val="center"/>
              <w:ind w:left="131"/>
              <w:spacing w:after="0"/>
              <w:rPr>
                <w:sz w:val="20"/>
                <w:szCs w:val="20"/>
                <w:color w:val="auto"/>
              </w:rPr>
            </w:pPr>
            <w:r>
              <w:rPr>
                <w:rFonts w:ascii="Arial" w:cs="Arial" w:eastAsia="Arial" w:hAnsi="Arial"/>
                <w:sz w:val="18"/>
                <w:szCs w:val="18"/>
                <w:color w:val="auto"/>
                <w:w w:val="91"/>
              </w:rPr>
              <w:t>(in thousands)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20" w:type="dxa"/>
            <w:vAlign w:val="bottom"/>
          </w:tcPr>
          <w:p>
            <w:pPr>
              <w:spacing w:after="0"/>
              <w:rPr>
                <w:sz w:val="17"/>
                <w:szCs w:val="17"/>
                <w:color w:val="auto"/>
              </w:rPr>
            </w:pPr>
          </w:p>
        </w:tc>
        <w:tc>
          <w:tcPr>
            <w:tcW w:w="34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Fair value – April 30, 2016</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Issuance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7"/>
              </w:rPr>
              <w:t>1,814</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Change in fair value</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(1,491)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 April 30, 2017</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20" w:type="dxa"/>
            <w:vAlign w:val="bottom"/>
          </w:tcPr>
          <w:p>
            <w:pPr>
              <w:spacing w:after="0"/>
              <w:rPr>
                <w:sz w:val="17"/>
                <w:szCs w:val="17"/>
                <w:color w:val="auto"/>
              </w:rPr>
            </w:pPr>
          </w:p>
        </w:tc>
        <w:tc>
          <w:tcPr>
            <w:tcW w:w="34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tcPr>
          <w:p>
            <w:pPr>
              <w:spacing w:after="0"/>
              <w:rPr>
                <w:sz w:val="18"/>
                <w:szCs w:val="18"/>
                <w:color w:val="auto"/>
              </w:rPr>
            </w:pPr>
          </w:p>
        </w:tc>
        <w:tc>
          <w:tcPr>
            <w:tcW w:w="3660" w:type="dxa"/>
            <w:vAlign w:val="bottom"/>
            <w:gridSpan w:val="2"/>
          </w:tcPr>
          <w:p>
            <w:pPr>
              <w:ind w:left="320"/>
              <w:spacing w:after="0"/>
              <w:rPr>
                <w:sz w:val="20"/>
                <w:szCs w:val="20"/>
                <w:color w:val="auto"/>
              </w:rPr>
            </w:pPr>
            <w:r>
              <w:rPr>
                <w:rFonts w:ascii="Arial" w:cs="Arial" w:eastAsia="Arial" w:hAnsi="Arial"/>
                <w:sz w:val="18"/>
                <w:szCs w:val="18"/>
                <w:color w:val="auto"/>
              </w:rPr>
              <w:t>Fair value – July 31, 2017</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79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re-measured assets or liabilities at fair value on a non-recurring basis during the three months ended July 31, 2017 and 2016, respectively.</w:t>
      </w: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0"/>
          </w:cols>
          <w:pgMar w:left="240" w:top="118" w:right="57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6"/>
          <w:szCs w:val="16"/>
          <w:i w:val="1"/>
          <w:iCs w:val="1"/>
          <w:color w:val="auto"/>
        </w:rPr>
        <w:t>Pucillo</w:t>
      </w:r>
      <w:r>
        <w:rPr>
          <w:rFonts w:ascii="Arial" w:cs="Arial" w:eastAsia="Arial" w:hAnsi="Arial"/>
          <w:sz w:val="16"/>
          <w:szCs w:val="16"/>
          <w:color w:val="auto"/>
        </w:rPr>
        <w:t xml:space="preserve"> as the lead plaintiff in the consolidated actions; and (iii) stayed the consolidated actions pending the settlement hearing scheduled for November 14, 2016 in the securities class action and further order of the Court. During the month of August, 2017, the Company tentatively reached a settlement with the plaintiff subject to final documentation. The settlement, once finalized and if approved by the court, provides, among other things, for a settlement payment by or on behalf of the Company of $350,000, of which the Company’s insurer would pay the complete amount of $350,000. As a result, the Company has accrued $350,000 related to this matter as a probable and reasonably estimable loss contingency during the three months ended July 31, 2017. The Company also recorded a receivable of $350,000 from its insurance carrier with the offset to the statement of operations.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to the suspension pending resolution of the derivatives litigation.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totaling €0.3 million ($0.3 million) at the request of the Spanish tax authorities. On January 31, 2017 the Company has received $0.2 million from the Spanish tax authorities as a result of the conclusion of the inquiry. In addition, during February 2017, the Spanish tax authorities approved of the release of the two outstanding letters of credit.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undergoing an income tax audit in Spain for the period from 2008 to 2014, when its Spanish branch was closed. The branch reported net operating losses for each of the years reported. It is anticipated that the Company will be assessed a penalty relating to these tax years for these losses. The Company has estimated this penalty to be $132,000, and as such, for the period ended April 30, 2017 and July 31, 2017, the Company has recorded $132,000 for this penalty to Accrued expenses in its balance sheet.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right="20" w:firstLine="45"/>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during the three month periods ended July 31, 2017 and 2016.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We are currently undergoing an income tax audit in Spain for the period from 2008 to 2014, when our Spanish branch was closed. The branch reported net operating losses for each of the years reported. It is anticipated that we will be assessed a penalty relating to these tax years for these losses. We have estimated this penalty to be $132,000, and as such, for the period ended April 30, 2017 and July 31, 2017, we have recorded $132,000 for this penalty to Accrued expenses in the Balance Sheet. At July 31, 2017 the Company had no other unrecognized tax positions. The Company does not expect any material increase or decrease in its income tax expense in the next twelve months, related to examinations or uncertain tax positions. U.S. federal and state income tax returns were audited through fiscal 2014 and fiscal 2010 respectively. Net operating loss and credit carry forwards since inception remain open to examination by taxing authorities, and will continue to remain open for a period of time after utilization.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business consists of one segment as this represents management's view of the Company's operations. The Company operates on a worldwide basis with one operating company in the US and operating subsidiaries in the UK and in Australia. Revenues and expenses are generally attributed to the operating unit that bills the customers. During the three months ended July 31, 2017 and 2016, the Company’s primary business operations were in North America.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or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2017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2017 refers to the year ended April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Nearly 70% of the earth’s surface is covered by water, with over 40% of the world’s population living within approximately 150 miles of a coast. Thousands of information gathering and/or power systems are deployed in the oceans today to increase our understanding of weather, climate change, biological processes, and marine mammal patterns and to support exploration and operations for industries such as oil and gas. Most of these systems are powered by battery, solar, wind, fuel cell, or fossil fuel generators that may be unreliable and expensive to operate while they also may be limited in their ability to deliver ample electric power. These current systems often necessitate significant tradeoffs in sensor accuracy, data processing and communications bandwidth and frequency in order to operate given limited available power. More persistent power systems requiring less maintenance, such as our systems, may have the ability to save costs over these current systems. Just as importantly, increases in available power may allow for better sensors, faster data sampling and higher frequency communication intervals up to real-time which could as a result improve scientific and economic returns.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Founded in 1984 and headquartered in Pennington, New Jersey, we believe we are the leader in ocean wave power conversion technology. Our PB3 PowerBuoy is our first fully commercial product which generates electricity by harnessing the renewable energy of ocean waves. In addition to our PB3 PowerBuoy, we continue to develop our PowerBuoy product line based on modular, ocean-going buoys, which we have been periodically ocean testing since 1997.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PB3 PowerBuoy generates power for use in remote offshore locations, independent of a conventional power grid, and it incorporates a unique onboard power take-off (“PTO”) system, which incorporates both energy storage and energy management and control systems. The PB3 generates up to 3 kilowatts (“kW”) of peak power during recharging of the onboard batteries. Power generation is deployment-site dependent whereby average power generated can increase substantially at very active sites. Our standard energy storage system (“ESS”) has an energy capacity of up to a nominal 150 kilowatt-hours (“kWh”) to meet specific application requirements. We continue to develop and test our new PowerBuoys, with the objective to incrementally scale up power production. We believe there is a substantial addressable market for the current capabilities of our PB3, which we believe could be utilized in a variety of applications.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leveraging earlier design aspects of our autonomous PowerBuoy, the PB3 has undergone extensive factory and in-ocean design validation testing. Currently, our engineering efforts are focused primarily on cost reductions and life extensions of the PB3, while also scaling our technologies to increase the energy output. Our marketing efforts are focused on applications in remote offshore locations that require reliable and persistent power and communications, either by supplying electric power to payloads that are integrated directly in or on our PowerBuoy or located in its vicinity, such as on the seabed and in the water column.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our market research and publicly available data, we believe that multiple markets have a direct need for our PowerBuoys including oil and gas, ocean observing, defense and security, and communications. Depending on payload power requirements, sensor types and other considerations, we have found that our PowerBuoy could satisfy several application requirements within these markets. We believe that the PB3 persistently generates sufficient power to meet the requirements of many potential customer applications within our target markets.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fiscal 2002, government agencies have accounted for a significant portion of our revenues. These revenues were largely for the support of our development efforts relating to our technology. Today our goal is to generate the majority of our revenue from the sale or lease of our products, and sales of services to support our business operations. As we continue to develop and commercialize our products, we expect to have a net loss of cash from operating activities unless and until we achieve positive cash flow from the commercialization of our products and services. During fiscal 2017 and the first quarter of fiscal year 2018, we continued work on projects with the U.S. Department of Defense (“DOD”) and Mitsui Engineering and Shipbuilding Co., Ltd. (“MES”), while we continued to validate the reliability and power output of our PB3 PowerBuoy.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development of our technology has been funded by revenue generating projects, capital we raised, and by development engineering contracts we received starting in fiscal 1995, including projects with the DOE, the U.S. Navy, the Department of Homeland Security and MES.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Through these historic projects, we also continued development of our PowerBuoy technologies. We are continuing to focus on marketing and developing our PowerBuoy products and services for use in autonomous power applications.</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fiscal 2017, we continued to focus on the commercialization of our PowerBuoy technology and our PB3 product in autonomous application markets. We completed our work under our DOE contract that focused on further optimization of our modular PTO technology and delivered the project final report to the DOE in the prior year. In the prior year, we successfully completed the final stage and associated review with the DOE of the contract deliverables during which the DOE reviewed advancements related to PTO design aspects such as reliability, cost take out, manufacturability and scalability. As we continued to focus on the development and validation of our PB3 PowerBuoy commercial product, our activities concentrated mainly on implementing all of our lessons learned during our efforts in the prior fiscal year from our ocean deployments and accelerated life testing (“ALT”). The resulting improved PB3 PowerBuoy was deployed off the coast of New Jersey in July of 2016 and was retrieved early December 2016 upon completing all intended testing and validation. Inspection and refurbishment of the PB3 PowerBuoy were completed and this PB3 was shipped for delivery to MES in Japan to fulfill the requirements of our lease with MES, including a deployment off of Kozushima Island in the Pacific Ocean. ALT of the PB3 commercial PTO is ongoing with no failures to date. In addition to the deployment of the PB3 PowerBuoy, the prior generation pre-commercial PB3 (“PB3-A1”), was fitted with a sensor that collects tagged marine mammal migration information as well as with a Self-Contained Ocean Observing Payload (“SCOOP”). The marine mammal migration detection sensor was attached to the PB3-A1 PowerBuoy as part of an agreed scope of work with the Wildlife Conservation Society (“WCS”) through a memorandum of agreement between WCS and OPT. The SCOOP payload was integrated into PB3-A1 to complete the Phase 1 work scope of a Cooperative Research and Development Agreement (“CRADA”) between the National Data Buoy Center (“NDBC”) and OPT. The PB3-A1, deployed off the coast of New Jersey in May 2016, was retrieved in October 2016</w:t>
      </w:r>
      <w:r>
        <w:rPr>
          <w:rFonts w:ascii="Arial" w:cs="Arial" w:eastAsia="Arial" w:hAnsi="Arial"/>
          <w:sz w:val="16"/>
          <w:szCs w:val="16"/>
          <w:b w:val="1"/>
          <w:bCs w:val="1"/>
          <w:color w:val="auto"/>
        </w:rPr>
        <w:t>.</w:t>
      </w:r>
      <w:r>
        <w:rPr>
          <w:rFonts w:ascii="Arial" w:cs="Arial" w:eastAsia="Arial" w:hAnsi="Arial"/>
          <w:sz w:val="16"/>
          <w:szCs w:val="16"/>
          <w:color w:val="auto"/>
        </w:rPr>
        <w:t xml:space="preserve"> From July 2016 through October 2016, both PB3-A1 and PB3 were concurrently deployed generating valuable performance validation data. Both the NDBC SCOOP as well as the WCS tagged mammal migration detection sensor met all of their performance requirements. This pre-commercial PowerBuoy, referred to as “PB3-A1” has now undergone a full upgrade and has achieved full commercial status by retrofitting it with the final commercial PTO including our modular energy storage system, and to make it available to support our on-going commercialization efforts. In addition to the PB3 commercial product validation activities, a concerted effort has been underway which focuses on proactively implementing additional features driven by extensive and direct discussions with potential users and customers in our target markets. Such features include:</w:t>
      </w:r>
    </w:p>
    <w:p>
      <w:pPr>
        <w:spacing w:after="0" w:line="168" w:lineRule="exact"/>
        <w:rPr>
          <w:sz w:val="20"/>
          <w:szCs w:val="20"/>
          <w:color w:val="auto"/>
        </w:rPr>
      </w:pPr>
    </w:p>
    <w:p>
      <w:pPr>
        <w:ind w:left="1040" w:hanging="316"/>
        <w:spacing w:after="0" w:line="274"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design, development and implementation of a versatile mooring interface that allows the PB3 to accommodate various types of mooring configurations depending on the specifics and the needs of the customer, eliminating the need for a redesign to the device.</w:t>
      </w:r>
    </w:p>
    <w:p>
      <w:pPr>
        <w:jc w:val="both"/>
        <w:ind w:left="1040" w:hanging="316"/>
        <w:spacing w:after="0" w:line="255"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 development and implementation of a flexible power transmission system intended to support delivery of power and communication capabilities to customer payloads which are external to the PowerBuoy, and which may reside in the water column or on the seabed.</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and building upon our initial success in implementing an auto-ballast system in our commercial PB3, we further enhanced this feature in order to achieve faster and more cost effective PB3 deployments and retrievals.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 we are continuing the development of our PB15, the next scale-up of our autonomous PowerBuoy, which will provide higher peak power than our PB3. We completed the preliminary design of our PB15 in fiscal 2017. We are continuing to obtain market feedback on the value proposition of this design while at the same time advancing the commercialization of our PB3. While this scale-up leverages every aspect of the product development and validation of the PB3, it may also strategically position the product to allow OPT to respond to higher power needs as expressed by potential end-users and customers in our target markets.</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previously stated, the PB3 has achieved commercial status through a series of design iterations which focused on improving its reliability and survivability in the ocean environment. Though the PB3 will continue to undergo further enhancements through customary product life cycle management, we believe the PB3 has achieved a maturity level for immediate commercial use. We believe that the PB3 will generate and store sufficient power to address various application requirements in our target markets. Our product development and engineering efforts are focused, in part, on increasing the energy output and efficiency of our PowerBuoys and, if we are able to do so, we believe the PowerBuoy would be useful for additional applications where cost savings and additional power are required by our potential customers. We continue to explore opportunities in these target markets, and we have not yet finalized any product offerings in these potential markets. We believe that by increasing the energy output of our PowerBuoys we may be able to address larger segments of our target markets. By improving our design and manufacturing, we also seek to reduce the cost of our PowerBuoys through further design iterations and manufacturing ramp-up. In so doing, we seek to improve customer value, displace additional incumbent solutions, and become a viable power source for new applications in our target markets.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are continuing to work to develop solutions seeking to improve our products’ durability and reliability and to reduce their cost. For example, the redesigned PB3 leverages our knowledge base from past designs to incorporate new design features which we believe will improve its reliability and efficiency, including a redesigned PTO and a higher efficiency and higher voltage ESS. In July 2016, we deployed our first commercial PB3 PowerBuoy, off of the coast of New Jersey. This deployment was the final validation of the PB3 prior to the March 2017 six-month lease of the PB3 PowerBuoy under a previously announced customer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In March 2017, our commercial PB3 was deployed off the coast of Kozushima Island in Japan as part of this lease, and continues to operate meeting all project requirements.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Activities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seeking to build strategic relationships with other companies that have developed or are developing in-ocean applications requiring a persistent source of power that is also capable of real time data collection, processing and communication, to address potential customer needs.</w:t>
      </w:r>
    </w:p>
    <w:p>
      <w:pPr>
        <w:spacing w:after="0" w:line="147" w:lineRule="exact"/>
        <w:rPr>
          <w:sz w:val="20"/>
          <w:szCs w:val="20"/>
          <w:color w:val="auto"/>
        </w:rPr>
      </w:pPr>
    </w:p>
    <w:p>
      <w:pPr>
        <w:jc w:val="both"/>
        <w:ind w:left="840" w:hanging="332"/>
        <w:spacing w:after="0" w:line="271" w:lineRule="auto"/>
        <w:tabs>
          <w:tab w:leader="none" w:pos="840" w:val="left"/>
        </w:tabs>
        <w:numPr>
          <w:ilvl w:val="1"/>
          <w:numId w:val="9"/>
        </w:numPr>
        <w:rPr>
          <w:rFonts w:ascii="Arial" w:cs="Arial" w:eastAsia="Arial" w:hAnsi="Arial"/>
          <w:sz w:val="17"/>
          <w:szCs w:val="17"/>
          <w:color w:val="auto"/>
        </w:rPr>
      </w:pPr>
      <w:r>
        <w:rPr>
          <w:rFonts w:ascii="Arial" w:cs="Arial" w:eastAsia="Arial" w:hAnsi="Arial"/>
          <w:sz w:val="17"/>
          <w:szCs w:val="17"/>
          <w:color w:val="auto"/>
        </w:rPr>
        <w:t>In 2016, we entered into a cooperative research and development agreement (“CRADA”) with the NDBC to conduct ocean demonstrations of its innovative Self-Contained Ocean Observing Payload (“SCOOP”) monitoring system integrated into our PB3-A1 PowerBuoy. NDBC operates a large network of buoys and stations which provide critical meteorological and oceanic observations that are utilized by government, industry, and academia throughout the world. Under the CRADA, an initial ocean demonstration was to be conducted off the coast of New Jersey. We integrated the SCOOP onto our PB3 PowerBuoy and in June 2016 we deployed the system off of the coast of New Jersey. Site-specific measurements of meteorological and ocean conditions, as well as system performance and maintenance data collection, were carried out. The SCOOP was powered by the PB3, and provided metocean data to OPT and to NDBC. The deployment proceeded for approximately three months and met all project objectives. We are continuing discussions with the NDBC around next steps.</w:t>
      </w:r>
    </w:p>
    <w:p>
      <w:pPr>
        <w:spacing w:after="0" w:line="178" w:lineRule="exact"/>
        <w:rPr>
          <w:rFonts w:ascii="Arial" w:cs="Arial" w:eastAsia="Arial" w:hAnsi="Arial"/>
          <w:sz w:val="17"/>
          <w:szCs w:val="17"/>
          <w:color w:val="auto"/>
        </w:rPr>
      </w:pPr>
    </w:p>
    <w:p>
      <w:pPr>
        <w:jc w:val="both"/>
        <w:ind w:left="840" w:hanging="332"/>
        <w:spacing w:after="0" w:line="297" w:lineRule="auto"/>
        <w:tabs>
          <w:tab w:leader="none" w:pos="840" w:val="left"/>
        </w:tabs>
        <w:numPr>
          <w:ilvl w:val="1"/>
          <w:numId w:val="9"/>
        </w:numPr>
        <w:rPr>
          <w:rFonts w:ascii="Arial" w:cs="Arial" w:eastAsia="Arial" w:hAnsi="Arial"/>
          <w:sz w:val="16"/>
          <w:szCs w:val="16"/>
          <w:color w:val="auto"/>
        </w:rPr>
      </w:pPr>
      <w:r>
        <w:rPr>
          <w:rFonts w:ascii="Arial" w:cs="Arial" w:eastAsia="Arial" w:hAnsi="Arial"/>
          <w:sz w:val="16"/>
          <w:szCs w:val="16"/>
          <w:color w:val="auto"/>
        </w:rPr>
        <w:t>In May 2016, we entered into a Memorandum of Agreement (“MOA”) with WCS to explore the use of our PowerBuoys in conjunction with ocean life monitoring sensors to collect ocean mammal migration data. The MOA includes the exploration and assessment of the use of the PB3 as an integration platform to provide power and communications to sensors that monitor marine life migrations. An initial effort consisting of a battery powered sensor mounted to the PB3-A1 was deployed off of the coast of New Jersey which sought to establish a baseline acoustic survey. The deployment proceeded for approximately three months and met all project objectives. We are continuing discussions with WCS around next steps.</w:t>
      </w:r>
    </w:p>
    <w:p>
      <w:pPr>
        <w:spacing w:after="0" w:line="158" w:lineRule="exact"/>
        <w:rPr>
          <w:rFonts w:ascii="Arial" w:cs="Arial" w:eastAsia="Arial" w:hAnsi="Arial"/>
          <w:sz w:val="16"/>
          <w:szCs w:val="16"/>
          <w:color w:val="auto"/>
        </w:rPr>
      </w:pPr>
    </w:p>
    <w:p>
      <w:pPr>
        <w:jc w:val="both"/>
        <w:ind w:left="840" w:hanging="332"/>
        <w:spacing w:after="0" w:line="259"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May, 2016 we entered into a contract with MES totaling nearly $1.0 million, a portion of which was performed in fiscal 2016 as agreed under a letter of intent signed in March 2016. The contract with MES includes certain engineering and other services, and a six-month lease of our PB3 PowerBuoy off the coast of Japan, which commenced in March 2017. This six-month lease has been extended an additional month, that will now go through September 2017, at which time this PB3 Powerbuoy will be recovered.</w:t>
      </w:r>
    </w:p>
    <w:p>
      <w:pPr>
        <w:spacing w:after="0" w:line="186" w:lineRule="exact"/>
        <w:rPr>
          <w:rFonts w:ascii="Arial" w:cs="Arial" w:eastAsia="Arial" w:hAnsi="Arial"/>
          <w:sz w:val="18"/>
          <w:szCs w:val="18"/>
          <w:color w:val="auto"/>
        </w:rPr>
      </w:pPr>
    </w:p>
    <w:p>
      <w:pPr>
        <w:jc w:val="both"/>
        <w:ind w:left="820" w:hanging="326"/>
        <w:spacing w:after="0" w:line="272"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September 2016, we entered into a contract with the U.S. Department of Defense Office of Naval Research (“ONR”) totaling approximately $0.2 million to carry out the first phase of a project which focuses on the initial concept design and development of a mass-on-spring PTO-based PowerBuoy leveraging a number of OPT patents covering such a technology. If successful, this device is expected to be able to respond to the unique set of requirements expected in various military marine applications. Overall, progress was made on the project whereby design and analysis tasks as well as a portion of the test were completed and documented. The Company requested two no-cost extensions to ONR in order to address some “infant mortality” findings on the life test portion of the testing effort associated with implementing improved sealing elements and improving test fixture alignment and the completion of the actual test.</w:t>
      </w:r>
    </w:p>
    <w:p>
      <w:pPr>
        <w:spacing w:after="0" w:line="177" w:lineRule="exact"/>
        <w:rPr>
          <w:rFonts w:ascii="Arial" w:cs="Arial" w:eastAsia="Arial" w:hAnsi="Arial"/>
          <w:sz w:val="17"/>
          <w:szCs w:val="17"/>
          <w:color w:val="auto"/>
        </w:rPr>
      </w:pPr>
    </w:p>
    <w:p>
      <w:pPr>
        <w:jc w:val="both"/>
        <w:ind w:left="820" w:hanging="326"/>
        <w:spacing w:after="0" w:line="270" w:lineRule="auto"/>
        <w:tabs>
          <w:tab w:leader="none" w:pos="8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December 2016, we entered into a Joint Marketing Agreement with Sonalysts, Inc. to explore and pursue mutual opportunities in defense and oil and gas applications. The agreement includes the exploration and assessment of the use of the PB3 as a platform to provide power and communications for these markets. Founded in 1973, Sonalysts is a multi-disciplinary engineering and technical services firm with tremendous competency and expertise as systems integrator developing and supporting mission critical systems for the U.S. Navy Submarine Force. Such applications include real-world mission and tactical analyses and electronic warfare, imaging and combat control systems. Sonalysts’ core strengths also include developing and delivering interactive, computer-based training solutions, operations analysis, human systems integration solutions, and weather and aviation information processing and streaming systems. Additionally, Sonalysts maintains core technology and expertise in undersea wireless communications and in autonomous undersea systems analysis which are available to a variety of defense and commercial customers. We believe that bringing the unique capabilities and expertise of our two companies together will enable the autonomous undersea vehicle infrastructure in these two critically important business sectors.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ind w:left="820" w:hanging="326"/>
        <w:spacing w:after="0" w:line="254"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February 2017, we entered into a Joint Application Development and Marketing Agreement with HAI Technologies to pursue mutual opportunities. The initial focus of the agreement is on offshore oil and gas subsea chemical injection systems where persistent power and real-time data communications are critical. HAI has experience in a variety of technologies and applications in the offshore oil and gas industry including subsea chemical systems. Chemical injection techniques are used to mitigate the diminishing effects of buildup in piping and pumping systems used in subsea oil production operations. HAI has developed an innovative, compact and modular concept which moves the chemical injection system closer to the production field. We believe HAI Technologies’ advanced chemical injection solutions, combined with OPT’s PB3 PowerBuoy, creates a unique opportunity to pair two distinctive offshore technologies creating new methods to deal with long distance and remote offshore field developments.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 2016, we entered into a securities purchase agreement, which was amended on June 7, 2016 (as amended, the “Purchase Agreement”) with certain institutional purchasers (the “June Purchasers”). Pursuant to the terms of the Purchase Agreement, we sold an aggregate of 417,000 shares of common stock together with warrants to purchase up to an aggregate of 145,952 shares of common stock. Each share of common stock was sold together with a warrant to purchase 0.35 of a share of common stock at a combined purchase price of $4.60. The net proceeds from the offering to us were approximately $1.7 million, after deducting placement agent fees and estimated offering expenses payable by us, but excluding the proceeds, if any, from the exercise of the warrants issued in the offering. The warrants have an exercise price of $6.08 per share, will be exercisable on December 3, 2016, and will expire five years following the date of issuance.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July 22, 2016, the Company entered into the Second Amendment to the Purchase Agreement (the “Second Amended Purchase Agreement”) with certain purchasers (the “July Purchasers”). Pursuant to the terms of the Second Amended Purchase Agreement, the Company sold an aggregate of 595,000 shares of Common Stock together with warrants to purchase up to an aggregate of 178,500 shares of Common Stock. Each share of Common Stock was sold together with a warrant to purchase 0.30 of a share of Common Stock at a combined purchase price of $6.75. The net proceeds to the Company from the offering were approximately $3.6 million, after deducting placement agent fees and estimated offering expenses payable by the Company, but excluding the proceeds, if any, from the exercise of the warrants issued in the offering. The Warrants were exercisable immediately at an exercise price of $9.36 per share. The Warrants will expire on the fifth (5th) anniversary of the initial date of issuance.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19, 2016, the Company sold 2,760,000 shares of common stock at a price of $2.75 per share, which includes the sale of 360,000 shares of the Company’s common stock sold by the Company pursuant to the exercise, in full, of the over-allotment option by the underwriters in a public offering. The net proceeds to the Company from the offering were approximately $6.9 million, after deducting underwriter fees and offering expenses payable by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May 2, 2017, the Company sold 6,192,750 shares of common stock at a price of $1.30 per share, which includes the sale of 807,750 shares of the Company’s common stock sold by the Company pursuant to the exercise, in full, of the over-allotment option by the underwriters in a public offering. The net proceeds to the Company from the offering were approximately $7.2 million, after deducting underwriter fees and offering expenses payable by the Company.</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sale of additional equity or convertible securities could result in dilution to our stockholders. If additional funds are raised through the issuance of debt securities or preferred stock, these securities could have rights senior to those associated with our common stock and could contain covenants that would restrict our operations. We do not have any committed sources of debt or equity financing and we cannot assure you that financing will be available in amounts or on terms acceptable to us when needed,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July 31, 2017, our negotiated backlog was $0.1 million. As of April 30, 2017, our negotiated backlog was $0.3 million. Our backlog can include both funded amounts, which are unfilled firm orders for our products and services for which funding has been both authorized and appropriated by the customer (U.S. Congress, in the case of U.S. Government agencies), and unfunded amounts, which are unfilled firm orders for which funding has not been appropriated. If any of our contracts were to be terminated, our backlog would be reduced by the expected value of the remaining terms of such contract. Our backlog was fully funded at July 31, 2017.</w:t>
      </w:r>
    </w:p>
    <w:p>
      <w:pPr>
        <w:spacing w:after="0" w:line="18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has been for the support of our product development efforts. These revenues are recognized using the percentage-of-completion method, and changes in estimates from time to time may have a significant effect on revenue and backlog. Our backlog is also typically subject to large variations from time to time due to the timing of new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continue to commercialize our PB3 PowerBuoy for use in remote offshore power and real-time data communications applications, and in order to achieve this goal, we are pursuing the following business objectives:</w:t>
      </w:r>
    </w:p>
    <w:p>
      <w:pPr>
        <w:spacing w:after="0" w:line="170" w:lineRule="exact"/>
        <w:rPr>
          <w:sz w:val="20"/>
          <w:szCs w:val="20"/>
          <w:color w:val="auto"/>
        </w:rPr>
      </w:pPr>
    </w:p>
    <w:p>
      <w:pPr>
        <w:jc w:val="both"/>
        <w:ind w:left="700" w:hanging="341"/>
        <w:spacing w:after="0" w:line="255" w:lineRule="auto"/>
        <w:tabs>
          <w:tab w:leader="none" w:pos="7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 and/or lease PB3 PowerBuoys. </w:t>
      </w:r>
      <w:r>
        <w:rPr>
          <w:rFonts w:ascii="Arial" w:cs="Arial" w:eastAsia="Arial" w:hAnsi="Arial"/>
          <w:sz w:val="18"/>
          <w:szCs w:val="18"/>
          <w:color w:val="auto"/>
        </w:rPr>
        <w:t>We believe our PB3 PowerBuoy is well suited for many remote offshore applications. We have observed</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market demand for both PowerBuoy sales and leases within our selected markets, and we intend to sell and lease PB3 PowerBuoys to these markets. Additionally, we intend to provide services associated with product sales and leases such as maintenance, remote monitoring and diagnostic, application engineering, planning, training, and logistics support required for the PB3 PowerBuoy life-cycle. We continue to increase our commercial capabilities through new hires in marketing, sales, and application support, and through engagement of expert market consultants in various geographies.</w:t>
      </w:r>
    </w:p>
    <w:p>
      <w:pPr>
        <w:spacing w:after="0" w:line="193" w:lineRule="exact"/>
        <w:rPr>
          <w:rFonts w:ascii="Arial" w:cs="Arial" w:eastAsia="Arial" w:hAnsi="Arial"/>
          <w:sz w:val="18"/>
          <w:szCs w:val="18"/>
          <w:i w:val="1"/>
          <w:iCs w:val="1"/>
          <w:color w:val="auto"/>
        </w:rPr>
      </w:pPr>
    </w:p>
    <w:p>
      <w:pPr>
        <w:jc w:val="both"/>
        <w:ind w:left="700" w:hanging="341"/>
        <w:spacing w:after="0" w:line="264" w:lineRule="auto"/>
        <w:tabs>
          <w:tab w:leader="none" w:pos="7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Concentrate sales and marketing efforts in specific geographic markets. </w:t>
      </w:r>
      <w:r>
        <w:rPr>
          <w:rFonts w:ascii="Arial" w:cs="Arial" w:eastAsia="Arial" w:hAnsi="Arial"/>
          <w:sz w:val="18"/>
          <w:szCs w:val="18"/>
          <w:color w:val="auto"/>
        </w:rPr>
        <w:t>We are currently focusing our marketing efforts in North America, Europe,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 and parts of Asia, including Japan. We believe that each of these areas has sizable end market opportunities, political and economic stability, and high levels of industrialization and economic development.</w:t>
      </w:r>
    </w:p>
    <w:p>
      <w:pPr>
        <w:spacing w:after="0" w:line="181" w:lineRule="exact"/>
        <w:rPr>
          <w:rFonts w:ascii="Arial" w:cs="Arial" w:eastAsia="Arial" w:hAnsi="Arial"/>
          <w:sz w:val="18"/>
          <w:szCs w:val="18"/>
          <w:i w:val="1"/>
          <w:iCs w:val="1"/>
          <w:color w:val="auto"/>
        </w:rPr>
      </w:pPr>
    </w:p>
    <w:p>
      <w:pPr>
        <w:jc w:val="both"/>
        <w:ind w:left="720" w:hanging="361"/>
        <w:spacing w:after="0" w:line="312" w:lineRule="auto"/>
        <w:tabs>
          <w:tab w:leader="none" w:pos="7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Expand our relationships in key market areas through strategic partnerships and collaborations. </w:t>
      </w:r>
      <w:r>
        <w:rPr>
          <w:rFonts w:ascii="Arial" w:cs="Arial" w:eastAsia="Arial" w:hAnsi="Arial"/>
          <w:sz w:val="16"/>
          <w:szCs w:val="16"/>
          <w:color w:val="auto"/>
        </w:rPr>
        <w:t>We believe that strategic partners are an important</w:t>
      </w:r>
      <w:r>
        <w:rPr>
          <w:rFonts w:ascii="Arial" w:cs="Arial" w:eastAsia="Arial" w:hAnsi="Arial"/>
          <w:sz w:val="16"/>
          <w:szCs w:val="16"/>
          <w:i w:val="1"/>
          <w:iCs w:val="1"/>
          <w:color w:val="auto"/>
        </w:rPr>
        <w:t xml:space="preserve"> </w:t>
      </w:r>
      <w:r>
        <w:rPr>
          <w:rFonts w:ascii="Arial" w:cs="Arial" w:eastAsia="Arial" w:hAnsi="Arial"/>
          <w:sz w:val="16"/>
          <w:szCs w:val="16"/>
          <w:color w:val="auto"/>
        </w:rPr>
        <w:t>part of commercializing a new product. Partnerships and collaborations can be used to improve the development of overall integrated solutions, to create new market channels, to expand commercial know-how and geographic footprint, and to bolster our product delivery capabilities.</w:t>
      </w:r>
    </w:p>
    <w:p>
      <w:pPr>
        <w:spacing w:after="0" w:line="146" w:lineRule="exact"/>
        <w:rPr>
          <w:rFonts w:ascii="Arial" w:cs="Arial" w:eastAsia="Arial" w:hAnsi="Arial"/>
          <w:sz w:val="16"/>
          <w:szCs w:val="16"/>
          <w:i w:val="1"/>
          <w:iCs w:val="1"/>
          <w:color w:val="auto"/>
        </w:rPr>
      </w:pPr>
    </w:p>
    <w:p>
      <w:pPr>
        <w:jc w:val="both"/>
        <w:ind w:left="1040" w:hanging="330"/>
        <w:spacing w:after="0" w:line="255"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Commercial collaborations. </w:t>
      </w:r>
      <w:r>
        <w:rPr>
          <w:rFonts w:ascii="Arial" w:cs="Arial" w:eastAsia="Arial" w:hAnsi="Arial"/>
          <w:sz w:val="18"/>
          <w:szCs w:val="18"/>
          <w:color w:val="auto"/>
        </w:rPr>
        <w:t>We believe that an important element of our business strategy is to collaborate with other organizations to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our combined expertise, market presence and access, and core competences across key markets. We have formed such a relationship with several well-known groups, including MES in Japan, the National Data Buoy Center (“NDBC”), the Wildlife Conservation Society (“WCS”), Gardline Environmental (an international and multi-disciplinary marine service company), Sonalysts (with expertise in subsea and surface communications, systems integration, and big-data management), and HAI Technologies (an innovative company focusing on bringing new capabilities to the oil and gas industry). We continue to seek other opportunities to collaborate with application experts from within our selected markets.</w:t>
      </w:r>
    </w:p>
    <w:p>
      <w:pPr>
        <w:spacing w:after="0" w:line="189" w:lineRule="exact"/>
        <w:rPr>
          <w:rFonts w:ascii="Arial" w:cs="Arial" w:eastAsia="Arial" w:hAnsi="Arial"/>
          <w:sz w:val="18"/>
          <w:szCs w:val="18"/>
          <w:color w:val="auto"/>
        </w:rPr>
      </w:pPr>
    </w:p>
    <w:p>
      <w:pPr>
        <w:jc w:val="both"/>
        <w:ind w:left="1040" w:hanging="330"/>
        <w:spacing w:after="0" w:line="25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Outsourcing of fabrication, deployment and service support</w:t>
      </w:r>
      <w:r>
        <w:rPr>
          <w:rFonts w:ascii="Arial" w:cs="Arial" w:eastAsia="Arial" w:hAnsi="Arial"/>
          <w:sz w:val="18"/>
          <w:szCs w:val="18"/>
          <w:color w:val="auto"/>
        </w:rPr>
        <w:t>. We outsource all fabrication, anchoring, mooring, cabling supply, and in most</w:t>
      </w:r>
      <w:r>
        <w:rPr>
          <w:rFonts w:ascii="Arial" w:cs="Arial" w:eastAsia="Arial" w:hAnsi="Arial"/>
          <w:sz w:val="18"/>
          <w:szCs w:val="18"/>
          <w:i w:val="1"/>
          <w:iCs w:val="1"/>
          <w:color w:val="auto"/>
        </w:rPr>
        <w:t xml:space="preserve"> </w:t>
      </w:r>
      <w:r>
        <w:rPr>
          <w:rFonts w:ascii="Arial" w:cs="Arial" w:eastAsia="Arial" w:hAnsi="Arial"/>
          <w:sz w:val="18"/>
          <w:szCs w:val="18"/>
          <w:color w:val="auto"/>
        </w:rPr>
        <w:t>cases deployment of our PowerBuoy in order to minimize our capital requirements as we scale our business. Our PTO is a proprietary subsystem and is assembled and tested at our facility. We believe this distributed manufacturing and assembly approach enables us to focus on our core competencies ensure a cost-effective product by leveraging a larger more established supply base. We also continue to seek strategic partnerships with regards to servicing of our PB3 PowerBuoy.</w:t>
      </w:r>
    </w:p>
    <w:p>
      <w:pPr>
        <w:spacing w:after="0" w:line="188" w:lineRule="exact"/>
        <w:rPr>
          <w:rFonts w:ascii="Arial" w:cs="Arial" w:eastAsia="Arial" w:hAnsi="Arial"/>
          <w:sz w:val="18"/>
          <w:szCs w:val="18"/>
          <w:color w:val="auto"/>
        </w:rPr>
      </w:pPr>
    </w:p>
    <w:p>
      <w:pPr>
        <w:jc w:val="both"/>
        <w:ind w:left="700" w:right="20" w:hanging="341"/>
        <w:spacing w:after="0" w:line="259" w:lineRule="auto"/>
        <w:tabs>
          <w:tab w:leader="none" w:pos="70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PB3 cost reduction and PowerBuoy product development. </w:t>
      </w:r>
      <w:r>
        <w:rPr>
          <w:rFonts w:ascii="Arial" w:cs="Arial" w:eastAsia="Arial" w:hAnsi="Arial"/>
          <w:sz w:val="18"/>
          <w:szCs w:val="18"/>
          <w:color w:val="auto"/>
        </w:rPr>
        <w:t>Our engineering efforts are focused on customer application development for PB3 sales,</w:t>
      </w:r>
      <w:r>
        <w:rPr>
          <w:rFonts w:ascii="Arial" w:cs="Arial" w:eastAsia="Arial" w:hAnsi="Arial"/>
          <w:sz w:val="18"/>
          <w:szCs w:val="18"/>
          <w:i w:val="1"/>
          <w:iCs w:val="1"/>
          <w:color w:val="auto"/>
        </w:rPr>
        <w:t xml:space="preserve"> </w:t>
      </w:r>
      <w:r>
        <w:rPr>
          <w:rFonts w:ascii="Arial" w:cs="Arial" w:eastAsia="Arial" w:hAnsi="Arial"/>
          <w:sz w:val="18"/>
          <w:szCs w:val="18"/>
          <w:color w:val="auto"/>
        </w:rPr>
        <w:t>cost reduction of our PB3 PowerBuoy and improving the energy output, reliability, maintenance interval and expected operating life of our PowerBuoys. We continue to optimize manufacturability of our designs with a focus on cost competitiveness, and we believe that we will be able to address new and different applications by developing new products that increase energy output.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statements have been prepared assuming we will continue as a going concern. We have experienced substantial and recurring losses from operations, which losses have caused an accumulated deficit of $190.0 million at July 31, 2017. Based on the Company’s cash and cash equivalents and marketable securities balances as of July 31, 2017 the Company believes that it will be able to finance its capital requirements and operations into the quarter ending July 31, 2018.</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report of our independent registered public accounting firm on our consolidated financial statements filed with our Annual Report on Form 10-K for the year ended April 30, 2017, contains an explanatory paragraph regarding our ability to continue as a going concern, based on, among other factors, that our ability to continue as a going concern is dependent upon our ability to raise additional external capital and increase revenues. These factors, among others, raise substantial doubt about our ability to continue as a going concern. Our consolidated financial statements do not include any adjustments that might result from the outcome of this uncertainty. We cannot assure you that we will be successful in our efforts to generate revenues, become profitable, raise additional outside capital or to continue as a going concern. If we are not successful in our efforts to raise additional capital sufficient to support our operations, we would be forced to cease operations, in which event investors would lose their entire investment in our company.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understand our financial statements, it is important to understand our critical accounting policies and estimates. We prepare our financial statements in accordance with generally accepted accounting principles, or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6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2017. There were no material changes in our critical accounting estimates or accounting policies during the three months ended July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ASU 2014-09 outlines a new, single comprehensive model for entities to use in accounting for revenue arising from contracts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customers and supersedes most current revenue recognition guidance, including industry-specific guidance. This new revenue recognition model provides a five-step analysis in determining when and how revenue is recognized. The new model will require revenue recognition to depict the transfer of promised goods or services to customers in an amount that reflects the consideration a company expects to receive in exchange for those goods or services. The FASB subsequently issued additional clarifying standards to address issues arising from implementation of the new revenue standard, including a one-year deferral of the effective date for the new revenue standard. Public companies should now apply the guidance in ASU 2014-09 to annual reporting periods beginning after December 15, 2017 and interim periods within those annual periods. Earlier application is permitted only as of annual reporting periods beginning after December 15, 2016, including interim periods within that annual period. As such, the Company is required to adopt this standard effective in fiscal 2019, which begins May 1, 2018. Companies may use either a full retrospective or a modified retrospective approach to adopt ASU 2014-09. The Company has not yet completed its final review of the impact of this guidance; however the Company anticipates applying the modified retrospective method upon adoption of ASU 2014-09 on May 1, 2018. The impact to the Company could be affected by the nature and terms of potential future contracts with customers, as those contracts may have terms that differ from the Company’s current contracts.</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“Disclosure of Uncertainties about an Entity’s Ability to Continue as a Going Concern”,</w:t>
      </w:r>
      <w:r>
        <w:rPr>
          <w:rFonts w:ascii="Arial" w:cs="Arial" w:eastAsia="Arial" w:hAnsi="Arial"/>
          <w:sz w:val="16"/>
          <w:szCs w:val="16"/>
          <w:color w:val="auto"/>
        </w:rPr>
        <w:t xml:space="preserve"> which describes how an entity should assess its ability to meet obligations and sets rules for how this information should be disclosed in the financial statements. The standard provides accounting guidance that will be used along with existing auditing standards. The new standard applies to all entities for the first annual period ending after December 15, 2016, and interim periods thereafter. Early application is permitted. The Company adopted ASU 2014-15 for the fiscal year 2017. The Company’s addition of the standard did not have a material impact on its disclosures. See section (c) “Liquidity/Going Concern” within Note</w:t>
      </w:r>
    </w:p>
    <w:p>
      <w:pPr>
        <w:spacing w:after="0" w:line="2" w:lineRule="exact"/>
        <w:rPr>
          <w:sz w:val="20"/>
          <w:szCs w:val="20"/>
          <w:color w:val="auto"/>
        </w:rPr>
      </w:pPr>
    </w:p>
    <w:p>
      <w:pPr>
        <w:ind w:firstLine="8"/>
        <w:spacing w:after="0" w:line="261" w:lineRule="auto"/>
        <w:tabs>
          <w:tab w:leader="none" w:pos="2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“Background and Liquidity” of the consolidated financial statements included in this Quarterly Report on Form 10-Q for further discussion on the Company’s ability to continue as a going concern.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“Recognition and Measurement of Financial Assets and Financial Liabilities”,</w:t>
      </w:r>
      <w:r>
        <w:rPr>
          <w:rFonts w:ascii="Arial" w:cs="Arial" w:eastAsia="Arial" w:hAnsi="Arial"/>
          <w:sz w:val="17"/>
          <w:szCs w:val="17"/>
          <w:color w:val="auto"/>
        </w:rPr>
        <w:t xml:space="preserve"> which makes limited amendments to the guidance in U.S. GAAP on the classification and measurement of financial instruments. The update significantly revises an entity's accounting related to the classification and measurement of investments in equity securities and the presentation of certain fair value changes for financial liabilities measured at fair value. It also amends certain disclosure requirements associated with the fair value of financial instruments. The update will take effect for public companies for fiscal years beginning after December 15, 2017, including interim periods within those fiscal years. The Company will evaluate the effect of ASU 2016-01 for future periods as applicable.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ASU 2016-02 is effective for annual periods beginning after December 15, 2018, including interim periods within those annual periods, with early adoption permitted.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is evaluating the effect ASU 2016-02 will have on its consolidated financial statements and disclosures and has not yet determined the effect of the standard on its ongoing financial reporting at this time.</w:t>
      </w:r>
    </w:p>
    <w:p>
      <w:pPr>
        <w:spacing w:after="0" w:line="167" w:lineRule="exact"/>
        <w:rPr>
          <w:sz w:val="20"/>
          <w:szCs w:val="20"/>
          <w:color w:val="auto"/>
        </w:rPr>
      </w:pPr>
    </w:p>
    <w:p>
      <w:pPr>
        <w:jc w:val="both"/>
        <w:ind w:right="60"/>
        <w:spacing w:after="0" w:line="269"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The amendments of ASU No. 2016-09 were issued as part of the FASB's Simplification initiative focused on improving areas of GAAP for which cost and complexity may be reduced while maintaining or improving the usefulness of information disclosed within the financial statements. The amendments focused on simplification specifically with regard to share-based payment transactions, including accounting for forfeitures, income tax consequences, classification of awards as equity or liabilities and classification on the statement of cash flows. The guidance in ASU No. 2016-09 is effective for fiscal years beginning after December 15, 2016, and interim periods within those annual periods. The Company adopted ASU 2016-09 on May 1, 2017. Certain of the amendments are applied using a modified retrospective transition method by means of a cumulative-effect adjustment to equity as of May 1, 2017, while other amendments are applied retrospectively, prospectively or using either a prospective or a retrospective transition method. Upon adoption, the Company is beginning to account for forfeitures as they occur rather than estimate a forfeiture rate and has recorded a cumulative-effect adjustment in equity of approximately $10,000 on the date of initial adoption. In periods subsequent to adoption, a higher expense will be recognized earlier during the respective vesting periods of stock-based awards that are not forfeited. The Company expects that the income tax amendments within ASU 2016-09 will have no impact on its results of operations or cash flows because it is in a net operating loss position with a full valuation allowance.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providing additional guidance on eight specific cash flow classification issues. The goal of the ASU is to reduce diversity in practice of classifying certain items. The amendments in the ASU are effective for fiscal years beginning after December 15, 2017, and interim periods within those fiscal years and early adoption is permitted. The Company has evaluated the effect ASU 2016-13 will have on its consolidated financial statements and disclosures and has determined the standard will have no impact on its ongoing financial reporting at this time.</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which amends guidance and presentation related to restricted cash in the statement of cash flows, including stating that amounts generally described as restricted cash and restricted cash equivalents should be included within cash and cash equivalents when reconciling the beginning-of-period and end-of-period total amounts shown in the statement of cash flows. An entity is required to provide a disclosure indicating the reconciliation of all cash accounts. The amendments in the ASU are effective for fiscal years beginning after December 15, 2017, and interim periods within those fiscal years and early adoption is permitted. The Company has early adopted ASU 2016-18 effective May 1, 2017. In connection with the adoption of the standard the Company has used a retrospective transition method for each period presented in the statement of cash flows. The Company reclassified $488,000 and $300,000 of restricted cash to cash, cash equivalents and restricted cash, beginning of period for the period April 30, 2017 and April 30, 2016 in the statement of cash flows. The Company reclassified $266,000 of restricted cash to cash, cash equivalents and restricted cash, end of period for the period ended July 31, 2016 in the statement of cash flows.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Generally, revenue under fixed price or cost plus contracts is recognized using the percentage-of-completion method, measured by the ratio of costs incurred to total estimated costs at completion. In certain circumstances, revenue under contracts that have specified milestones or other performance criteria may be recognized only when the customer acknowledges that such criteria have been satisfied. If an arrangement involves multiple deliverables, the delivered items are considered separate units of accounting if the items have value on a stand-alone basis. Amounts allocated to each element are based on its objectively determined fair value, such as the sales price for the product or service when it is sold separately or competitor prices for similar products or services.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recognition of revenue (and the related costs) may be deferred for fixed price contracts until contract completion if the Company is unable to reasonably estimate the total costs of the project prior to completion. These contracts are subject to interpretation and management may make a judgment as to the amount of revenue earned and recorded. Because the Company has a small number of contracts, revisions to the percentage-of-completion determination, management interpretation or delays in meeting performance and contractual criteria or in completing projects may have a significant effect on revenue for the periods involved. Upon anticipating a loss on a contract, the Company recognizes the full amount of the anticipated loss in the current period.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the breakdown of our revenues by customer for the three months ended July 31, 2017 and 2016.</w:t>
      </w:r>
    </w:p>
    <w:p>
      <w:pPr>
        <w:spacing w:after="0" w:line="2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17"/>
              <w:spacing w:after="0"/>
              <w:rPr>
                <w:sz w:val="20"/>
                <w:szCs w:val="20"/>
                <w:color w:val="auto"/>
              </w:rPr>
            </w:pPr>
            <w:r>
              <w:rPr>
                <w:rFonts w:ascii="Arial" w:cs="Arial" w:eastAsia="Arial" w:hAnsi="Arial"/>
                <w:sz w:val="18"/>
                <w:szCs w:val="18"/>
                <w:b w:val="1"/>
                <w:bCs w:val="1"/>
                <w:color w:val="auto"/>
              </w:rPr>
              <w:t>Three months ended July 31,</w:t>
            </w:r>
          </w:p>
        </w:tc>
        <w:tc>
          <w:tcPr>
            <w:tcW w:w="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280" w:type="dxa"/>
            <w:vAlign w:val="bottom"/>
            <w:gridSpan w:val="3"/>
          </w:tcPr>
          <w:p>
            <w:pPr>
              <w:jc w:val="right"/>
              <w:ind w:right="597"/>
              <w:spacing w:after="0"/>
              <w:rPr>
                <w:sz w:val="20"/>
                <w:szCs w:val="20"/>
                <w:color w:val="auto"/>
              </w:rPr>
            </w:pPr>
            <w:r>
              <w:rPr>
                <w:rFonts w:ascii="Arial" w:cs="Arial" w:eastAsia="Arial" w:hAnsi="Arial"/>
                <w:sz w:val="16"/>
                <w:szCs w:val="16"/>
                <w:color w:val="auto"/>
                <w:w w:val="73"/>
              </w:rPr>
              <w:t>thousands)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gridSpan w:val="2"/>
          </w:tcPr>
          <w:p>
            <w:pPr>
              <w:spacing w:after="0"/>
              <w:rPr>
                <w:sz w:val="17"/>
                <w:szCs w:val="17"/>
                <w:color w:val="auto"/>
              </w:rPr>
            </w:pPr>
          </w:p>
        </w:tc>
        <w:tc>
          <w:tcPr>
            <w:tcW w:w="126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Mitsui Engineering &amp; Shipbuilding</w:t>
            </w:r>
          </w:p>
        </w:tc>
        <w:tc>
          <w:tcPr>
            <w:tcW w:w="960" w:type="dxa"/>
            <w:vAlign w:val="bottom"/>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60" w:type="dxa"/>
            <w:vAlign w:val="bottom"/>
            <w:gridSpan w:val="2"/>
            <w:shd w:val="clear" w:color="auto" w:fill="CCEEFF"/>
          </w:tcPr>
          <w:p>
            <w:pPr>
              <w:jc w:val="right"/>
              <w:ind w:right="93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U.S. Department of Defense Office of Naval Research</w:t>
            </w:r>
          </w:p>
        </w:tc>
        <w:tc>
          <w:tcPr>
            <w:tcW w:w="9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9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focus our sales and marketing efforts on North America, Europe, Australia and Japan. The following table shows the percentage of our revenues by geographical location of our customers for the three months ended July 31, 2017 and 2016.</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4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Customer Location</w:t>
            </w:r>
          </w:p>
        </w:tc>
        <w:tc>
          <w:tcPr>
            <w:tcW w:w="33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Three months ended July 31,</w:t>
            </w:r>
          </w:p>
        </w:tc>
        <w:tc>
          <w:tcPr>
            <w:tcW w:w="0" w:type="dxa"/>
            <w:vAlign w:val="bottom"/>
          </w:tcPr>
          <w:p>
            <w:pPr>
              <w:spacing w:after="0"/>
              <w:rPr>
                <w:sz w:val="1"/>
                <w:szCs w:val="1"/>
                <w:color w:val="auto"/>
              </w:rPr>
            </w:pPr>
          </w:p>
        </w:tc>
      </w:tr>
      <w:tr>
        <w:trPr>
          <w:trHeight w:val="210"/>
        </w:trPr>
        <w:tc>
          <w:tcPr>
            <w:tcW w:w="6400" w:type="dxa"/>
            <w:vAlign w:val="bottom"/>
            <w:gridSpan w:val="3"/>
            <w:vMerge w:val="continue"/>
          </w:tcPr>
          <w:p>
            <w:pPr>
              <w:spacing w:after="0"/>
              <w:rPr>
                <w:sz w:val="18"/>
                <w:szCs w:val="18"/>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may include anticipated losses at completion on certain contracts.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generate a gross profit will depend on the nature of future contracts, our success at generating revenues through sales or leases of our PowerBuoy systems, the nature of our contracts generating revenues to fund our product development efforts, and our ability to manage costs incurred on fixed price commercial contracts.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to the development of new products, product applications and complementary technologies. We expense all of our product development costs as incurred.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our financial instruments reflects the amounts that would be paid to transfer a liability in an orderly transaction between market participants at the measurement date (exit price). The fair value of our warrant liabilities are subject to remeasurement each financial statement reporting period, as such, changes in this fair value are reflected in the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instruments not required to be adjusted to fair value on a recurring basis consist principally of cash and restricted cash, accounts receivable, accounts payable, and accrued expenses. We believe the carrying amount of cash and cash equivalents, accounts receivable, accounts payable and accrued expenses approximate fair value due to their relatively short maturities.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consists of interest received on cash and cash equivalents, investments in commercial bank-issued certificates of deposit and US Treasury bills and notes and interest expense paid on certain obligations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invest our foreign cash reserves in certificates of deposit and we maintain cash accounts that are denominated in British pounds sterling, Euros and Australian dollars. These foreign-denominated certificates of deposit and cash accounts had a balance of $1.2 million as of July 31, 2017 and $1.2 million as of July 31, 2016, compared to our total cash, cash equivalents, restricted cash, and marketable securities balances of $12.0 million as of July 31, 2017 and $9.4 million as of July 31, 2016. These foreign currency balances are translated at each month and to our functional currency, the US dollar, and any resulting gain or loss is recognized in our results of operations.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during the three months ended July 31, 2017 and 2016 were recorded in Euros or British pounds sterling.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section should be read in conjunction with the discussion below under “Liquidity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2017 compared to the three months ended July 31,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July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70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 change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700" w:type="dxa"/>
            <w:vAlign w:val="bottom"/>
            <w:tcBorders>
              <w:bottom w:val="single" w:sz="8" w:color="auto"/>
            </w:tcBorders>
            <w:gridSpan w:val="5"/>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2017 period to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2016 period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220" w:type="dxa"/>
            <w:vAlign w:val="bottom"/>
            <w:gridSpan w:val="3"/>
          </w:tcPr>
          <w:p>
            <w:pPr>
              <w:jc w:val="right"/>
              <w:ind w:right="510"/>
              <w:spacing w:after="0"/>
              <w:rPr>
                <w:sz w:val="20"/>
                <w:szCs w:val="20"/>
                <w:color w:val="auto"/>
              </w:rPr>
            </w:pPr>
            <w:r>
              <w:rPr>
                <w:rFonts w:ascii="Arial" w:cs="Arial" w:eastAsia="Arial" w:hAnsi="Arial"/>
                <w:sz w:val="17"/>
                <w:szCs w:val="17"/>
                <w:color w:val="auto"/>
                <w:w w:val="71"/>
              </w:rPr>
              <w:t>thousands)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68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127</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 (loss)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1,636</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1,519</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3,155</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loss</w:t>
            </w:r>
          </w:p>
        </w:tc>
        <w:tc>
          <w:tcPr>
            <w:tcW w:w="9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(2,765)</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(3,080)</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income, net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(2,663)</w:t>
            </w:r>
          </w:p>
        </w:tc>
        <w:tc>
          <w:tcPr>
            <w:tcW w:w="108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(3,827)</w:t>
            </w:r>
          </w:p>
        </w:tc>
        <w:tc>
          <w:tcPr>
            <w:tcW w:w="1640" w:type="dxa"/>
            <w:vAlign w:val="bottom"/>
            <w:gridSpan w:val="2"/>
          </w:tcPr>
          <w:p>
            <w:pPr>
              <w:jc w:val="right"/>
              <w:ind w:right="20"/>
              <w:spacing w:after="0" w:line="210" w:lineRule="exact"/>
              <w:rPr>
                <w:sz w:val="20"/>
                <w:szCs w:val="20"/>
                <w:color w:val="auto"/>
              </w:rPr>
            </w:pPr>
            <w:r>
              <w:rPr>
                <w:rFonts w:ascii="Arial" w:cs="Arial" w:eastAsia="Arial" w:hAnsi="Arial"/>
                <w:sz w:val="14"/>
                <w:szCs w:val="14"/>
                <w:color w:val="auto"/>
              </w:rPr>
              <w:t>-30</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Revenues during the three months ended July 31, 2017 were relatively flat as compared to the three months ended July 31, 2016. Revenue for the first quarter of fiscal year 2018 came from contracts with MES and ONR, while revenue for first quarter of fiscal year 2017 came from the contract with MES.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revenues for the three months ended July 31, 2017 and 2016 were $0.2 million and $0.1 million, respectively. The increase of approximately $0.1 million, or 71%, over 2016 is due to the $0.1 million increase in the reserve for future project costs on the ONR project.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 development costs during the three months ended July 31, 2017 were $1.1 million and $1.6 million, respectively. The decrease of approximately $0.5 million, or 33%, over 2016 is due to a delayed start of new projects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costs during the three months ended July 31, 2017 and 2016 were $1.6 million and $1.5 million, respectively. The increase of $0.1 million, or 8%, over 2016, is due to higher employee costs and consulting fees of $0.1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fair value of warrant liabilities during the three months ended July 31, 2017 was an unrealized gain of $37,000 versus an unrealized loss of $752,000 for the three months ended July 31, 2016.The change between periods is due to a higher risk-free rate, lower expected life and higher expected volatility assumptions for the three months ended July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net during the three months ended July 31, 2017 was $3,000, an increase of $3,000 as compared to the three months ended July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Foreign exchange gain during the three months ended July 31, 2017 was $62,000, an increase of $57,000 as compared to a gain of $5,000 during the three months ended July 31, 2016. The difference was attributable primarily to the relative change in value of the British pound sterling, Euro and Australian dollar compared to the US dollar during the two periods.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Since our inception, the cash flows from customer revenues have not been sufficient to fund our operations and provide the capital resources for the planned growth of our business. For the two years ended April 30, 2017, our aggregate revenues were $1.5 million, our aggregate net losses were $22.6 million and our aggregate net cash used in operating activities was $21.0 million. Refer to “Liquidity Outlook” below for additional information.</w:t>
      </w:r>
    </w:p>
    <w:p>
      <w:pPr>
        <w:sectPr>
          <w:pgSz w:w="11900" w:h="16838" w:orient="portrait"/>
          <w:cols w:equalWidth="0" w:num="1">
            <w:col w:w="11420"/>
          </w:cols>
          <w:pgMar w:left="240" w:top="118" w:right="239" w:bottom="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0" w:gutter="0" w:footer="0" w:header="0"/>
          <w:type w:val="continuous"/>
        </w:sectPr>
      </w:pPr>
    </w:p>
    <w:bookmarkStart w:id="34" w:name="page35"/>
    <w:bookmarkEnd w:id="34"/>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flows used in operating activities during the three months ended July 31, 2017 were $4.2 million, an increase of $1.3 million compared to $2.9 million during the three months ended July 31, 2016. The increase was primarily related to a reduction of $2.4 million in accounts payable and accrued expenses balances partially offset by a lower net loss of $1.2 million for the three months ended July 31, 2017 compared to the same period in 2016.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used in investing activities during the three months ended July 31, 2017 and 2016 was $12,000 and $30,000, respectively. The improvement in net cash used in investing activities was primarily due to the decrease in the balance of marketable securities in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three months ended July 31, 2017 and 2016 was $7.2 million and $5.2 million, respectively, due to the fact that the capital raise in 2017 exceeded the 2016 capital raises by $2.0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an increase of $90,000 in the three months ended July 31, 2017 and a decrease of $13,000 in the three months ended for July 31, 2016. The effect of exchange rates on cash and cash equivalents results primarily from gains or losses on consolidation of foreign subsidiaries and foreign denominated cash and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financial statements have been prepared assuming we will continue as a going concern. We have experienced substantial and recurring losses from operations, which have contributed to an accumulated deficit of $190.0 million at July 31, 2017. As of July 31, 2017, we had approximately $11.4 million in cash on hand. In addition, as of July 31, 2017, our restricted cash balance was approximately $0.5 million. The Company generated revenues of $0.2 million during each of the three months ended July 31, 2017 and 2016. Based on the Company’s cash and cash equivalents and marketable securities balances as of July 31, 2017, the Company believes that it will be able to finance its capital requirements and operations into the quarter ending July 31, 2018. These conditions raise substantial doubt about our ability to continue as a going concern.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PowerBuoys and to expand our sales, marketing and manufacturing programs associated with the planned commercialization of the PowerBuoys. Our future capital requirements will depend on a number of factors, including but not limited to:</w:t>
      </w:r>
    </w:p>
    <w:p>
      <w:pPr>
        <w:spacing w:after="0" w:line="181"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commercialize our PowerBuoys, and achieve and sustain profitability;</w:t>
      </w:r>
    </w:p>
    <w:p>
      <w:pPr>
        <w:spacing w:after="0" w:line="225"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70"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additional funding, as and if needed which will be subject to a number of factors, including market conditions, and our operating performance;</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and capital requirements;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balances and our need for additional financings;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and manufacture a commercially viable PowerBuoy product;</w:t>
      </w:r>
    </w:p>
    <w:p>
      <w:pPr>
        <w:spacing w:after="0" w:line="225"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we will be successful in our efforts to commercialize our PowerBuoy or the timetable upon which commercialization can be achieved, if at all;</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and penetrate markets for our PowerBuoys and our wave energy technology;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implement our commercialization strategy as planned, or at all;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Capital Market;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reliability of our technology and our PowerBuoys;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improve the power output, survivability and reliability of our PowerBuoys;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pending and threatened litigation on our business, financial condition and liquidity;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current legislation, regulations and economic conditions that affect the demand for renewable energy;</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compete effectively in our target markets;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limited operating history and history of operating losses;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sales and marketing capabilities and strategy in the United States and internationally;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protect our intellectual property portfolio.</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business is capital intensive and, to date, we have been funding our business principally through sales of our securities, and we expect to continue to fund our business with sales of our securities and, to a limited extent, with our revenues until, if ever, we generate sufficient cash flow to internally fund our business. This is largely a result of the high product development costs associated with our product development. We may choose to reduce our operating expenses through personnel reductions, and reductions in our research and development and other operating costs during the remainder of fiscal year 2018,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raise additional capital when needed or generate positive cash flow, it is unlikely that we will be able to continue as a going concern. The financial statements do not include any adjustments that might result from the outcome of this uncertainty.</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Management, under the supervision and with the participation of our Chief Executive Officer and Chief Financial Officer, evaluated the effectiveness of the design and operation of our disclosure controls and procedures as of July 31, 2017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July 31, 2017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July 31, 2017 that has materially affected, or is reasonably likely to materially affect, our internal control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Litigation and Demands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and certain of its current and former directors and officers are defendants in a derivative lawsuit filed on March 18, 2015 in the United States District Court for the District of New Jersey captioned </w:t>
      </w:r>
      <w:r>
        <w:rPr>
          <w:rFonts w:ascii="Arial" w:cs="Arial" w:eastAsia="Arial" w:hAnsi="Arial"/>
          <w:sz w:val="18"/>
          <w:szCs w:val="18"/>
          <w:i w:val="1"/>
          <w:iCs w:val="1"/>
          <w:color w:val="auto"/>
        </w:rPr>
        <w:t>Labare v. Dunleavy, et. al.,</w:t>
      </w:r>
      <w:r>
        <w:rPr>
          <w:rFonts w:ascii="Arial" w:cs="Arial" w:eastAsia="Arial" w:hAnsi="Arial"/>
          <w:sz w:val="18"/>
          <w:szCs w:val="18"/>
          <w:color w:val="auto"/>
        </w:rPr>
        <w:t xml:space="preserve"> Case No. 3:15-cv-01980-FLW-LHG. The derivative complaint alleges claims for breach of fiduciary duty, abuse of control, gross mismanagement and unjust enrichment relating to the now terminated agreement between Victorian Wave Partners Pty. Ltd. (VWP) and the Australian Renewable Energy Agency (ARENA) for the development of a wave power station. The derivative complaint seeks unspecified monetary damages and other relief.</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On July 10, 2015, a second derivative lawsuit, captioned </w:t>
      </w:r>
      <w:r>
        <w:rPr>
          <w:rFonts w:ascii="Arial" w:cs="Arial" w:eastAsia="Arial" w:hAnsi="Arial"/>
          <w:sz w:val="17"/>
          <w:szCs w:val="17"/>
          <w:i w:val="1"/>
          <w:iCs w:val="1"/>
          <w:color w:val="auto"/>
        </w:rPr>
        <w:t>Rywolt v. Dunleavy, et al.,</w:t>
      </w:r>
      <w:r>
        <w:rPr>
          <w:rFonts w:ascii="Arial" w:cs="Arial" w:eastAsia="Arial" w:hAnsi="Arial"/>
          <w:sz w:val="17"/>
          <w:szCs w:val="17"/>
          <w:color w:val="auto"/>
        </w:rPr>
        <w:t xml:space="preserve"> Case No. 3:15-cv-05469, was filed by another shareholder against the same defendants in the United States District Court for the District of New Jersey alleging similar claims for breach of fiduciary duty, gross mismanagement, abuse of control, and unjust enrichment relating to the now terminated agreement between VWP and ARENA. The </w:t>
      </w:r>
      <w:r>
        <w:rPr>
          <w:rFonts w:ascii="Arial" w:cs="Arial" w:eastAsia="Arial" w:hAnsi="Arial"/>
          <w:sz w:val="17"/>
          <w:szCs w:val="17"/>
          <w:i w:val="1"/>
          <w:iCs w:val="1"/>
          <w:color w:val="auto"/>
        </w:rPr>
        <w:t>Rywolt</w:t>
      </w:r>
      <w:r>
        <w:rPr>
          <w:rFonts w:ascii="Arial" w:cs="Arial" w:eastAsia="Arial" w:hAnsi="Arial"/>
          <w:sz w:val="17"/>
          <w:szCs w:val="17"/>
          <w:color w:val="auto"/>
        </w:rPr>
        <w:t xml:space="preserve"> complaint also seeks unspecified monetary damages and other relief. On February 8, 2016, the Court issued an order consolidating the </w:t>
      </w:r>
      <w:r>
        <w:rPr>
          <w:rFonts w:ascii="Arial" w:cs="Arial" w:eastAsia="Arial" w:hAnsi="Arial"/>
          <w:sz w:val="17"/>
          <w:szCs w:val="17"/>
          <w:i w:val="1"/>
          <w:iCs w:val="1"/>
          <w:color w:val="auto"/>
        </w:rPr>
        <w:t>Labare</w:t>
      </w:r>
      <w:r>
        <w:rPr>
          <w:rFonts w:ascii="Arial" w:cs="Arial" w:eastAsia="Arial" w:hAnsi="Arial"/>
          <w:sz w:val="17"/>
          <w:szCs w:val="17"/>
          <w:color w:val="auto"/>
        </w:rPr>
        <w:t xml:space="preserv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appointing co-lead plaintiffs and lead counsel, and ordering a consolidated amended complaint to be filed within 30 days of the order. On March 9, 2016, the co-lead plaintiffs filed an amended complaint consolidating their claims and seeking unspecified monetary damages and other relief.</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April 21, 2016, a third derivative lawsuit, captioned </w:t>
      </w:r>
      <w:r>
        <w:rPr>
          <w:rFonts w:ascii="Arial" w:cs="Arial" w:eastAsia="Arial" w:hAnsi="Arial"/>
          <w:sz w:val="17"/>
          <w:szCs w:val="17"/>
          <w:i w:val="1"/>
          <w:iCs w:val="1"/>
          <w:color w:val="auto"/>
        </w:rPr>
        <w:t>LaCalamito v. Dunleavy, et al.,</w:t>
      </w:r>
      <w:r>
        <w:rPr>
          <w:rFonts w:ascii="Arial" w:cs="Arial" w:eastAsia="Arial" w:hAnsi="Arial"/>
          <w:sz w:val="17"/>
          <w:szCs w:val="17"/>
          <w:color w:val="auto"/>
        </w:rPr>
        <w:t xml:space="preserve"> Case No. 3:16-cv-02249, was filed by another shareholder against certain current and former directors and officers of the Company in the United States District Court for the District of New Jersey alleging similar claims for breach of fiduciary duty relating to the now terminated agreement between VWP and ARENA. The </w:t>
      </w:r>
      <w:r>
        <w:rPr>
          <w:rFonts w:ascii="Arial" w:cs="Arial" w:eastAsia="Arial" w:hAnsi="Arial"/>
          <w:sz w:val="17"/>
          <w:szCs w:val="17"/>
          <w:i w:val="1"/>
          <w:iCs w:val="1"/>
          <w:color w:val="auto"/>
        </w:rPr>
        <w:t>LaCalamito</w:t>
      </w:r>
      <w:r>
        <w:rPr>
          <w:rFonts w:ascii="Arial" w:cs="Arial" w:eastAsia="Arial" w:hAnsi="Arial"/>
          <w:sz w:val="17"/>
          <w:szCs w:val="17"/>
          <w:color w:val="auto"/>
        </w:rPr>
        <w:t xml:space="preserve"> complaint seeks unspecified monetary damages and other relief. The Company has not been formally served and has not yet responded to the complaint.</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June 9, 2016, a fourth derivative lawsuit, captioned </w:t>
      </w:r>
      <w:r>
        <w:rPr>
          <w:rFonts w:ascii="Arial" w:cs="Arial" w:eastAsia="Arial" w:hAnsi="Arial"/>
          <w:sz w:val="17"/>
          <w:szCs w:val="17"/>
          <w:i w:val="1"/>
          <w:iCs w:val="1"/>
          <w:color w:val="auto"/>
        </w:rPr>
        <w:t>Pucillo v. Dunleavy, et al.,</w:t>
      </w:r>
      <w:r>
        <w:rPr>
          <w:rFonts w:ascii="Arial" w:cs="Arial" w:eastAsia="Arial" w:hAnsi="Arial"/>
          <w:sz w:val="17"/>
          <w:szCs w:val="17"/>
          <w:color w:val="auto"/>
        </w:rPr>
        <w:t xml:space="preserve"> was filed by another shareholder against certain current and former directors and officers of the Company in the United States District Court for the District of New Jersey alleging similar claims for breach of fiduciary duty, unjust enrichment, and abuse of control relating to the now terminated agreement between VWP and ARENA.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seeks unspecified monetary damages and other relief. On August 2, 2016, the parties in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lawsuit filed a Stipulation and Proposed Order pursuant to which: (i) the defendants agreed to accept service of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complaint; (ii) the parties agreed to stay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pending the filing and resolution of a motion to consolidate the </w:t>
      </w:r>
      <w:r>
        <w:rPr>
          <w:rFonts w:ascii="Arial" w:cs="Arial" w:eastAsia="Arial" w:hAnsi="Arial"/>
          <w:sz w:val="17"/>
          <w:szCs w:val="17"/>
          <w:i w:val="1"/>
          <w:iCs w:val="1"/>
          <w:color w:val="auto"/>
        </w:rPr>
        <w:t>Pucillo</w:t>
      </w:r>
      <w:r>
        <w:rPr>
          <w:rFonts w:ascii="Arial" w:cs="Arial" w:eastAsia="Arial" w:hAnsi="Arial"/>
          <w:sz w:val="17"/>
          <w:szCs w:val="17"/>
          <w:color w:val="auto"/>
        </w:rPr>
        <w:t xml:space="preserve"> action with the </w:t>
      </w:r>
      <w:r>
        <w:rPr>
          <w:rFonts w:ascii="Arial" w:cs="Arial" w:eastAsia="Arial" w:hAnsi="Arial"/>
          <w:sz w:val="17"/>
          <w:szCs w:val="17"/>
          <w:i w:val="1"/>
          <w:iCs w:val="1"/>
          <w:color w:val="auto"/>
        </w:rPr>
        <w:t>Labar</w:t>
      </w:r>
      <w:r>
        <w:rPr>
          <w:rFonts w:ascii="Arial" w:cs="Arial" w:eastAsia="Arial" w:hAnsi="Arial"/>
          <w:sz w:val="17"/>
          <w:szCs w:val="17"/>
          <w:color w:val="auto"/>
        </w:rPr>
        <w:t xml:space="preserve">e and </w:t>
      </w:r>
      <w:r>
        <w:rPr>
          <w:rFonts w:ascii="Arial" w:cs="Arial" w:eastAsia="Arial" w:hAnsi="Arial"/>
          <w:sz w:val="17"/>
          <w:szCs w:val="17"/>
          <w:i w:val="1"/>
          <w:iCs w:val="1"/>
          <w:color w:val="auto"/>
        </w:rPr>
        <w:t>Rywolt</w:t>
      </w:r>
      <w:r>
        <w:rPr>
          <w:rFonts w:ascii="Arial" w:cs="Arial" w:eastAsia="Arial" w:hAnsi="Arial"/>
          <w:sz w:val="17"/>
          <w:szCs w:val="17"/>
          <w:color w:val="auto"/>
        </w:rPr>
        <w:t xml:space="preserve"> actions; and (iii) the parties agreed that the defendants shall not be required to respond to the </w:t>
      </w:r>
      <w:r>
        <w:rPr>
          <w:rFonts w:ascii="Arial" w:cs="Arial" w:eastAsia="Arial" w:hAnsi="Arial"/>
          <w:sz w:val="17"/>
          <w:szCs w:val="17"/>
          <w:i w:val="1"/>
          <w:iCs w:val="1"/>
          <w:color w:val="auto"/>
        </w:rPr>
        <w:t xml:space="preserve">Pucillo </w:t>
      </w:r>
      <w:r>
        <w:rPr>
          <w:rFonts w:ascii="Arial" w:cs="Arial" w:eastAsia="Arial" w:hAnsi="Arial"/>
          <w:sz w:val="17"/>
          <w:szCs w:val="17"/>
          <w:color w:val="auto"/>
        </w:rPr>
        <w:t>complaint during the pendency of the stay. The Court approved the Stipulation on August 3, 2016.</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October 25, 2016, the Court approved and entered a Stipulation and Order that, among other things, (i) consolidated the four derivative actions; (ii) identified plaintiff </w:t>
      </w:r>
      <w:r>
        <w:rPr>
          <w:rFonts w:ascii="Arial" w:cs="Arial" w:eastAsia="Arial" w:hAnsi="Arial"/>
          <w:sz w:val="16"/>
          <w:szCs w:val="16"/>
          <w:i w:val="1"/>
          <w:iCs w:val="1"/>
          <w:color w:val="auto"/>
        </w:rPr>
        <w:t>Pucillo</w:t>
      </w:r>
      <w:r>
        <w:rPr>
          <w:rFonts w:ascii="Arial" w:cs="Arial" w:eastAsia="Arial" w:hAnsi="Arial"/>
          <w:sz w:val="16"/>
          <w:szCs w:val="16"/>
          <w:color w:val="auto"/>
        </w:rPr>
        <w:t xml:space="preserve"> as the lead plaintiff in the consolidated actions; and (iii) stayed the consolidated actions pending the settlement hearing scheduled for November 14, 2016 in the securities class action and further order of the Court. During the month of August, 2017, the Company tentatively reached a settlement with the plaintiff subject to final documentation. The settlement, once finalized and if approved by the court, provides, among other things, for a settlement payment by or on behalf of the Company of $350,000, of which the Company’s insurer would pay the complete amount of $350,000. As a result, the Company has accrued $350,000 related to this matter as a probable and reasonably estimable loss contingency during the three months ended July 31, 2017. The Company also recorded a receivable of $350,000 from its insurance carrier with the offset to the statement of operations.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26, 2017, an attorney claiming to represent two stockholders sent the Company’s Board of Directors a Stockholder Litigation Demand letter (“Stockholder Demand”). The Stockholder Demand alleges that the voting of shares for the 1-for-10 reverse stock split at the 2015 annual meeting of stockholders held on October 22, 2015 was not properly counted, and further alleges that, although the Company reported the reverse stock split as having been passed, if the vote was properly counted the reverse stock split would not have been approved. The Stockholder Demand requests the Board of Directors either to deem the reverse stock split as ineffective and disclose the same or to seek a proper and effective stockholder ratification of the reverse stock split. In addition, the Stockholder Demand requests the Board of Directors to adopt and implement adequate internal controls and systems to prevent the alleged improper voting from recurring. On June 23, 2017, the Company responded to the Stockholder Demand, explained the procedures that were followed for the 2015 annual meeting of stockholders and provided the Oath of the Inspector of Elections and the Certificate of the Inspector of Elections that certified as accurate the results of the voting at the meeting including voting on the reverse stock split proposal. On June 26, 2017, the attorney representing the alleged stockholders replied to the Company’s response, further alleged that the proxy statement underlying the 2015 annual meeting provided voting instructions that misled the stockholders regarding whether their brokers could vote on the reverse stock split proposal, and renewed their requests of the Board. On July 24, 2017, the Company provided an additional response to the Stockholders Demand, denied the allegations, and declined to take any of the actions requested.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Litigation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10, 2014, the Company announced that it had terminated Charles Dunleavy as its Chief Executive Officer and as an employee of the Company for cause, effective June 9, 2014, and that Mr. Dunleavy had also been removed from his position as Chairman of the Board of Directors. On June 17, 2014, Mr. Dunleavy wrote to the Company stating that he had retained counsel to represent him in connection with an alleged wrongful termination of his employment. On July 28, 2014, Mr. Dunleavy resigned from the Board and the boards of directors of the Company's subsidiaries. The Company and Mr. Dunleavy have agreed to suspend his alleged employment claims pending resolution of the shareholder litigation, and have since agreed to continue the suspension pending resolution of the derivatives litigation.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for the pending settlement noted previously, we have not established any provision for losses relating to these claims and pending litigation. Due to the stages of these proceedings, and considering the inherent uncertainty of these claims and litigation, at this time we are not able to predict or reasonably estimate whether we have any possible loss exposure or the ultimate outcome of these claims.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Regulatory Matters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Investigation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2015, the Company received a subpoena from the SEC requesting information related to the VWP Project. The Company has provided information to the SEC in response to that subpoena. As part of the same investigation, on July 12, 2016, the SEC issued second subpoena requesting information related to the Company’s April 4, 2014 public offering. The Company has provided information to the SEC in response to that subpoena. The SEC investigation is ongoing and the Company continues to cooperate with the SEC in its investigation. We are unable to predict what action, if any, might be taken by the SEC or its staff as a result of this investigation or what impact, if any, the cost of responding to the SEC’s investigation or its ultimate outcome might have on our financial position, results of operations or liquidity. We have not established any provision for losses relating to this matter.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IVA (sales tax)</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June 2012, the Company received notice that the Spanish tax authorities are inquiring into its 2010 IVA (value-added tax) filing for which the Company benefitted from the offset of approximately $0.3 million of input tax. The Company believes that the inquiry will find that the tax credit was properly claimed and, therefore, no liability has been recorded. The Company issued two letters of credit in the amount of €0.3 million ($0.3 million) at the request of the Spanish tax authorities. On January 31, 2017 the Company has received $0.2 million from the Spanish Tax authorities as a result of the conclusion of the inquiry. In addition, during February 2017, the Spanish tax authorities approved of the release of the two outstanding letters of credit.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Income Tax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undergoing an income tax audit in Spain for the period from 2008 to 2014, when its Spanish branch was closed. The branch reported net operating losses for each of the years reported. It is anticipated that the Company will be assessed a penalty relating to these tax years for these losses. The Company has estimated this penalty to be $132,000, and as such, for the period ended April 30, 2017 and July 31, 2017, has recorded $132,000 for this penalty to Selling, general and administrative costs in its statement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discussion of our business and operations should be read together with the risk factors contained in Item 1A of our Annual Report on Form 10-K for the year ended April 30, 2017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has been no material changes in our risk factors from those disclosed in our Annual Report on Form 10-K filed with the SEC on July 14,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auditors have raised substantial doubts as to our ability to continue as a going concern.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financial statements have been prepared assuming we will continue as a going concern. Due to the significant product development costs associated with our business and operations, we have experienced substantial and recurring losses from operations, which have contributed to an accumulated deficit of $190.0 million as of July 31, 2017. As of July 31, 2017, the Company had approximately $11.4 million in cash on hand. The Company generated revenues of $0.2 million during each of the three months ended July 31, 2017 and 2016. Based on the Company’s cash and cash equivalents and marketable securities balances as of July 31, 2017, the Company believes that it will be able to finance its capital requirements and operations into the quarter ending July 31,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experience operating losses and currently have only two revenue producing contracts. We continue to experience operating losses and currently have two revenue producing contracts. The first is an agreement with MES (the “MES Agreement”) to, among other things, lease and deploy our PB3 PowerBuoy off Kozushima Island, Japan and to provide certain engineering and other services. The total value of the lease and other services to be provided by us under the MES Agreement is $1.0 million. The term of the lease commenced in March 2017, and the term of the MES Agreement extends through September 2017. The second contract is with ONR totaling approximately $0.2 million to carry out the first phase of a project which focuses on the initial concept design and development of a mass-on-spring PTO-based PowerBuoy leveraging a number of OPT patents covering such a technology. During fiscal 2017, our net burn rate (cash used in operations less cash generated by operations) including product development spending was approximately $900,000 per month.</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been funding our business principally through sales of our securities, and we expect to continue to fund our business with sales of our securities and, to a limited extent, with our revenues until, if ever, we generate sufficient cash flow to internally fund our business. These factors, among others, raise substantial doubt about our ability to continue as a going concern. Our consolidated financial statements do not include any adjustments that might result from the outcome of this uncertainty. We anticipate that our operating expenses will be approximately $12.3 million in fiscal 2018 including product development spending of more than $5.5 million. However, we may choose to reduce our operating expenses through personnel reductions, and reductions in our research and development and other operating costs during fiscal year 2018, if we are not successful in our efforts to raise additional capital. We cannot assure you that we will be able to increase our revenues and cash flow to a level which would support our operations and provide sufficient funds to pay our obligations for the foreseeable future. Further, we cannot assure you that we will be able to secure additional financing or raise additional capital or, if we are successful in our efforts to raise additional capital, of the terms and conditions upon which any such financing would be extended. If we are unable to meet our obligations, we would be forced to cease operations, in which event investors would lose their entire investment in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maintain profitability and positive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incurred net losses since we began operations in 1994, including net losses attributable to Ocean Power Technologies, Inc. of $2.7 million during the three months ended July 31, 2017 and $9.5 million in fiscal 2017. As of July 31, 2017, we had an accumulated deficit of $190.0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know whether we will be able to successfully commercialize our PowerBuoys, or whether we can achieve profitability. There is significant uncertainty about our ability to successfully commercialize our PowerBuoys in our targeted markets. Even if we do achieve commercialization of our PowerBuoy and become profitable, we may not be able to achieve or, if achieved, sustain profitability on a quarterly or annual basis.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Approximate</w:t>
            </w: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Dollar</w:t>
            </w: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Number of</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Value of Shares</w:t>
            </w: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 of</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Shares Purchased</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that May Yet Be</w:t>
            </w:r>
          </w:p>
        </w:tc>
      </w:tr>
      <w:tr>
        <w:trPr>
          <w:trHeight w:val="216"/>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Average Price</w:t>
            </w: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as Part of Publicly</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Purchased Under</w:t>
            </w:r>
          </w:p>
        </w:tc>
      </w:tr>
      <w:tr>
        <w:trPr>
          <w:trHeight w:val="230"/>
        </w:trPr>
        <w:tc>
          <w:tcPr>
            <w:tcW w:w="43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Paid per Share</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Announced Plans</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the Plan</w:t>
            </w:r>
          </w:p>
        </w:tc>
        <w:tc>
          <w:tcPr>
            <w:tcW w:w="100" w:type="dxa"/>
            <w:vAlign w:val="bottom"/>
          </w:tcPr>
          <w:p>
            <w:pPr>
              <w:spacing w:after="0"/>
              <w:rPr>
                <w:sz w:val="20"/>
                <w:szCs w:val="20"/>
                <w:color w:val="auto"/>
              </w:rPr>
            </w:pPr>
          </w:p>
        </w:tc>
      </w:tr>
      <w:tr>
        <w:trPr>
          <w:trHeight w:val="210"/>
        </w:trPr>
        <w:tc>
          <w:tcPr>
            <w:tcW w:w="4340" w:type="dxa"/>
            <w:vAlign w:val="bottom"/>
          </w:tcPr>
          <w:p>
            <w:pPr>
              <w:spacing w:after="0"/>
              <w:rPr>
                <w:sz w:val="18"/>
                <w:szCs w:val="18"/>
                <w:color w:val="auto"/>
              </w:rPr>
            </w:pPr>
          </w:p>
        </w:tc>
        <w:tc>
          <w:tcPr>
            <w:tcW w:w="172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May 1 - May 31</w:t>
            </w:r>
          </w:p>
        </w:tc>
        <w:tc>
          <w:tcPr>
            <w:tcW w:w="1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w:t>
            </w: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June 1 - June 30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delivered back to the Company by employees to pay taxes related to the vesting of restricted shares.</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0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EXHIBITS</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72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Certification of Chief Executive Officer pursuant to Section 302 of the Sarbanes-Oxley Act of 2002</w:t>
              </w:r>
            </w:hyperlink>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7200" w:type="dxa"/>
            <w:vAlign w:val="bottom"/>
            <w:gridSpan w:val="2"/>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Certification of Chief Financial Officer pursuant to Section 302 of the Sarbanes-Oxley Act of 2002</w:t>
              </w:r>
            </w:hyperlink>
          </w:p>
        </w:tc>
      </w:t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Certification of Chief Executive Officer pursuant to Section 302 of the Sarbanes-Oxley Act of 2002</w:t>
              </w:r>
            </w:hyperlink>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0" w:type="dxa"/>
            <w:vAlign w:val="bottom"/>
            <w:gridSpan w:val="2"/>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Certification of Chief Financial Officer pursuant to Section 302 of the Sarbanes-Oxley Act of 2002</w:t>
              </w:r>
            </w:hyperlink>
          </w:p>
        </w:tc>
      </w:tr>
      <w:tr>
        <w:trPr>
          <w:trHeight w:val="20"/>
        </w:trPr>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960" w:right="20" w:hanging="952"/>
        <w:spacing w:after="0" w:line="291"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financial information from Ocean Power Technologies, Inc.'s Quarterly Report on Form 10-Q for the quarter ended July 31, 2017, formatted in eXtensible Business Reporting Language (XBRL): (i) Consolidated Balance Sheets – July 31, 2017 (unaudited) and April 30, 2016,</w:t>
      </w:r>
    </w:p>
    <w:p>
      <w:pPr>
        <w:jc w:val="both"/>
        <w:ind w:left="960" w:firstLine="7"/>
        <w:spacing w:after="0" w:line="254" w:lineRule="auto"/>
        <w:tabs>
          <w:tab w:leader="none" w:pos="12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Consolidated Statements of Operations (unaudited) – Three months ended July 31, 2017 and 2016, (iii) Consolidated Statements of Comprehensive Loss (unaudited) – Three months ended July 31, 2017 and 2016, (iv) Consolidated Statements of Cash Flows (unaudited) – Three months ended July 31, 2017 and 2016, (v) Consolidated Statement of Stockholders’ Equity (unaudited) – Three months ended July 31, 2017 (vi) Notes to Consolidated Financial Statements.**</w:t>
      </w:r>
    </w:p>
    <w:p>
      <w:pPr>
        <w:spacing w:after="0" w:line="190" w:lineRule="exact"/>
        <w:rPr>
          <w:sz w:val="20"/>
          <w:szCs w:val="20"/>
          <w:color w:val="auto"/>
        </w:rPr>
      </w:pPr>
    </w:p>
    <w:p>
      <w:pPr>
        <w:jc w:val="both"/>
        <w:ind w:left="960" w:firstLine="7"/>
        <w:spacing w:after="0" w:line="264" w:lineRule="auto"/>
        <w:tabs>
          <w:tab w:leader="none" w:pos="111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81" w:lineRule="exact"/>
        <w:rPr>
          <w:sz w:val="20"/>
          <w:szCs w:val="20"/>
          <w:color w:val="auto"/>
        </w:rPr>
      </w:pPr>
    </w:p>
    <w:p>
      <w:pPr>
        <w:jc w:val="both"/>
        <w:ind w:left="960" w:firstLine="7"/>
        <w:spacing w:after="0" w:line="264" w:lineRule="auto"/>
        <w:tabs>
          <w:tab w:leader="none" w:pos="11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Ocean Power Technologies, Inc.</w:t>
            </w:r>
          </w:p>
        </w:tc>
      </w:tr>
      <w:tr>
        <w:trPr>
          <w:trHeight w:val="237"/>
        </w:trPr>
        <w:tc>
          <w:tcPr>
            <w:tcW w:w="6080" w:type="dxa"/>
            <w:vAlign w:val="bottom"/>
          </w:tcPr>
          <w:p>
            <w:pPr>
              <w:spacing w:after="0"/>
              <w:rPr>
                <w:sz w:val="20"/>
                <w:szCs w:val="20"/>
                <w:color w:val="auto"/>
              </w:rPr>
            </w:pPr>
          </w:p>
        </w:tc>
        <w:tc>
          <w:tcPr>
            <w:tcW w:w="2420" w:type="dxa"/>
            <w:vAlign w:val="bottom"/>
            <w:tcBorders>
              <w:top w:val="single" w:sz="8" w:color="auto"/>
            </w:tcBorders>
          </w:tcPr>
          <w:p>
            <w:pPr>
              <w:ind w:left="640"/>
              <w:spacing w:after="0"/>
              <w:rPr>
                <w:sz w:val="20"/>
                <w:szCs w:val="20"/>
                <w:color w:val="auto"/>
              </w:rPr>
            </w:pPr>
            <w:r>
              <w:rPr>
                <w:rFonts w:ascii="Arial" w:cs="Arial" w:eastAsia="Arial" w:hAnsi="Arial"/>
                <w:sz w:val="18"/>
                <w:szCs w:val="18"/>
                <w:i w:val="1"/>
                <w:iCs w:val="1"/>
                <w:color w:val="auto"/>
              </w:rPr>
              <w:t>(Registrant)</w:t>
            </w:r>
          </w:p>
        </w:tc>
        <w:tc>
          <w:tcPr>
            <w:tcW w:w="1780" w:type="dxa"/>
            <w:vAlign w:val="bottom"/>
          </w:tcPr>
          <w:p>
            <w:pPr>
              <w:spacing w:after="0"/>
              <w:rPr>
                <w:sz w:val="20"/>
                <w:szCs w:val="20"/>
                <w:color w:val="auto"/>
              </w:rPr>
            </w:pPr>
          </w:p>
        </w:tc>
      </w:tr>
      <w:tr>
        <w:trPr>
          <w:trHeight w:val="648"/>
        </w:trPr>
        <w:tc>
          <w:tcPr>
            <w:tcW w:w="6080" w:type="dxa"/>
            <w:vAlign w:val="bottom"/>
          </w:tcPr>
          <w:p>
            <w:pPr>
              <w:spacing w:after="0"/>
              <w:rPr>
                <w:sz w:val="20"/>
                <w:szCs w:val="20"/>
                <w:color w:val="auto"/>
              </w:rPr>
            </w:pPr>
            <w:r>
              <w:rPr>
                <w:rFonts w:ascii="Arial" w:cs="Arial" w:eastAsia="Arial" w:hAnsi="Arial"/>
                <w:sz w:val="18"/>
                <w:szCs w:val="18"/>
                <w:color w:val="auto"/>
              </w:rPr>
              <w:t>Date: September 7, 2017</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George H. Kirby III</w:t>
            </w:r>
          </w:p>
        </w:tc>
      </w:tr>
      <w:tr>
        <w:trPr>
          <w:trHeight w:val="195"/>
        </w:trPr>
        <w:tc>
          <w:tcPr>
            <w:tcW w:w="6080" w:type="dxa"/>
            <w:vAlign w:val="bottom"/>
          </w:tcPr>
          <w:p>
            <w:pPr>
              <w:ind w:left="5500"/>
              <w:spacing w:after="0" w:line="195" w:lineRule="exact"/>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line="195" w:lineRule="exact"/>
              <w:rPr>
                <w:sz w:val="20"/>
                <w:szCs w:val="20"/>
                <w:color w:val="auto"/>
              </w:rPr>
            </w:pPr>
            <w:r>
              <w:rPr>
                <w:rFonts w:ascii="Arial" w:cs="Arial" w:eastAsia="Arial" w:hAnsi="Arial"/>
                <w:sz w:val="18"/>
                <w:szCs w:val="18"/>
                <w:color w:val="auto"/>
              </w:rPr>
              <w:t>George H. Kirby III</w:t>
            </w:r>
          </w:p>
        </w:tc>
      </w:tr>
      <w:tr>
        <w:trPr>
          <w:trHeight w:val="230"/>
        </w:trPr>
        <w:tc>
          <w:tcPr>
            <w:tcW w:w="608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48"/>
        </w:trPr>
        <w:tc>
          <w:tcPr>
            <w:tcW w:w="6080" w:type="dxa"/>
            <w:vAlign w:val="bottom"/>
          </w:tcPr>
          <w:p>
            <w:pPr>
              <w:spacing w:after="0"/>
              <w:rPr>
                <w:sz w:val="20"/>
                <w:szCs w:val="20"/>
                <w:color w:val="auto"/>
              </w:rPr>
            </w:pPr>
            <w:r>
              <w:rPr>
                <w:rFonts w:ascii="Arial" w:cs="Arial" w:eastAsia="Arial" w:hAnsi="Arial"/>
                <w:sz w:val="18"/>
                <w:szCs w:val="18"/>
                <w:color w:val="auto"/>
              </w:rPr>
              <w:t>Date: September 7, 2017</w:t>
            </w:r>
          </w:p>
        </w:tc>
        <w:tc>
          <w:tcPr>
            <w:tcW w:w="4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T. Shafer</w:t>
            </w:r>
          </w:p>
        </w:tc>
      </w:tr>
      <w:tr>
        <w:trPr>
          <w:trHeight w:val="195"/>
        </w:trPr>
        <w:tc>
          <w:tcPr>
            <w:tcW w:w="6080" w:type="dxa"/>
            <w:vAlign w:val="bottom"/>
          </w:tcPr>
          <w:p>
            <w:pPr>
              <w:ind w:left="5500"/>
              <w:spacing w:after="0" w:line="195" w:lineRule="exact"/>
              <w:rPr>
                <w:sz w:val="20"/>
                <w:szCs w:val="20"/>
                <w:color w:val="auto"/>
              </w:rPr>
            </w:pPr>
            <w:r>
              <w:rPr>
                <w:rFonts w:ascii="Arial" w:cs="Arial" w:eastAsia="Arial" w:hAnsi="Arial"/>
                <w:sz w:val="18"/>
                <w:szCs w:val="18"/>
                <w:color w:val="auto"/>
              </w:rPr>
              <w:t>By:</w:t>
            </w:r>
          </w:p>
        </w:tc>
        <w:tc>
          <w:tcPr>
            <w:tcW w:w="4200" w:type="dxa"/>
            <w:vAlign w:val="bottom"/>
            <w:gridSpan w:val="2"/>
          </w:tcPr>
          <w:p>
            <w:pPr>
              <w:spacing w:after="0" w:line="195" w:lineRule="exact"/>
              <w:rPr>
                <w:sz w:val="20"/>
                <w:szCs w:val="20"/>
                <w:color w:val="auto"/>
              </w:rPr>
            </w:pPr>
            <w:r>
              <w:rPr>
                <w:rFonts w:ascii="Arial" w:cs="Arial" w:eastAsia="Arial" w:hAnsi="Arial"/>
                <w:sz w:val="18"/>
                <w:szCs w:val="18"/>
                <w:color w:val="auto"/>
              </w:rPr>
              <w:t>Matthew T. Shafer</w:t>
            </w:r>
          </w:p>
        </w:tc>
      </w:tr>
      <w:tr>
        <w:trPr>
          <w:trHeight w:val="230"/>
        </w:trPr>
        <w:tc>
          <w:tcPr>
            <w:tcW w:w="6080" w:type="dxa"/>
            <w:vAlign w:val="bottom"/>
          </w:tcPr>
          <w:p>
            <w:pPr>
              <w:spacing w:after="0"/>
              <w:rPr>
                <w:sz w:val="20"/>
                <w:szCs w:val="20"/>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20"/>
          </w:cols>
          <w:pgMar w:left="240" w:top="118" w:right="239" w:bottom="1440" w:gutter="0" w:footer="0" w:header="0"/>
        </w:sectPr>
      </w:pPr>
    </w:p>
    <w:bookmarkStart w:id="42" w:name="page43"/>
    <w:bookmarkEnd w:id="42"/>
    <w:p>
      <w:pPr>
        <w:ind w:left="1030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George H. Kirby III, certify that:</w:t>
      </w:r>
    </w:p>
    <w:p>
      <w:pPr>
        <w:spacing w:after="0" w:line="225"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60" w:hanging="352"/>
        <w:spacing w:after="0" w:line="34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60" w:hanging="352"/>
        <w:spacing w:after="0" w:line="277"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60" w:hanging="352"/>
        <w:spacing w:after="0" w:line="264"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60" w:hanging="352"/>
        <w:spacing w:after="0" w:line="308" w:lineRule="auto"/>
        <w:tabs>
          <w:tab w:leader="none" w:pos="3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60" w:hanging="35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337" w:right="239" w:bottom="1440" w:gutter="0" w:footer="0" w:header="0"/>
        </w:sectPr>
      </w:pPr>
    </w:p>
    <w:bookmarkStart w:id="43" w:name="page44"/>
    <w:bookmarkEnd w:id="43"/>
    <w:p>
      <w:pPr>
        <w:ind w:left="1036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T. Shafer, certify that:</w:t>
      </w:r>
    </w:p>
    <w:p>
      <w:pPr>
        <w:spacing w:after="0" w:line="225"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ind w:left="360" w:hanging="352"/>
        <w:spacing w:after="0" w:line="342"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60" w:hanging="352"/>
        <w:spacing w:after="0" w:line="277"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360" w:hanging="352"/>
        <w:spacing w:after="0" w:line="264"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hanging="352"/>
        <w:spacing w:after="0" w:line="277"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60" w:hanging="352"/>
        <w:spacing w:after="0" w:line="264"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60" w:hanging="352"/>
        <w:spacing w:after="0" w:line="308"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47" w:lineRule="exact"/>
        <w:rPr>
          <w:sz w:val="20"/>
          <w:szCs w:val="20"/>
          <w:color w:val="auto"/>
        </w:rPr>
      </w:pPr>
    </w:p>
    <w:p>
      <w:pPr>
        <w:ind w:left="360" w:hanging="352"/>
        <w:spacing w:after="0" w:line="27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right="20" w:hanging="352"/>
        <w:spacing w:after="0" w:line="277" w:lineRule="auto"/>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Matthew T. Shafer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337" w:right="239" w:bottom="1440" w:gutter="0" w:footer="0" w:header="0"/>
        </w:sectPr>
      </w:pPr>
    </w:p>
    <w:bookmarkStart w:id="44" w:name="page45"/>
    <w:bookmarkEnd w:id="44"/>
    <w:p>
      <w:pPr>
        <w:ind w:left="1036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2017, as filed with the Securities and Exchange Commission on the date hereof (the "Report"), the undersigned, George H. Kirby III, Chief Executive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George H. Kirby III</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George H. Kirby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337"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July 31, 2017, as filed with the Securities and Exchange Commission on the date hereof (the "Report"), the undersigned, Matthew T. Shafer, Chief Financial Officer of the Company, hereby certifies, pursuant to 18 U.S.C. Section 1350, as adopted pursuant to Section 906 of the Sarbanes-Oxley Act of 2002, that, to the best of my knowledge:</w:t>
      </w:r>
    </w:p>
    <w:p>
      <w:pPr>
        <w:spacing w:after="0" w:line="187"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Matthew T. Shafer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Matthew T. Shafer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2538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2"/>
    </w:lvl>
  </w:abstractNum>
  <w:abstractNum w:abstractNumId="5">
    <w:nsid w:val="25E45D32"/>
    <w:multiLevelType w:val="hybridMultilevel"/>
    <w:lvl w:ilvl="0">
      <w:lvlJc w:val="left"/>
      <w:lvlText w:val="%1)"/>
      <w:numFmt w:val="lowerLetter"/>
      <w:start w:val="3"/>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lvl w:ilvl="1">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lvl w:ilvl="1">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01"/>
    </w:lvl>
    <w:lvl w:ilvl="1">
      <w:lvlJc w:val="left"/>
      <w:lvlText w:val="(%2)"/>
      <w:numFmt w:val="lowerRoman"/>
      <w:start w:val="2"/>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decimal"/>
      <w:start w:val="5"/>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5"/>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2019-12-29T04:16:17Z</dcterms:created>
  <dcterms:modified xsi:type="dcterms:W3CDTF">2019-12-29T04:16:17Z</dcterms:modified>
</cp:coreProperties>
</file>