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0" w:right="1620" w:hanging="3593"/>
        <w:spacing w:after="0" w:line="501" w:lineRule="auto"/>
        <w:tabs>
          <w:tab w:leader="none" w:pos="65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153"/>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3420"/>
        <w:spacing w:after="0"/>
        <w:rPr>
          <w:rFonts w:ascii="Arial" w:cs="Arial" w:eastAsia="Arial" w:hAnsi="Arial"/>
          <w:sz w:val="18"/>
          <w:szCs w:val="18"/>
          <w:color w:val="auto"/>
        </w:rPr>
      </w:pPr>
      <w:r>
        <w:rPr>
          <w:rFonts w:ascii="Arial" w:cs="Arial" w:eastAsia="Arial" w:hAnsi="Arial"/>
          <w:sz w:val="18"/>
          <w:szCs w:val="18"/>
          <w:b w:val="1"/>
          <w:bCs w:val="1"/>
          <w:color w:val="auto"/>
        </w:rPr>
        <w:t>For the Transition Period From __________ to ___________</w:t>
      </w:r>
    </w:p>
    <w:p>
      <w:pPr>
        <w:spacing w:after="0" w:line="225"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747" w:right="239" w:bottom="1440" w:gutter="0" w:footer="0" w:header="0"/>
          <w:type w:val="continuous"/>
        </w:sectPr>
      </w:pPr>
    </w:p>
    <w:p>
      <w:pPr>
        <w:spacing w:after="0" w:line="30"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28 ENGELHARD DRIVE, MONROE TOWNSHIP, NJ 08831</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47" w:right="23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80" w:lineRule="exact"/>
        <w:rPr>
          <w:sz w:val="24"/>
          <w:szCs w:val="24"/>
          <w:color w:val="auto"/>
        </w:rPr>
      </w:pPr>
    </w:p>
    <w:p>
      <w:pPr>
        <w:sectPr>
          <w:pgSz w:w="11900" w:h="16838" w:orient="portrait"/>
          <w:cols w:equalWidth="0" w:num="4">
            <w:col w:w="2500" w:space="720"/>
            <w:col w:w="1640" w:space="720"/>
            <w:col w:w="2580" w:space="640"/>
            <w:col w:w="2620"/>
          </w:cols>
          <w:pgMar w:left="240" w:top="74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440" w:gutter="0" w:footer="0" w:header="0"/>
          <w:type w:val="continuous"/>
        </w:sect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28, 2018, the number of outstanding shares of common stock of the registrant was 18,992,086.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61"/>
        </w:trPr>
        <w:tc>
          <w:tcPr>
            <w:tcW w:w="20" w:type="dxa"/>
            <w:vAlign w:val="bottom"/>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0"/>
        </w:trPr>
        <w:tc>
          <w:tcPr>
            <w:tcW w:w="20" w:type="dxa"/>
            <w:vAlign w:val="bottom"/>
          </w:tcPr>
          <w:p>
            <w:pPr>
              <w:spacing w:after="0"/>
              <w:rPr>
                <w:sz w:val="16"/>
                <w:szCs w:val="16"/>
                <w:color w:val="auto"/>
              </w:rPr>
            </w:pPr>
          </w:p>
        </w:tc>
        <w:tc>
          <w:tcPr>
            <w:tcW w:w="3240" w:type="dxa"/>
            <w:vAlign w:val="bottom"/>
            <w:tcBorders>
              <w:bottom w:val="single" w:sz="8" w:color="0000EE"/>
            </w:tcBorders>
            <w:gridSpan w:val="11"/>
            <w:shd w:val="clear" w:color="auto" w:fill="CCEEFF"/>
          </w:tcPr>
          <w:p>
            <w:pPr>
              <w:spacing w:after="0" w:line="15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520" w:type="dxa"/>
            <w:vAlign w:val="bottom"/>
            <w:tcBorders>
              <w:bottom w:val="single" w:sz="8" w:color="CCEEFF"/>
            </w:tcBorders>
            <w:gridSpan w:val="9"/>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2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October 31, 2018 (unaudited) and April 30, 2018</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months and six months ended October 31, 2018 and 2017</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2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Comprehensive Loss for the three and six months ended October 31, 2018 and 2017</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8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 of Stockholders’ Equity for the six months ended October 31, 2018</w:t>
              </w:r>
            </w:hyperlink>
          </w:p>
        </w:tc>
        <w:tc>
          <w:tcPr>
            <w:tcW w:w="1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2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 for the six months ended October 31, 2018 and 2017</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292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3. Quantitative and Qualitative Disclosures About Market Risk</w:t>
              </w:r>
            </w:hyperlink>
          </w:p>
        </w:tc>
        <w:tc>
          <w:tcPr>
            <w:tcW w:w="35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4. Controls and Procedures</w:t>
              </w:r>
            </w:hyperlink>
          </w:p>
        </w:tc>
        <w:tc>
          <w:tcPr>
            <w:tcW w:w="82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176"/>
        </w:trPr>
        <w:tc>
          <w:tcPr>
            <w:tcW w:w="20" w:type="dxa"/>
            <w:vAlign w:val="bottom"/>
          </w:tcPr>
          <w:p>
            <w:pPr>
              <w:spacing w:after="0"/>
              <w:rPr>
                <w:sz w:val="15"/>
                <w:szCs w:val="15"/>
                <w:color w:val="auto"/>
              </w:rPr>
            </w:pPr>
          </w:p>
        </w:tc>
        <w:tc>
          <w:tcPr>
            <w:tcW w:w="10760" w:type="dxa"/>
            <w:vAlign w:val="bottom"/>
            <w:gridSpan w:val="20"/>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6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870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1A. 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2. Unregistered Sales of Equity Securities and Use of Proceeds</w:t>
              </w:r>
            </w:hyperlink>
          </w:p>
        </w:tc>
        <w:tc>
          <w:tcPr>
            <w:tcW w:w="56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3. Defaults Upon Senior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4. Mine Safety Disclosures</w:t>
              </w:r>
            </w:hyperlink>
          </w:p>
        </w:tc>
        <w:tc>
          <w:tcPr>
            <w:tcW w:w="82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5. 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such as a hybrid PowerBuoy™ or subsea battery solutions;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power output, survivability and reliability of our PowerBuoys™;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2018,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707"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jc w:val="center"/>
              <w:ind w:left="3950"/>
              <w:spacing w:after="0"/>
              <w:rPr>
                <w:sz w:val="20"/>
                <w:szCs w:val="20"/>
                <w:color w:val="auto"/>
              </w:rPr>
            </w:pPr>
            <w:r>
              <w:rPr>
                <w:rFonts w:ascii="Arial" w:cs="Arial" w:eastAsia="Arial" w:hAnsi="Arial"/>
                <w:sz w:val="18"/>
                <w:szCs w:val="18"/>
                <w:b w:val="1"/>
                <w:bCs w:val="1"/>
                <w:color w:val="auto"/>
              </w:rPr>
              <w:t>PART I — FINANCIAL INFORMATION</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24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390"/>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370"/>
              <w:spacing w:after="0"/>
              <w:rPr>
                <w:sz w:val="20"/>
                <w:szCs w:val="20"/>
                <w:color w:val="auto"/>
              </w:rPr>
            </w:pPr>
            <w:r>
              <w:rPr>
                <w:rFonts w:ascii="Arial" w:cs="Arial" w:eastAsia="Arial" w:hAnsi="Arial"/>
                <w:sz w:val="18"/>
                <w:szCs w:val="18"/>
                <w:b w:val="1"/>
                <w:bCs w:val="1"/>
                <w:color w:val="auto"/>
                <w:w w:val="88"/>
              </w:rPr>
              <w:t>(in $000’s, except share data)</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October 31, 2018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April 30, 2018</w:t>
            </w:r>
          </w:p>
        </w:tc>
      </w:t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receivable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57"/>
        </w:trPr>
        <w:tc>
          <w:tcPr>
            <w:tcW w:w="69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6,694</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96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2,261</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Deferred credits payable current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6"/>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96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2"/>
              </w:rPr>
              <w:t>Preferred stock, $0.001 par value; authorized 5,000,000 shares, none issued or outstanding</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authorized 50,000,000 shares, issued 19,067,868 and</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18,424,939 shares, respectively</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Treasury stock, at cost; 75,782 and 74,012 shares, respectively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208,714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208,216</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(204,668)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(197,538)</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3,599</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10,236</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5"/>
              </w:rPr>
              <w:t>Three months ended October 31,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Engineering and product development costs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3,423</w:t>
            </w:r>
          </w:p>
        </w:tc>
        <w:tc>
          <w:tcPr>
            <w:tcW w:w="3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6,624</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Gain due to the change in fair value of warrant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(7,130</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160"/>
              <w:spacing w:after="0" w:line="195" w:lineRule="exact"/>
              <w:rPr>
                <w:sz w:val="20"/>
                <w:szCs w:val="20"/>
                <w:color w:val="auto"/>
              </w:rPr>
            </w:pPr>
            <w:r>
              <w:rPr>
                <w:rFonts w:ascii="Arial" w:cs="Arial" w:eastAsia="Arial" w:hAnsi="Arial"/>
                <w:sz w:val="18"/>
                <w:szCs w:val="18"/>
                <w:color w:val="auto"/>
                <w:w w:val="97"/>
              </w:rPr>
              <w:t>Weighted average shares used to compute basic and</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 net loss per share</w:t>
            </w:r>
          </w:p>
        </w:tc>
        <w:tc>
          <w:tcPr>
            <w:tcW w:w="240" w:type="dxa"/>
            <w:vAlign w:val="bottom"/>
          </w:tcPr>
          <w:p>
            <w:pPr>
              <w:spacing w:after="0"/>
              <w:rPr>
                <w:sz w:val="22"/>
                <w:szCs w:val="2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18,523,493</w:t>
            </w:r>
          </w:p>
        </w:tc>
        <w:tc>
          <w:tcPr>
            <w:tcW w:w="3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12,904,973</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18,338,678</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12,586,828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5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 October 31,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(3,890)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(2,577)</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(7,130)</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9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(3,899</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00" w:type="dxa"/>
            <w:vAlign w:val="bottom"/>
            <w:gridSpan w:val="3"/>
          </w:tcPr>
          <w:p>
            <w:pPr>
              <w:ind w:left="28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4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22"/>
                <w:szCs w:val="22"/>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8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3"/>
              </w:rPr>
              <w:t>Shares</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Balances, April 30, 2018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18,424,939</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(74,012)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208,216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(197,538)</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(7,130)</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Issuance of restricted stock,</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14,358</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stock, net of financing</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200,000</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Common stock issued for</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commitment fee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428,571</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October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19,067,868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(204,668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October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(7,130)</w:t>
            </w:r>
          </w:p>
        </w:tc>
        <w:tc>
          <w:tcPr>
            <w:tcW w:w="112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Foreign exchange loss/(gain)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Gain due to the change in fair value of warrant liabilities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Unbilled receivables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Contract assets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Deferred rent</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credit payable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Unearned revenue</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Contract liabilities</w:t>
            </w: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(7,615</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(6,680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Leasehold improvements and purchase of equipment</w:t>
            </w:r>
          </w:p>
        </w:tc>
        <w:tc>
          <w:tcPr>
            <w:tcW w:w="9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costs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Payment of capital lease obligations</w:t>
            </w:r>
          </w:p>
        </w:tc>
        <w:tc>
          <w:tcPr>
            <w:tcW w:w="9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14,596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700"/>
              <w:spacing w:after="0" w:line="203" w:lineRule="exact"/>
              <w:rPr>
                <w:sz w:val="20"/>
                <w:szCs w:val="20"/>
                <w:color w:val="auto"/>
              </w:rPr>
            </w:pPr>
            <w:r>
              <w:rPr>
                <w:rFonts w:ascii="Arial" w:cs="Arial" w:eastAsia="Arial" w:hAnsi="Arial"/>
                <w:sz w:val="18"/>
                <w:szCs w:val="18"/>
                <w:color w:val="auto"/>
              </w:rPr>
              <w:t>Net (decrease)/increase in cash, cash equivalents and restricted cash</w:t>
            </w:r>
          </w:p>
        </w:tc>
        <w:tc>
          <w:tcPr>
            <w:tcW w:w="9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(7,669)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7,921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12,225</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16,830</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Acquisition of leasehold improvements and equipment through accrued expenses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issued for payment of commitment fee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relating to our technology. Today our goal is to generate the majority our revenue from the sale or lease of products, and sales of services to support our business operations. As we continue to develop and commercialize our products and services, we expect to have a net loss of cash from operating activities unless and until we achieve positive cash flow from the commercialization of products and services.</w:t>
      </w:r>
    </w:p>
    <w:p>
      <w:pPr>
        <w:spacing w:after="0" w:line="16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2018 filed with the Securities and Exchange Commission (“SEC”) and elsewhere in this Form 10-Q.</w:t>
      </w:r>
    </w:p>
    <w:p>
      <w:pPr>
        <w:spacing w:after="0" w:line="18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Liquidity/Going Concern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have been prepared assuming the Company will continue as a going concern. The Company has experienced substantial and recurring losses from operations, which have contributed to an accumulated deficit of $204.7 million as of October 31, 2018. As of October 31, 2018, the Company had approximately $4.6 million in cash, cash equivalents, and restricted cash on hand. The Company generated revenues of $0.2 and $0.3 million during each of the six months ended October 31, 2018 and 2017. Based on the Company’s cash, cash equivalents and restricted cash balances as of October 31, 2018, the Company believes that it will be able to finance its capital requirements and operations into the quarter ending April 30, 2019. The Company will require additional equity and/or debt financing to continue its operations into Fiscal Year 2020.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a public offering of the Company’s equity or debt securities; partnerships and/or collaborations. There can be no assurance that any of these future-funding efforts will be successful.</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fiscal 2018 and the six months ended October 31, 2018,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and new products that it may develop,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currently has committed sources of equity financing through its common stock purchase agreement with Aspire Capital (discussed further below), but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10,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In consideration for entering into the agreement, the Company issued to Aspire Capital 428,571 shares of our common stock as a commitment fee. As of October 31, 2018, the Company has sold 200,000 shares of common stock at a price of $0.48 per share pursuant to this common stock purchase agreement.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2018,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this grace period.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fair value of warrant liabilities,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October 31, 2018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6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account</w:t>
            </w:r>
          </w:p>
        </w:tc>
        <w:tc>
          <w:tcPr>
            <w:tcW w:w="1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($0.3 million) and carries a fee of 1% per annum of the amount of any such obligations issued by Barclays Bank. The credit facility does not have an expiration date but is cancelable at the discretion of the bank. As of October 31, 2018, there was €0.3 million ($0.3 million) in letters of credit outstanding under this agreement.</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other two agreements are between the Company and Santander Bank. Under the first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Under the second agreement, the cash is on deposit at Santander Bank and serves as security for a performance bond issued by Santander Bank as a requirement of the contract with Eni, S.p.A. Restricted cash includes the following:</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October 31, 2018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20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October 31, 2018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April 30, 2018</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6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2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vMerge w:val="restart"/>
          </w:tcPr>
          <w:p>
            <w:pPr>
              <w:jc w:val="right"/>
              <w:ind w:right="67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 Marketable Securities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October 31, 2018, the Company did not have any marketable securities. As of April 30, 2018, all of the Company’s investments were classified as held-to-maturity.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3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 October 31,</w:t>
            </w:r>
          </w:p>
        </w:tc>
        <w:tc>
          <w:tcPr>
            <w:tcW w:w="33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Six months ended October 31,</w:t>
            </w:r>
          </w:p>
        </w:tc>
      </w:tr>
      <w:tr>
        <w:trPr>
          <w:trHeight w:val="237"/>
        </w:trPr>
        <w:tc>
          <w:tcPr>
            <w:tcW w:w="398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3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Enel Green Power</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Eni S.p.A.</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84%</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780" w:type="dxa"/>
            <w:vAlign w:val="bottom"/>
            <w:gridSpan w:val="2"/>
          </w:tcPr>
          <w:p>
            <w:pPr>
              <w:jc w:val="right"/>
              <w:ind w:right="150"/>
              <w:spacing w:after="0"/>
              <w:rPr>
                <w:sz w:val="20"/>
                <w:szCs w:val="20"/>
                <w:color w:val="auto"/>
              </w:rPr>
            </w:pPr>
            <w:r>
              <w:rPr>
                <w:rFonts w:ascii="Arial" w:cs="Arial" w:eastAsia="Arial" w:hAnsi="Arial"/>
                <w:sz w:val="18"/>
                <w:szCs w:val="18"/>
                <w:color w:val="auto"/>
              </w:rPr>
              <w:t>72%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178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Department of Defense Office of Naval</w:t>
            </w: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398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9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computing diluted net loss per share, options to purchase shares of common stock, warrants on common stock and non-vested restricted stock issued to employees and non-employee directors, totaling 890,175 for the three and six months ended October 31, 2018 and 835,886 for the three and six months ended October 31, 2017, were excluded from each of the computations as the effect would be anti-dilutive due to the Company’s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Share-Based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six months ended October 31, 2018 and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9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October 31,</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gridSpan w:val="4"/>
          </w:tcPr>
          <w:p>
            <w:pPr>
              <w:jc w:val="right"/>
              <w:ind w:right="10"/>
              <w:spacing w:after="0"/>
              <w:rPr>
                <w:sz w:val="20"/>
                <w:szCs w:val="20"/>
                <w:color w:val="auto"/>
              </w:rPr>
            </w:pPr>
            <w:r>
              <w:rPr>
                <w:rFonts w:ascii="Arial" w:cs="Arial" w:eastAsia="Arial" w:hAnsi="Arial"/>
                <w:sz w:val="18"/>
                <w:szCs w:val="18"/>
                <w:color w:val="auto"/>
                <w:w w:val="89"/>
              </w:rPr>
              <w:t>(in thousands)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(k) Deferred Rent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31, 2017, the Company signed a new 7-year lease for approximately 56,000 square feet in Monroe Township, New Jersey that will be used as warehouse/production space and the Company’s principal offices and corporate headquarters. The lease was classified as an operating lease. Rent payments relating to the Monroe premises are subject to annual increases. The minimum monthly payments will vary over the 7-year term of the lease. The Company will record rent expense on a straight-line basis over the 7-year term of the lease. The difference between rent expense and the monthly lease payment will go to a deferred rent/prepaid rent account. The Landlord has provided the Company a tenant improvement allowance in an amount up to, but not exceeding, $137,563 to be applied to the cost of tenant improvement work. The Company recorded lease incentive liability to deferred rent. The Company will release the lease incentive liability on a straight-line basis over the 7-year term to rent expense.</w:t>
      </w:r>
    </w:p>
    <w:p>
      <w:pPr>
        <w:spacing w:after="0" w:line="17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claims and unpriced change orders; awards and incentive fees;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following are percentages of revenues by contract type;</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3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 October 31,</w:t>
            </w:r>
          </w:p>
        </w:tc>
        <w:tc>
          <w:tcPr>
            <w:tcW w:w="33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Firm fixed price</w:t>
            </w: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176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100%</w:t>
            </w:r>
          </w:p>
        </w:tc>
        <w:tc>
          <w:tcPr>
            <w:tcW w:w="176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100%</w:t>
            </w:r>
          </w:p>
        </w:tc>
        <w:tc>
          <w:tcPr>
            <w:tcW w:w="178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100%</w:t>
            </w:r>
          </w:p>
        </w:tc>
        <w:tc>
          <w:tcPr>
            <w:tcW w:w="15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Sharing</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Plus</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398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2018, the Company’s total remaining performance obligations, also referred to as backlog, totaled $1.0 million. The Company expects to recognize approximately 52%, or $0.5 million, of the remaining performance obligations as revenue over the next twelve months and an additional 48% the following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Recently Issued Accounting Standards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In July 2018, the FASB issued ASU No. 2018-11,</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ASU 2018-11 provides companies another transition method in addition to the existing transition method by allowing entities to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apply the new leases standard at the adoption date and recognize a cumulative-effect adjustment to the opening balance of retained earnings in the period of adoption. The consideration in the contract is allocated to the lease and nonlease components on a relative standalone price basis (for lessees) or in accordance with the allocation guidance in the new revenue standard (for lessors). ASU 2018-11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The Company is evaluating the effect ASU 2016-02 will have on its consolidated financial statements and disclosures and has not yet determined the effect of the standard on its ongoing financial reporting at this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2016-15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The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w:t>
      </w:r>
      <w:r>
        <w:rPr>
          <w:rFonts w:ascii="Arial" w:cs="Arial" w:eastAsia="Arial" w:hAnsi="Arial"/>
          <w:sz w:val="16"/>
          <w:szCs w:val="16"/>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October 31, 2018 and April 30, 2018.</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October 31, 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5"/>
          </w:tcPr>
          <w:p>
            <w:pPr>
              <w:jc w:val="right"/>
              <w:ind w:right="1350"/>
              <w:spacing w:after="0"/>
              <w:rPr>
                <w:sz w:val="20"/>
                <w:szCs w:val="20"/>
                <w:color w:val="auto"/>
              </w:rPr>
            </w:pPr>
            <w:r>
              <w:rPr>
                <w:rFonts w:ascii="Arial" w:cs="Arial" w:eastAsia="Arial" w:hAnsi="Arial"/>
                <w:sz w:val="18"/>
                <w:szCs w:val="18"/>
                <w:color w:val="auto"/>
              </w:rPr>
              <w:t>(in thousands)</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Amount invoiced to customer</w:t>
            </w:r>
          </w:p>
        </w:tc>
        <w:tc>
          <w:tcPr>
            <w:tcW w:w="1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Collections</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 assets (previously referred to as unbilled receivables). </w:t>
      </w:r>
      <w:r>
        <w:rPr>
          <w:rFonts w:ascii="Arial" w:cs="Arial" w:eastAsia="Arial" w:hAnsi="Arial"/>
          <w:sz w:val="18"/>
          <w:szCs w:val="18"/>
          <w:color w:val="auto"/>
        </w:rPr>
        <w:t>Contract assets include unbilled amounts typically resulting from arrangements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payment is conditioned on completing additional tasks or services for a performance obligation. On May 1, 2018, the day of adoption of ASC 2014-09, the Company reclassified $71,000 of unbilled receivables to contract assets.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Contract liabilities (previously referred to as unearned revenue). </w:t>
      </w:r>
      <w:r>
        <w:rPr>
          <w:rFonts w:ascii="Arial" w:cs="Arial" w:eastAsia="Arial" w:hAnsi="Arial"/>
          <w:sz w:val="17"/>
          <w:szCs w:val="17"/>
          <w:color w:val="auto"/>
        </w:rPr>
        <w:t>Contract liabilities consist of amounts invoiced to customers in excess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On May 1, 2018, the day of adoption of ASC 2014-09, the Company reclassified $18,000 of unearned revenue to contract liabilities.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 summary of the contract assets and contract liabilities is as follows: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October 31, 2018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5"/>
          </w:tcPr>
          <w:p>
            <w:pPr>
              <w:jc w:val="right"/>
              <w:ind w:right="135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(liability)/assets,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contract assets is primarily a result of services performed but unbilled during the six months ended October 31, 2018. The increase in contract liabilities is primarily a result of additional amounts invoiced to customers in excess of revenue recognized during the six months ended October 31, 2018. During the six months ended October 31, 2018, the Company recognized $18,000 of revenue that was included in contract liabilities at May 1, 2018. During the six months ended October 31, 2018, the Company recognized revenue of $149,000 related to performance obligations that were partially satisfied in previous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greater than three months but that mature within one year from the balance sheet date are classified as current assets. For the periods ended October 31, 2018 and April 30, 2018 the Company had zero and $25,000 in certificates of deposit.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at October 31, 2018 and April 30, 2018.</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 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5"/>
          </w:tcPr>
          <w:p>
            <w:pPr>
              <w:jc w:val="right"/>
              <w:ind w:right="1350"/>
              <w:spacing w:after="0"/>
              <w:rPr>
                <w:sz w:val="20"/>
                <w:szCs w:val="20"/>
                <w:color w:val="auto"/>
              </w:rPr>
            </w:pPr>
            <w:r>
              <w:rPr>
                <w:rFonts w:ascii="Arial" w:cs="Arial" w:eastAsia="Arial" w:hAnsi="Arial"/>
                <w:sz w:val="18"/>
                <w:szCs w:val="18"/>
                <w:color w:val="auto"/>
              </w:rPr>
              <w:t>(in thousands)</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Contract loss reserve</w:t>
            </w:r>
          </w:p>
        </w:tc>
        <w:tc>
          <w:tcPr>
            <w:tcW w:w="1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1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Accrued taxes payable</w:t>
            </w:r>
          </w:p>
        </w:tc>
        <w:tc>
          <w:tcPr>
            <w:tcW w:w="1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Credits Payable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It has been agreed by the investor and the Company that the Company will return the option fee of $0.6 million. As of October 31, 2018, the Company has paid the outstanding balance on this option fee of $0.6 million. As a result, this matter is completely resolved, and no additional amounts are owed by the Company to the investor.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sets of warrants contain a feature whereby they could require the transfer of assets and therefore are classified as a liability in accordance with ASC 480. As such, the warrants had a value of $0.1 million and $0.2 million at October 31, 2018 and April 30, 2018, respectively, as reflected within “Warrant liabilities” in the unaudited consolidated balance sheets.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 unrealized gain of approximately $51,000 and $31,000 for the three months ended October 31, 2018 and 2017 and $136,000 and $68,000 for the six months ended October 31, 2018 and 2017, respectively, were included within “Gain due to change in fair value of warrant liability” in the consolidated statements of operations. The Company determined the fair value using the Black-Scholes option pricing model with the following assumptions: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October 31,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Risk-free rate</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2.7 - 3.1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142.9%</w:t>
            </w: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2007, the Company’s 2006 Stock Incentive Plan (the “2006 Plan”) became effective. A total of 80,321 shares were authorized for issuance under the 2006 Plan. In 2009, an amendment to the 2006 Plan was approved by the Company’s stockholders, increasing the aggregate number of shares authorized for issuance by 85,000 shares to 165,321. On October 2, 2013, a further amendment to the 2006 Plan was approved by the Company’s stockholders, increasing the aggregate number of shares authorized for issuance by an additional 80,000 shares to 245,321. The Company’s employees, officers, directors, consultants and advisors were eligible to receive awards under the 2006 Plan. The 2006 Plan was administered by the Company’s board of directors, who were authorized to delegate authority to one or more committees or subcommittees of the board of directors or to the Company’s officers. The 2006 Plan was terminated in December 2015 and unused shares in that plan were transferred to the 2015 Omnibus Incentive Plan.</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240,703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640,703.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October 31, 2018, the Company has 123,106 shares available for future issuance under the 2015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spacing w:after="0" w:line="291"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500,000 shares of common stock for issuance under the Inducement Plan. In accordance with Rule 5635(c)</w:t>
      </w:r>
    </w:p>
    <w:p>
      <w:pPr>
        <w:jc w:val="both"/>
        <w:ind w:firstLine="8"/>
        <w:spacing w:after="0" w:line="271" w:lineRule="auto"/>
        <w:tabs>
          <w:tab w:leader="none" w:pos="267" w:val="left"/>
        </w:tabs>
        <w:numPr>
          <w:ilvl w:val="0"/>
          <w:numId w:val="8"/>
        </w:numPr>
        <w:rPr>
          <w:rFonts w:ascii="Arial" w:cs="Arial" w:eastAsia="Arial" w:hAnsi="Arial"/>
          <w:sz w:val="17"/>
          <w:szCs w:val="17"/>
          <w:color w:val="auto"/>
        </w:rPr>
      </w:pPr>
      <w:r>
        <w:rPr>
          <w:rFonts w:ascii="Arial" w:cs="Arial" w:eastAsia="Arial" w:hAnsi="Arial"/>
          <w:sz w:val="17"/>
          <w:szCs w:val="17"/>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October 31, 2018, there were 116,156 shares outstanding and 383,844 shares available for grant under the 2018 Inducement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granted, for both service-based and performance-based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over the expected life of the stock option granted. There were no shares granted in the three and six months ended October 31, 2018 and 170,664 shares granted in the three and six months ended October 31, 2017. The following assumptions were used for the three and six months ended October 31, 2018 and 2017.</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040" w:type="dxa"/>
            <w:vAlign w:val="bottom"/>
            <w:gridSpan w:val="4"/>
          </w:tcPr>
          <w:p>
            <w:pPr>
              <w:ind w:left="480"/>
              <w:spacing w:after="0"/>
              <w:rPr>
                <w:sz w:val="20"/>
                <w:szCs w:val="20"/>
                <w:color w:val="auto"/>
              </w:rPr>
            </w:pPr>
            <w:r>
              <w:rPr>
                <w:rFonts w:ascii="Arial" w:cs="Arial" w:eastAsia="Arial" w:hAnsi="Arial"/>
                <w:sz w:val="18"/>
                <w:szCs w:val="18"/>
                <w:b w:val="1"/>
                <w:bCs w:val="1"/>
                <w:color w:val="auto"/>
                <w:w w:val="90"/>
              </w:rPr>
              <w:t>Three months ended October 31,</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40" w:type="dxa"/>
            <w:vAlign w:val="bottom"/>
            <w:gridSpan w:val="4"/>
          </w:tcPr>
          <w:p>
            <w:pPr>
              <w:ind w:left="58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3900" w:type="dxa"/>
            <w:vAlign w:val="bottom"/>
            <w:gridSpan w:val="2"/>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920" w:type="dxa"/>
            <w:vAlign w:val="bottom"/>
            <w:tcBorders>
              <w:top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9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N/A</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900" w:type="dxa"/>
            <w:vAlign w:val="bottom"/>
            <w:gridSpan w:val="2"/>
          </w:tcPr>
          <w:p>
            <w:pPr>
              <w:ind w:left="1260"/>
              <w:spacing w:after="0"/>
              <w:rPr>
                <w:sz w:val="20"/>
                <w:szCs w:val="20"/>
                <w:color w:val="auto"/>
              </w:rPr>
            </w:pPr>
            <w:r>
              <w:rPr>
                <w:rFonts w:ascii="Arial" w:cs="Arial" w:eastAsia="Arial" w:hAnsi="Arial"/>
                <w:sz w:val="18"/>
                <w:szCs w:val="18"/>
                <w:color w:val="auto"/>
              </w:rPr>
              <w:t>N/A</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N/A</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128.2%</w:t>
            </w:r>
          </w:p>
        </w:tc>
        <w:tc>
          <w:tcPr>
            <w:tcW w:w="1900" w:type="dxa"/>
            <w:vAlign w:val="bottom"/>
            <w:gridSpan w:val="2"/>
          </w:tcPr>
          <w:p>
            <w:pPr>
              <w:ind w:left="1260"/>
              <w:spacing w:after="0"/>
              <w:rPr>
                <w:sz w:val="20"/>
                <w:szCs w:val="20"/>
                <w:color w:val="auto"/>
              </w:rPr>
            </w:pPr>
            <w:r>
              <w:rPr>
                <w:rFonts w:ascii="Arial" w:cs="Arial" w:eastAsia="Arial" w:hAnsi="Arial"/>
                <w:sz w:val="18"/>
                <w:szCs w:val="18"/>
                <w:color w:val="auto"/>
              </w:rPr>
              <w:t>N/A</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left="353"/>
              <w:spacing w:after="0"/>
              <w:rPr>
                <w:sz w:val="20"/>
                <w:szCs w:val="20"/>
                <w:color w:val="auto"/>
              </w:rPr>
            </w:pPr>
            <w:r>
              <w:rPr>
                <w:rFonts w:ascii="Arial" w:cs="Arial" w:eastAsia="Arial" w:hAnsi="Arial"/>
                <w:sz w:val="18"/>
                <w:szCs w:val="18"/>
                <w:b w:val="1"/>
                <w:bCs w:val="1"/>
                <w:color w:val="auto"/>
                <w:w w:val="88"/>
              </w:rPr>
              <w:t>Weighted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280" w:type="dxa"/>
            <w:vAlign w:val="bottom"/>
          </w:tcPr>
          <w:p>
            <w:pPr>
              <w:jc w:val="center"/>
              <w:ind w:left="353"/>
              <w:spacing w:after="0"/>
              <w:rPr>
                <w:sz w:val="20"/>
                <w:szCs w:val="20"/>
                <w:color w:val="auto"/>
              </w:rPr>
            </w:pPr>
            <w:r>
              <w:rPr>
                <w:rFonts w:ascii="Arial" w:cs="Arial" w:eastAsia="Arial" w:hAnsi="Arial"/>
                <w:sz w:val="18"/>
                <w:szCs w:val="18"/>
                <w:b w:val="1"/>
                <w:bCs w:val="1"/>
                <w:color w:val="auto"/>
                <w:w w:val="90"/>
              </w:rPr>
              <w:t>Average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9"/>
                <w:szCs w:val="19"/>
                <w:color w:val="auto"/>
              </w:rPr>
            </w:pPr>
          </w:p>
        </w:tc>
        <w:tc>
          <w:tcPr>
            <w:tcW w:w="1280" w:type="dxa"/>
            <w:vAlign w:val="bottom"/>
          </w:tcPr>
          <w:p>
            <w:pPr>
              <w:jc w:val="center"/>
              <w:ind w:left="353"/>
              <w:spacing w:after="0"/>
              <w:rPr>
                <w:sz w:val="20"/>
                <w:szCs w:val="20"/>
                <w:color w:val="auto"/>
              </w:rPr>
            </w:pPr>
            <w:r>
              <w:rPr>
                <w:rFonts w:ascii="Arial" w:cs="Arial" w:eastAsia="Arial" w:hAnsi="Arial"/>
                <w:sz w:val="18"/>
                <w:szCs w:val="18"/>
                <w:b w:val="1"/>
                <w:bCs w:val="1"/>
                <w:color w:val="auto"/>
                <w:w w:val="86"/>
              </w:rPr>
              <w:t>Exercise</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20"/>
                <w:szCs w:val="20"/>
                <w:color w:val="auto"/>
              </w:rPr>
            </w:pPr>
          </w:p>
        </w:tc>
        <w:tc>
          <w:tcPr>
            <w:tcW w:w="1280" w:type="dxa"/>
            <w:vAlign w:val="bottom"/>
          </w:tcPr>
          <w:p>
            <w:pPr>
              <w:jc w:val="center"/>
              <w:ind w:left="353"/>
              <w:spacing w:after="0"/>
              <w:rPr>
                <w:sz w:val="20"/>
                <w:szCs w:val="20"/>
                <w:color w:val="auto"/>
              </w:rPr>
            </w:pPr>
            <w:r>
              <w:rPr>
                <w:rFonts w:ascii="Arial" w:cs="Arial" w:eastAsia="Arial" w:hAnsi="Arial"/>
                <w:sz w:val="18"/>
                <w:szCs w:val="18"/>
                <w:b w:val="1"/>
                <w:bCs w:val="1"/>
                <w:color w:val="auto"/>
                <w:w w:val="90"/>
              </w:rPr>
              <w:t>Price</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2018</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111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Cancelled/forfeited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(29,075)</w:t>
            </w:r>
          </w:p>
        </w:tc>
        <w:tc>
          <w:tcPr>
            <w:tcW w:w="1420" w:type="dxa"/>
            <w:vAlign w:val="bottom"/>
            <w:gridSpan w:val="2"/>
          </w:tcPr>
          <w:p>
            <w:pPr>
              <w:jc w:val="right"/>
              <w:ind w:right="1113"/>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43.69</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2018</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359,454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ind w:right="111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Exercisable as of October 31, 2018</w:t>
            </w: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vMerge w:val="restart"/>
          </w:tcPr>
          <w:p>
            <w:pPr>
              <w:jc w:val="right"/>
              <w:ind w:right="1113"/>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4.71</w:t>
            </w:r>
          </w:p>
        </w:tc>
        <w:tc>
          <w:tcPr>
            <w:tcW w:w="280" w:type="dxa"/>
            <w:vAlign w:val="bottom"/>
            <w:vMerge w:val="restart"/>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188,732</w:t>
            </w: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31, 2018, the total intrinsic value of both outstanding and exercisable options was approximately zero. As of October 31, 2018, approximately 145,115 additional options were unvested, which had no intrinsic value and a weighted average remaining contractual term of 9.0 years. There was approximately $78,000 and $125,000 of total recognized compensation cost related to stock options during each of the six months ended October 31, 2018 and 2017, respectively. As of October 31, 2018, there was approximately $18,000 of total unrecognized compensation cost related to non-vested stock options granted under the plans. This cost is expected to be recognized over a weighted-average period of 0.1 years. The Company typically issues newly authorized but unissued shares to satisfy option exercises under these plans.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six months ended October 31, 2018, the Company granted 18,859 shares subject to service-based vesting requirements.</w:t>
      </w:r>
    </w:p>
    <w:p>
      <w:pPr>
        <w:sectPr>
          <w:pgSz w:w="11900" w:h="16838" w:orient="portrait"/>
          <w:cols w:equalWidth="0" w:num="1">
            <w:col w:w="11420"/>
          </w:cols>
          <w:pgMar w:left="240" w:top="66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30"/>
        </w:trPr>
        <w:tc>
          <w:tcPr>
            <w:tcW w:w="19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 Price per</w:t>
            </w:r>
          </w:p>
        </w:tc>
      </w:tr>
      <w:tr>
        <w:trPr>
          <w:trHeight w:val="241"/>
        </w:trPr>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of Shares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Share</w:t>
            </w:r>
          </w:p>
        </w:tc>
      </w:tr>
      <w:tr>
        <w:trPr>
          <w:trHeight w:val="418"/>
        </w:trPr>
        <w:tc>
          <w:tcPr>
            <w:tcW w:w="1760" w:type="dxa"/>
            <w:vAlign w:val="bottom"/>
          </w:tcPr>
          <w:p>
            <w:pPr>
              <w:jc w:val="right"/>
              <w:spacing w:after="0"/>
              <w:rPr>
                <w:sz w:val="20"/>
                <w:szCs w:val="20"/>
                <w:color w:val="auto"/>
              </w:rPr>
            </w:pPr>
            <w:r>
              <w:rPr>
                <w:rFonts w:ascii="Arial" w:cs="Arial" w:eastAsia="Arial" w:hAnsi="Arial"/>
                <w:sz w:val="18"/>
                <w:szCs w:val="18"/>
                <w:color w:val="auto"/>
              </w:rPr>
              <w:t>197,064</w:t>
            </w:r>
          </w:p>
        </w:tc>
        <w:tc>
          <w:tcPr>
            <w:tcW w:w="16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760" w:type="dxa"/>
            <w:vAlign w:val="bottom"/>
          </w:tcPr>
          <w:p>
            <w:pPr>
              <w:jc w:val="right"/>
              <w:spacing w:after="0"/>
              <w:rPr>
                <w:sz w:val="20"/>
                <w:szCs w:val="20"/>
                <w:color w:val="auto"/>
              </w:rPr>
            </w:pPr>
            <w:r>
              <w:rPr>
                <w:rFonts w:ascii="Arial" w:cs="Arial" w:eastAsia="Arial" w:hAnsi="Arial"/>
                <w:sz w:val="18"/>
                <w:szCs w:val="18"/>
                <w:color w:val="auto"/>
              </w:rPr>
              <w:t>18,859</w:t>
            </w:r>
          </w:p>
        </w:tc>
        <w:tc>
          <w:tcPr>
            <w:tcW w:w="1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(5,154)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51"/>
        </w:trPr>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(4,500)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206,269</w:t>
            </w:r>
          </w:p>
        </w:tc>
        <w:tc>
          <w:tcPr>
            <w:tcW w:w="160" w:type="dxa"/>
            <w:vAlign w:val="bottom"/>
          </w:tcPr>
          <w:p>
            <w:pPr>
              <w:spacing w:after="0"/>
              <w:rPr>
                <w:sz w:val="19"/>
                <w:szCs w:val="19"/>
                <w:color w:val="auto"/>
              </w:rPr>
            </w:pPr>
          </w:p>
        </w:tc>
        <w:tc>
          <w:tcPr>
            <w:tcW w:w="2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1.28</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680"/>
            <w:col w:w="4440"/>
          </w:cols>
          <w:pgMar w:left="240" w:top="665"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$57,000 and $48,000 of total recognized compensation cost related to restricted stock for the six months ended October 31, 2018 and 2017, respectively. As of October 31, 2018, there was approximately $145,000 of total unrecognized compensation cost related to unvested restricted stock granted under our plans. This cost is expected to be recognized over a weighted average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Treasury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October 31, 2018 and 2017, 1,770 and 23,699 shares, respectively, of common stock was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58" w:lineRule="exact"/>
        <w:rPr>
          <w:sz w:val="20"/>
          <w:szCs w:val="20"/>
          <w:color w:val="auto"/>
        </w:rPr>
      </w:pPr>
    </w:p>
    <w:p>
      <w:pPr>
        <w:jc w:val="both"/>
        <w:ind w:left="980" w:right="20" w:hanging="971"/>
        <w:spacing w:after="0" w:line="264"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980" w:hanging="971"/>
        <w:spacing w:after="0" w:line="264" w:lineRule="auto"/>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980" w:hanging="971"/>
        <w:spacing w:after="0" w:line="264"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each of the three and six months ended October 31, 2018 and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warrant liabilities (refer to Note 7)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October 31, 2018.</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Quoted prices in</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active markets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Total Carrying</w:t>
            </w: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 identical</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Significant other</w:t>
            </w: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Value in</w:t>
            </w: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0"/>
              </w:rPr>
              <w:t>assets or</w:t>
            </w:r>
          </w:p>
        </w:tc>
        <w:tc>
          <w:tcPr>
            <w:tcW w:w="132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observable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Consolidated</w:t>
            </w:r>
          </w:p>
        </w:tc>
        <w:tc>
          <w:tcPr>
            <w:tcW w:w="26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inputs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Balance Sheet</w:t>
            </w:r>
          </w:p>
        </w:tc>
        <w:tc>
          <w:tcPr>
            <w:tcW w:w="26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1)</w:t>
            </w:r>
          </w:p>
        </w:tc>
        <w:tc>
          <w:tcPr>
            <w:tcW w:w="13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(Level 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(in thousands)</w:t>
            </w:r>
          </w:p>
        </w:tc>
        <w:tc>
          <w:tcPr>
            <w:tcW w:w="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2018.</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Quoted prices in</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active markets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Total Carrying</w:t>
            </w: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 identical</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Significant other</w:t>
            </w: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Value in</w:t>
            </w: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0"/>
              </w:rPr>
              <w:t>assets or</w:t>
            </w:r>
          </w:p>
        </w:tc>
        <w:tc>
          <w:tcPr>
            <w:tcW w:w="132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observable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Consolidated</w:t>
            </w:r>
          </w:p>
        </w:tc>
        <w:tc>
          <w:tcPr>
            <w:tcW w:w="26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inputs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Balance Sheet</w:t>
            </w:r>
          </w:p>
        </w:tc>
        <w:tc>
          <w:tcPr>
            <w:tcW w:w="26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1)</w:t>
            </w:r>
          </w:p>
        </w:tc>
        <w:tc>
          <w:tcPr>
            <w:tcW w:w="13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(Level 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(in thousands)</w:t>
            </w:r>
          </w:p>
        </w:tc>
        <w:tc>
          <w:tcPr>
            <w:tcW w:w="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fair value of the Company’s warrant liabilities held at October 31, 2018.</w:t>
      </w: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Fair Value Measurement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461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17145"/>
                    </a:xfrm>
                    <a:prstGeom prst="rect">
                      <a:avLst/>
                    </a:prstGeom>
                    <a:noFill/>
                  </pic:spPr>
                </pic:pic>
              </a:graphicData>
            </a:graphic>
          </wp:anchor>
        </w:drawing>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Warrant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1"/>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2017</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 October 31, 2018</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re-measured assets or liabilities at fair value on a non-recurring basis during the three and six months ended October 31, 2018 and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as the lead plaintiff in the consolidated actions; and (iii) stayed the consolidated actions pending the November 14, 2016 settlement hearing in the now-settled securities class action and further order of the Court.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23, 2017, the parties entered into a Stipulation and Agreement of Settlement to resolve the four consolidated derivative lawsuits. If approved by the Court, the settlement provides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9, 2018. On June 13, 2018 the Court issued a Final Order and Judgement, approving the Stipulation and Agreement Settlement. The Company had accrued $350,000 related to this matter as a probable and reasonably estimable loss contingency during the twelve months ended April 30, 2018. The Company also had recorded a receivable of $350,000 from its insurance carrier with the offset to the statement of operations. The Company’s insurance carrier made a payment of $350,000 to the plaintiffs’ attorneys on May 3, 2018. As a result, the consolidated derivatives lawsuits are now completely resolved, the releases are operative and the matter is closed.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7"/>
          <w:szCs w:val="17"/>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August 28, 2018, counsel for Mr. Dunleavy filed a demand for arbitration, captioned </w:t>
      </w:r>
      <w:r>
        <w:rPr>
          <w:rFonts w:ascii="Arial" w:cs="Arial" w:eastAsia="Arial" w:hAnsi="Arial"/>
          <w:sz w:val="17"/>
          <w:szCs w:val="17"/>
          <w:i w:val="1"/>
          <w:iCs w:val="1"/>
          <w:color w:val="auto"/>
        </w:rPr>
        <w:t>Charles F. Dunleavy v. Ocean Power Technologies, Inc.,</w:t>
      </w:r>
      <w:r>
        <w:rPr>
          <w:rFonts w:ascii="Arial" w:cs="Arial" w:eastAsia="Arial" w:hAnsi="Arial"/>
          <w:sz w:val="17"/>
          <w:szCs w:val="17"/>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The parties are in the process of selecting the arbitrators for the proceeding and have not yet scheduled or commenced any discovery. As of October 31, 2018, the Company has not accrued any provision related to this matter since it cannot reasonably estimate the loss contingency.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 Runner Marine, Inc.</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June 13, 2018, Tide Runner Marine, Inc. (“Tide Runner”) filed a lawsuit in the United States District Court for the District of New Jersey captioned </w:t>
      </w:r>
      <w:r>
        <w:rPr>
          <w:rFonts w:ascii="Arial" w:cs="Arial" w:eastAsia="Arial" w:hAnsi="Arial"/>
          <w:sz w:val="16"/>
          <w:szCs w:val="16"/>
          <w:i w:val="1"/>
          <w:iCs w:val="1"/>
          <w:color w:val="auto"/>
        </w:rPr>
        <w:t>Tide</w:t>
      </w:r>
      <w:r>
        <w:rPr>
          <w:rFonts w:ascii="Arial" w:cs="Arial" w:eastAsia="Arial" w:hAnsi="Arial"/>
          <w:sz w:val="16"/>
          <w:szCs w:val="16"/>
          <w:color w:val="auto"/>
        </w:rPr>
        <w:t xml:space="preserve"> </w:t>
      </w:r>
      <w:r>
        <w:rPr>
          <w:rFonts w:ascii="Arial" w:cs="Arial" w:eastAsia="Arial" w:hAnsi="Arial"/>
          <w:sz w:val="16"/>
          <w:szCs w:val="16"/>
          <w:i w:val="1"/>
          <w:iCs w:val="1"/>
          <w:color w:val="auto"/>
        </w:rPr>
        <w:t>Runner Marine, Inc. v. Ocean Power Technologies, Inc.</w:t>
      </w:r>
      <w:r>
        <w:rPr>
          <w:rFonts w:ascii="Arial" w:cs="Arial" w:eastAsia="Arial" w:hAnsi="Arial"/>
          <w:sz w:val="16"/>
          <w:szCs w:val="16"/>
          <w:color w:val="auto"/>
        </w:rPr>
        <w:t>, Case No. 1:18-cv-10496. The complaint names the Company as defendant and alleges claims for</w:t>
      </w:r>
      <w:r>
        <w:rPr>
          <w:rFonts w:ascii="Arial" w:cs="Arial" w:eastAsia="Arial" w:hAnsi="Arial"/>
          <w:sz w:val="16"/>
          <w:szCs w:val="16"/>
          <w:i w:val="1"/>
          <w:iCs w:val="1"/>
          <w:color w:val="auto"/>
        </w:rPr>
        <w:t xml:space="preserve"> </w:t>
      </w:r>
      <w:r>
        <w:rPr>
          <w:rFonts w:ascii="Arial" w:cs="Arial" w:eastAsia="Arial" w:hAnsi="Arial"/>
          <w:sz w:val="16"/>
          <w:szCs w:val="16"/>
          <w:color w:val="auto"/>
        </w:rPr>
        <w:t>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During the initial scheduling conference held on September 13, 2018, the parties agreed to engage in mediation in an effort to resolve this matter. The parties participated in mediation on November 15, 2018 but were unable to reach an agreement. The parties have agreed to continue the mediation process until at least December 20, 2018. Formal discovery has not yet been scheduled. As of October 31, 2018, the Company has not accrued any provision related to this matter since it cannot reasonably estimate the loss contingency.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years. The Company has estimated this penalty to be $177,000 and is recorded within Accrued liabilities in the Consolidated Balance Sheet.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during the three and six months ended July 31, 2018 and 2017.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$177,000, and as such, for the period ended October 31, 2018 and April 30, 2018, we have recorded $177,000 for this penalty to Accrued expenses in the Balance Sheet. At October 31, 2018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unit that bills the customers. During the three and six months ended October 31, 2018 and 2017,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Adoption of Revenue Recognition Guidance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adopted the new revenue recognition guidance effective May 1, 2018, using the modified retrospective method. The primary impact of the new guidance was a change in the timing of revenue recognition on certain long-term contracts. The new guidance does not change the total sales or operating income on the related customer contracts, only the timing of when sales and operating income are recognized. The Company uses the expected cost plus a margin approach and lease accounting literature for revenue recognition on customer contracts. The impact of the adoption for the three and six months ended October 31, 2018 was an increase of $51,000 and $79,000 to net loss. Further, as the Company’s adoption of the guidance decelerated the timing of revenue recognition on the Company’s contracts, the adoption resulted in an $79,000 increase in the Company’s remaining performance obligations, also referred to as backlog, as of October 31, 2018.</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condensed statement of operations for the three and six months ended October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Six months ended October 31, 2018</w:t>
            </w: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As Reported</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jc w:val="right"/>
              <w:ind w:right="132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14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(7,232</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(7,153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tcBorders>
              <w:bottom w:val="single" w:sz="8" w:color="auto"/>
            </w:tcBorders>
            <w:shd w:val="clear" w:color="auto" w:fill="CCEEFF"/>
          </w:tcPr>
          <w:p>
            <w:pPr>
              <w:jc w:val="right"/>
              <w:ind w:right="132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(7,130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480" w:type="dxa"/>
            <w:vAlign w:val="bottom"/>
          </w:tcPr>
          <w:p>
            <w:pPr>
              <w:jc w:val="right"/>
              <w:ind w:right="1321"/>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Borders>
              <w:top w:val="single" w:sz="8" w:color="CCEEFF"/>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95"/>
              </w:rPr>
              <w:t>Weighted average shares used to compute basic and diluted</w:t>
            </w:r>
          </w:p>
        </w:tc>
        <w:tc>
          <w:tcPr>
            <w:tcW w:w="19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share</w:t>
            </w: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18,338,678</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18,338,678</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18,338,678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October 31, 2018</w:t>
            </w: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(3,919</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5"/>
              </w:rPr>
              <w:t>Weighted average shares used to compute basic and diluted</w:t>
            </w: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2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18,523,493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18,523,493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18,523,493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statement of comprehensive loss for the three and six months ended October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Six months ended October 31, 2018</w:t>
            </w: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As Reported</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CEEFF"/>
          </w:tcPr>
          <w:p>
            <w:pPr>
              <w:jc w:val="right"/>
              <w:ind w:right="13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(7,130)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4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48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(7,135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8"/>
              </w:rPr>
              <w:t>Three months ended October 31, 2018</w:t>
            </w: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As Reported</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CEEFF"/>
          </w:tcPr>
          <w:p>
            <w:pPr>
              <w:jc w:val="right"/>
              <w:ind w:right="131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(3,890)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4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480" w:type="dxa"/>
            <w:vAlign w:val="bottom"/>
            <w:tcBorders>
              <w:top w:val="single" w:sz="8" w:color="auto"/>
              <w:bottom w:val="single" w:sz="8" w:color="auto"/>
            </w:tcBorders>
            <w:shd w:val="clear" w:color="auto" w:fill="CCEEFF"/>
          </w:tcPr>
          <w:p>
            <w:pPr>
              <w:jc w:val="right"/>
              <w:ind w:right="131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(3,899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consolidated balance sheet as of October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2"/>
              </w:rPr>
              <w:t>As of October 31, 2018</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Contract liability</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(204,668)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how the adoption of the new revenue recognition standard affected certain line items in the Company’s unaudited consolidated statement of cash flows for the six months ended October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Six months ended October 31, 2018</w:t>
            </w: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Amounts Excluding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As Reported</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Effect of Adoption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Effect of Adoption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CEEFF"/>
          </w:tcPr>
          <w:p>
            <w:pPr>
              <w:jc w:val="right"/>
              <w:ind w:right="132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(7,130)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Contract liability</w:t>
            </w:r>
          </w:p>
        </w:tc>
        <w:tc>
          <w:tcPr>
            <w:tcW w:w="14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Borders>
              <w:top w:val="single" w:sz="8" w:color="auto"/>
              <w:bottom w:val="single" w:sz="8" w:color="auto"/>
            </w:tcBorders>
            <w:shd w:val="clear" w:color="auto" w:fill="CCEEFF"/>
          </w:tcPr>
          <w:p>
            <w:pPr>
              <w:jc w:val="right"/>
              <w:ind w:right="132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(7,615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60"/>
              <w:spacing w:after="0" w:line="203" w:lineRule="exact"/>
              <w:rPr>
                <w:sz w:val="20"/>
                <w:szCs w:val="20"/>
                <w:color w:val="auto"/>
              </w:rPr>
            </w:pPr>
            <w:r>
              <w:rPr>
                <w:rFonts w:ascii="Arial" w:cs="Arial" w:eastAsia="Arial" w:hAnsi="Arial"/>
                <w:sz w:val="18"/>
                <w:szCs w:val="18"/>
                <w:color w:val="auto"/>
                <w:w w:val="99"/>
              </w:rPr>
              <w:t>Net increase in cash, cash equivalents and restricted cash</w:t>
            </w:r>
          </w:p>
        </w:tc>
        <w:tc>
          <w:tcPr>
            <w:tcW w:w="1480" w:type="dxa"/>
            <w:vAlign w:val="bottom"/>
            <w:tcBorders>
              <w:bottom w:val="single" w:sz="8" w:color="auto"/>
            </w:tcBorders>
          </w:tcPr>
          <w:p>
            <w:pPr>
              <w:jc w:val="right"/>
              <w:ind w:right="13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(7,669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(7,669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480" w:type="dxa"/>
            <w:vAlign w:val="bottom"/>
            <w:tcBorders>
              <w:bottom w:val="single" w:sz="8" w:color="auto"/>
            </w:tcBorders>
            <w:shd w:val="clear" w:color="auto" w:fill="CCEEFF"/>
          </w:tcPr>
          <w:p>
            <w:pPr>
              <w:jc w:val="right"/>
              <w:ind w:right="13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2018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2018 refers to the year ended April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security and defense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Equally important are increases in available power may allow for better sensors, faster data sampling and higher frequency communication intervals up to real-time which could as a result improve scientific, safety, security and economic returns.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1984 and headquartered in Monroe Township,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PowerBuoy™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our market research and publicly available data, we believe that numerous markets have a direct need for our PowerBuoys™ including oil and gas, security and defense, science and research,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2018 and the first six months of fiscal year 2019, we continued work on projects with the Premier Oil (“PMO”) and Eni S.p.A. (“Eni”).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development of our technology has been funded by capital we raised, by development engineering contracts we received starting in fiscal 1995 with agencies like the DOE, the U.S. Navy, the Department of Homeland Security, and revenue generating projects with MES, Premier Oil and Eni.</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six months of fiscal 2019, we continued to focus on the commercialization of our PowerBuoy™ technology, while expanding the application of our PB3 product in autonomous application markets. In March 2018, we entered into an agreement with Eni that provides for a minimum 24-month contract that includes a lease and associated project management. In June 2018, we entered into a contract with PMO for the lease of a PB3 PowerBuoy™ to be deployed in one of PMO’s offshore fields in the North Sea. In August 2018, we entered into an agreement with Enel Green Power S.p.A.to evaluate a PB3 PowerBuoy™ deployment along the coast of Chile through a detailed feasibility study as an offshore autonomous platform hosting oceanographic sensor systems.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2017 we completed the Phase I work under the contract with the U.S. Department of Defense Office of Naval Research (“ONR”), which focused on the initial concept design and development of a mass-on-spring PTO-based PowerBuoy™. We are currently waiting for ONR funding to be approved for the next phase. Working closely with potential customers, we also continued to analyze and further develop new applications for the PowerBuoy™ including subsea well monitoring for oil and gas, Autonomous Underwater Vehicle (“AUV”) charging, and independent telecommunications platforms.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47" w:lineRule="exact"/>
        <w:rPr>
          <w:sz w:val="20"/>
          <w:szCs w:val="20"/>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and development of a single point mooring solution that allows for quick deployment of the PowerBuoy™.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PB3, we further enhanced this feature in order to achieve faster and more cost effective PB3 deployments and retrievals.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We believe that by demonstrating the capability of our PowerBuoy™ in oil &amp; gas and telecommunications applications, we can advance our technology and gain further adoption from our target markets. We continue to improve design and manufacturing to enhance our ability to improve customer value, displace incumbent solutions, and become the preferred power source for new and existing applications in our target markets.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utilizing our experience with multiple commercial PB3 deployments globally to continually improve our product so that we have higher energy efficiency, additional mooring capability, platform flexibility and high reliability. For example, the redesigned PB3 leverages our knowledge base from past designs to incorporate new design features which we believe will improve its reliability and efficiency.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In November 2018, the Company announced several new product offerings including subsea battery solutions, hybrid PowerBuoy™ and support services.</w:t>
      </w:r>
    </w:p>
    <w:p>
      <w:pPr>
        <w:spacing w:after="0" w:line="248" w:lineRule="exact"/>
        <w:rPr>
          <w:sz w:val="20"/>
          <w:szCs w:val="20"/>
          <w:color w:val="auto"/>
        </w:rPr>
      </w:pPr>
    </w:p>
    <w:p>
      <w:pPr>
        <w:jc w:val="both"/>
        <w:ind w:left="980" w:hanging="324"/>
        <w:spacing w:after="0" w:line="271"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Subsea battery solutions </w:t>
      </w:r>
      <w:r>
        <w:rPr>
          <w:rFonts w:ascii="Arial" w:cs="Arial" w:eastAsia="Arial" w:hAnsi="Arial"/>
          <w:sz w:val="17"/>
          <w:szCs w:val="17"/>
          <w:color w:val="auto"/>
        </w:rPr>
        <w:t>– The Company intends to create a sea floor energy storage solution for remote offshore operations. These subsea</w:t>
      </w:r>
      <w:r>
        <w:rPr>
          <w:rFonts w:ascii="Arial" w:cs="Arial" w:eastAsia="Arial" w:hAnsi="Arial"/>
          <w:sz w:val="17"/>
          <w:szCs w:val="17"/>
          <w:i w:val="1"/>
          <w:iCs w:val="1"/>
          <w:color w:val="auto"/>
        </w:rPr>
        <w:t xml:space="preserve"> </w:t>
      </w:r>
      <w:r>
        <w:rPr>
          <w:rFonts w:ascii="Arial" w:cs="Arial" w:eastAsia="Arial" w:hAnsi="Arial"/>
          <w:sz w:val="17"/>
          <w:szCs w:val="17"/>
          <w:color w:val="auto"/>
        </w:rPr>
        <w:t>storage solutions will contain lithium ion batteries, which provide higher power density, to supply power that can enable subsea equipment, sensors, communications and autonomous underwater vehicles (AUV) and electric remotely operated vehicles (eROV) recharge. The Company’s PB3 PowerBuoy™ is complimentary to subsea battery storage by providing a means for recharging during longer term deployments, or the subsea battery solution can be used independently for shorter term deployments. Ideal for many remote offshore customer applications, these subsea battery solutions are anticipated to be high performance, cost-efficient, and quickly deployable. Given the Company’s expertise in offshore energy storage systems from existing PB3 technology, the subsea battery solutions will provide an opportunity for the Company to differentiate through technical, cost and delivery leadership.</w:t>
      </w:r>
    </w:p>
    <w:p>
      <w:pPr>
        <w:spacing w:after="0" w:line="178" w:lineRule="exact"/>
        <w:rPr>
          <w:rFonts w:ascii="Arial" w:cs="Arial" w:eastAsia="Arial" w:hAnsi="Arial"/>
          <w:sz w:val="17"/>
          <w:szCs w:val="17"/>
          <w:color w:val="auto"/>
        </w:rPr>
      </w:pPr>
    </w:p>
    <w:p>
      <w:pPr>
        <w:jc w:val="both"/>
        <w:ind w:left="980" w:hanging="324"/>
        <w:spacing w:after="0" w:line="269"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Hybrid PowerBuoy™ - </w:t>
      </w:r>
      <w:r>
        <w:rPr>
          <w:rFonts w:ascii="Arial" w:cs="Arial" w:eastAsia="Arial" w:hAnsi="Arial"/>
          <w:sz w:val="17"/>
          <w:szCs w:val="17"/>
          <w:color w:val="auto"/>
        </w:rPr>
        <w:t>The Company intends to create a hybrid PowerBuoy™ that will be a smaller liquid-fueled surface buoy,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PB3 PowerBuoy™, with significant energy storage and capable of providing reliable power in remote offshore locations. This product is to be highly complementary to the PB3 PowerBuoy™ by providing the Company the opportunity to address a broader spectrum of customer deployment needs, with the potential for greater Company integration within each customer project. It is primarily intended for shorter term deployment applications such as eROV and AUV inspections and short-term maintenance, topside surveillance and communications, and subsea equipment power purposes. The hybrid PowerBuoy™ is anticipated to be a light weight and quickly deployable option specially designed as a cost-effective solution. The design is also anticipated to have a high payload capacity for communications and surveillance, with the capability of being tethered to subsea payloads and battery packs, and/or PB3 PowerBuoys™, or with a conventional anchor mooring system. The Company intends to design the hybrid PowerBuoy™ to outperform traditional diesel buoys, which we believe have more frequent service and refueling intervals. We believe the hybrid PowerBuoy™ will be able to operate for years without service using environmentally safer and more robust fuels, while operating in a wider temperature range than diesel buoys.</w:t>
      </w:r>
    </w:p>
    <w:p>
      <w:pPr>
        <w:spacing w:after="0" w:line="178" w:lineRule="exact"/>
        <w:rPr>
          <w:rFonts w:ascii="Arial" w:cs="Arial" w:eastAsia="Arial" w:hAnsi="Arial"/>
          <w:sz w:val="17"/>
          <w:szCs w:val="17"/>
          <w:color w:val="auto"/>
        </w:rPr>
      </w:pPr>
    </w:p>
    <w:p>
      <w:pPr>
        <w:jc w:val="both"/>
        <w:ind w:left="980" w:hanging="324"/>
        <w:spacing w:after="0" w:line="281"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Support Services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offers customers a comprehensive range of support services that meet their specific needs, with a focus on</w:t>
      </w:r>
      <w:r>
        <w:rPr>
          <w:rFonts w:ascii="Arial" w:cs="Arial" w:eastAsia="Arial" w:hAnsi="Arial"/>
          <w:sz w:val="17"/>
          <w:szCs w:val="17"/>
          <w:i w:val="1"/>
          <w:iCs w:val="1"/>
          <w:color w:val="auto"/>
        </w:rPr>
        <w:t xml:space="preserve"> </w:t>
      </w:r>
      <w:r>
        <w:rPr>
          <w:rFonts w:ascii="Arial" w:cs="Arial" w:eastAsia="Arial" w:hAnsi="Arial"/>
          <w:sz w:val="17"/>
          <w:szCs w:val="17"/>
          <w:color w:val="auto"/>
        </w:rPr>
        <w:t>lowering operational costs and improving efficiency. These support services include innovation services, remote monitoring, extended service agreements, customization and pre-packaged payload options, engineering-design-testing services, mooring design, and marine services. These same support services will be extended to the new subsea battery solution and hybrid PowerBuoy™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81" w:lineRule="exact"/>
        <w:rPr>
          <w:sz w:val="20"/>
          <w:szCs w:val="20"/>
          <w:color w:val="auto"/>
        </w:rPr>
      </w:pPr>
    </w:p>
    <w:p>
      <w:pPr>
        <w:ind w:left="98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August 2018 we entered into an agreement with Enel Green Power S.p.A. to evaluate a PB3 PowerBuoy™ deployment along the coast of Chile through a detailed feasibility study of the PowerBuoy™ as an offshore autonomous platform hosting oceanographic sensor systems.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June 2018, we entered into a contract with Premier Oil (“PMO”), an international oil and gas company, for the lease (for at least three months and a maximum of twelve months) of a PB3 PowerBuoy™ to be deployed in one of PMO’s offshore fields in the North Sea.</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March 2018, we entered into an agreement with Eni that provides for a minimum 24-month contract that includes an 18-month PB3 PowerBuoy™ lease and associated project management.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2017, we entered into a Joint Application Development and Marketing Agreement with HAI Technologies to pursue mutual opportunities. The initial focus of the agreement is on offshore oil and gas subsea chemical injection systems where persistent power and real-time data communications are critical.</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w:t>
      </w:r>
    </w:p>
    <w:p>
      <w:pPr>
        <w:spacing w:after="0" w:line="181" w:lineRule="exact"/>
        <w:rPr>
          <w:rFonts w:ascii="Arial" w:cs="Arial" w:eastAsia="Arial" w:hAnsi="Arial"/>
          <w:sz w:val="18"/>
          <w:szCs w:val="18"/>
          <w:color w:val="auto"/>
        </w:rPr>
      </w:pPr>
    </w:p>
    <w:p>
      <w:pPr>
        <w:jc w:val="both"/>
        <w:ind w:left="980" w:hanging="324"/>
        <w:spacing w:after="0" w:line="29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2016, we entered into a contract with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 The Company is waiting for ONR funding of Phase 2, Option 1 to be approved.</w:t>
      </w:r>
    </w:p>
    <w:p>
      <w:pPr>
        <w:spacing w:after="0" w:line="158"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PowerBuoy™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PowerBuoy™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69" w:lineRule="exact"/>
        <w:rPr>
          <w:rFonts w:ascii="Arial" w:cs="Arial" w:eastAsia="Arial" w:hAnsi="Arial"/>
          <w:sz w:val="16"/>
          <w:szCs w:val="16"/>
          <w:color w:val="auto"/>
        </w:rPr>
      </w:pPr>
    </w:p>
    <w:p>
      <w:pPr>
        <w:jc w:val="both"/>
        <w:ind w:left="980" w:hanging="324"/>
        <w:spacing w:after="0" w:line="29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May 2016, we entered into a Memorandum of Agreement (“MOA”) with Wildlife Conservation Society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the coast of New Jersey which sought to establish a baseline acoustic survey. The deployment proceeded for approximately three months and met all project objectives.</w:t>
      </w:r>
    </w:p>
    <w:p>
      <w:pPr>
        <w:spacing w:after="0" w:line="158"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2016, we entered into a cooperative research and development agreement (“CRADA”) with the National Data Buoy Center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10, 2018, the Company entered into a common stock purchase agreement with Aspire Capital Fund, LLC (“Aspire Capital”) which provides that, subject to certain terms, conditions and limitations, Aspire Capital is committed to purchase up to an aggregate of $10.0 million of shares of the Company’s common stock over a 30-month period. In consideration for entering into the agreement, the Company issued to Aspire Capital 428,571 shares of our common stock as a commitment fee. As of October 31, 2018, the Company has sold 200,000 shares of common stock at a price of $0.48 per share pursuant to this common stock purchase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2018, the Company’s negotiated backlog was $1.0 million. As of April 30, 2018, negotiated backlog was $0.7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PB3 PowerBuoy™. </w:t>
      </w:r>
      <w:r>
        <w:rPr>
          <w:rFonts w:ascii="Arial" w:cs="Arial" w:eastAsia="Arial" w:hAnsi="Arial"/>
          <w:sz w:val="18"/>
          <w:szCs w:val="18"/>
          <w:color w:val="auto"/>
        </w:rPr>
        <w:t>We believe our PB3 PowerBuoy™ is well suited for many remote offshore applications. We have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market demand for both PowerBuoy™ sales and leases within our selected markets, and we intend to sell and lease PB3 PowerBuoy™ to these markets. Additionally, we intend to provide services associated with product sales and leases such as maintenance, remote monitoring and diagnostic, application engineering, planning, training, logistics and security support required for the PB3 PowerBuoy™ life-cycle. We continue to increase our commercial capabilities through new hires in marketing, sales, and application support, and through engagement of expert market consultants in various geographies.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ind w:left="660" w:hanging="328"/>
        <w:spacing w:after="0" w:line="264"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in North America, Europe</w:t>
      </w:r>
      <w:r>
        <w:rPr>
          <w:rFonts w:ascii="Arial" w:cs="Arial" w:eastAsia="Arial" w:hAnsi="Arial"/>
          <w:sz w:val="18"/>
          <w:szCs w:val="18"/>
          <w:i w:val="1"/>
          <w:iCs w:val="1"/>
          <w:color w:val="auto"/>
        </w:rPr>
        <w:t xml:space="preserve"> </w:t>
      </w:r>
      <w:r>
        <w:rPr>
          <w:rFonts w:ascii="Arial" w:cs="Arial" w:eastAsia="Arial" w:hAnsi="Arial"/>
          <w:sz w:val="18"/>
          <w:szCs w:val="18"/>
          <w:color w:val="auto"/>
        </w:rPr>
        <w:t>and parts of Asia, Africa and South America. We believe that each of these areas has sizable end market opportunities, political and economic stability, and high levels of industrialization and economic development.</w:t>
      </w:r>
    </w:p>
    <w:p>
      <w:pPr>
        <w:spacing w:after="0" w:line="181" w:lineRule="exact"/>
        <w:rPr>
          <w:rFonts w:ascii="Arial" w:cs="Arial" w:eastAsia="Arial" w:hAnsi="Arial"/>
          <w:sz w:val="18"/>
          <w:szCs w:val="18"/>
          <w:i w:val="1"/>
          <w:iCs w:val="1"/>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Expand our relationships in key market areas through strategic partnerships and collaborations. </w:t>
      </w:r>
      <w:r>
        <w:rPr>
          <w:rFonts w:ascii="Arial" w:cs="Arial" w:eastAsia="Arial" w:hAnsi="Arial"/>
          <w:sz w:val="17"/>
          <w:szCs w:val="17"/>
          <w:color w:val="auto"/>
        </w:rPr>
        <w:t>We believe that strategic partners are an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commercializing a new product. Partnerships and collaborations can be used to improve the development of overall integrated solutions, create new market channels, expand commercial know-how and geographic footprint, and bolster our product delivery capabilities.</w:t>
      </w:r>
    </w:p>
    <w:p>
      <w:pPr>
        <w:spacing w:after="0" w:line="192" w:lineRule="exact"/>
        <w:rPr>
          <w:rFonts w:ascii="Arial" w:cs="Arial" w:eastAsia="Arial" w:hAnsi="Arial"/>
          <w:sz w:val="17"/>
          <w:szCs w:val="17"/>
          <w:i w:val="1"/>
          <w:iCs w:val="1"/>
          <w:color w:val="auto"/>
        </w:rPr>
      </w:pPr>
    </w:p>
    <w:p>
      <w:pPr>
        <w:jc w:val="both"/>
        <w:ind w:left="980" w:hanging="324"/>
        <w:spacing w:after="0" w:line="259" w:lineRule="auto"/>
        <w:tabs>
          <w:tab w:leader="none" w:pos="980" w:val="left"/>
        </w:tabs>
        <w:numPr>
          <w:ilvl w:val="1"/>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collaborations. </w:t>
      </w:r>
      <w:r>
        <w:rPr>
          <w:rFonts w:ascii="Arial" w:cs="Arial" w:eastAsia="Arial" w:hAnsi="Arial"/>
          <w:sz w:val="18"/>
          <w:szCs w:val="18"/>
          <w:color w:val="auto"/>
        </w:rPr>
        <w:t>We believe that an important element of our business strategy is to collaborate with other organizations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combined expertise, market presence and access, and core competences across key markets. We have formed such a relationship with several well-known groups, and we continue to seek other opportunities to collaborate with application experts from within our selected markets.</w:t>
      </w:r>
    </w:p>
    <w:p>
      <w:pPr>
        <w:spacing w:after="0" w:line="186" w:lineRule="exact"/>
        <w:rPr>
          <w:rFonts w:ascii="Arial" w:cs="Arial" w:eastAsia="Arial" w:hAnsi="Arial"/>
          <w:sz w:val="18"/>
          <w:szCs w:val="18"/>
          <w:i w:val="1"/>
          <w:iCs w:val="1"/>
          <w:color w:val="auto"/>
        </w:rPr>
      </w:pPr>
    </w:p>
    <w:p>
      <w:pPr>
        <w:jc w:val="both"/>
        <w:ind w:left="980" w:hanging="324"/>
        <w:spacing w:after="0" w:line="257" w:lineRule="auto"/>
        <w:tabs>
          <w:tab w:leader="none" w:pos="980" w:val="left"/>
        </w:tabs>
        <w:numPr>
          <w:ilvl w:val="1"/>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ensure a cost-effective product by leveraging a larger more established supply base. We also continue to seek strategic partnerships with regards to servicing of our PB3 PowerBuoy™.</w:t>
      </w:r>
    </w:p>
    <w:p>
      <w:pPr>
        <w:spacing w:after="0" w:line="215"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PB3 cost reduction and PowerBuoy™ product development. </w:t>
      </w:r>
      <w:r>
        <w:rPr>
          <w:rFonts w:ascii="Arial" w:cs="Arial" w:eastAsia="Arial" w:hAnsi="Arial"/>
          <w:sz w:val="18"/>
          <w:szCs w:val="18"/>
          <w:color w:val="auto"/>
        </w:rPr>
        <w:t>Our engineering efforts are focused on customer application development for PB3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cost reduction of our PB3 PowerBuoy™ and improving the energy output, reliability, maintenance interval and expected operating life of our PowerBuoys™. We continue to optimize manufacturability of our designs with a focus on cost competitiveness, and we believe that we will be able to address new and different applications by developing new products that increase energy output.</w:t>
      </w:r>
    </w:p>
    <w:p>
      <w:pPr>
        <w:spacing w:after="0" w:line="186" w:lineRule="exact"/>
        <w:rPr>
          <w:rFonts w:ascii="Arial" w:cs="Arial" w:eastAsia="Arial" w:hAnsi="Arial"/>
          <w:sz w:val="18"/>
          <w:szCs w:val="18"/>
          <w:i w:val="1"/>
          <w:iCs w:val="1"/>
          <w:color w:val="auto"/>
        </w:rPr>
      </w:pPr>
    </w:p>
    <w:p>
      <w:pPr>
        <w:jc w:val="both"/>
        <w:ind w:left="660" w:hanging="328"/>
        <w:spacing w:after="0" w:line="27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New product offerings. </w:t>
      </w:r>
      <w:r>
        <w:rPr>
          <w:rFonts w:ascii="Arial" w:cs="Arial" w:eastAsia="Arial" w:hAnsi="Arial"/>
          <w:sz w:val="17"/>
          <w:szCs w:val="17"/>
          <w:color w:val="auto"/>
        </w:rPr>
        <w:t>We are currently in the process of developing subsea battery solutions and a hybrid PowerBuoy™. The subsea battery</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 will use lithium ion batteries to supply power that can enable subsea equipment, sensors, communications and autonomous underwater vehicles (AUV) and electric remotely operated vehicles (eROV) recharge. While the hybrid PowerBuoy™ will be a smaller liquid-fueled surface buoy, with significant energy storage and capable of providing reliable power in remote offshore locations. The Company anticipates marketing and quoting to potential customers around the world as early as the first quarter of calendar year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have been prepared assuming the Company will continue as a going concern. The Company has experienced substantial and recurring losses from operations, which losses have caused an accumulated deficit of $204.7 million at October 31, 2018. Based on the Company’s cash, cash equivalents and restricted cash balances as of October 31, 2018, the Company believes that it will be able to finance its capital requirements and operations into the quarter ending April 30, 2019.</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2018,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generally accepted accounting principles, or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2018. There were no material changes in our critical accounting estimates or accounting policies during the six months ended October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Under the full retrospective method, the standard would be applied to each prior reporting period presented and the cumulative effect of applying the standard would be recognized at the earliest period shown. Under the modified retrospective method, the cumulative effect of applying the standard would be recognized at the date of application. Effective May 1, 2018, the Company adopted the requirements of ASU 2014-09 using the modified retrospective method. As a practical expedient, the Company adopted the new standard only for existing contracts as of May 1, 2018, the date of adoption. Any contracts that had expired prior to May 1, 2018 were not evaluated against the new standard. The Company adopted ASU 2014-09 and the adoption did not have a material impact on the Company’s consolidated financial position, results of operations or cash flows.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In July 2018, the FASB issued ASU No. 2018-11,</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w:t>
      </w:r>
      <w:r>
        <w:rPr>
          <w:rFonts w:ascii="Arial" w:cs="Arial" w:eastAsia="Arial" w:hAnsi="Arial"/>
          <w:sz w:val="16"/>
          <w:szCs w:val="16"/>
          <w:color w:val="auto"/>
        </w:rPr>
        <w:t>ASU 2018-11 provides companies another transition method in addition to the existing transition method by allowing entities to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apply the new leases standard at the adoption date and recognize a cumulative-effect adjustment to the opening balance of retained earnings in the period of adoption. The consideration in the contract is allocated to the lease and nonlease components on a relative standalone price basis (for lessees) or in accordance with the allocation guidance in the new revenue standard (for lessors). ASU 2018-11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Lessors are not afforded a similar practical expedient. The Company is evaluating the effect ASU 2016-02 will have on its consolidated financial statements and disclosures and has not yet determined the effect of the standard on its ongoing financial reporting at this time.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2016-15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The ASU modifies, removes and adds several disclosure requirements on fair value measurements in Topic 820, Fair Value Measurement. The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 </w:t>
      </w:r>
      <w:r>
        <w:rPr>
          <w:rFonts w:ascii="Arial" w:cs="Arial" w:eastAsia="Arial" w:hAnsi="Arial"/>
          <w:sz w:val="16"/>
          <w:szCs w:val="16"/>
          <w:i w:val="1"/>
          <w:iCs w:val="1"/>
          <w:color w:val="auto"/>
        </w:rPr>
        <w:t>Internal-Use Software (Subtopic 350-40).”</w:t>
      </w:r>
      <w:r>
        <w:rPr>
          <w:rFonts w:ascii="Arial" w:cs="Arial" w:eastAsia="Arial" w:hAnsi="Arial"/>
          <w:sz w:val="16"/>
          <w:szCs w:val="16"/>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claims and unpriced change orders; awards and incentive fees;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8"/>
              </w:rPr>
              <w:t>Three months ended October 31,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6"/>
          </w:tcPr>
          <w:p>
            <w:pPr>
              <w:ind w:left="4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Enel Green Power</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Eni S.p.A.</w:t>
            </w:r>
          </w:p>
        </w:tc>
        <w:tc>
          <w:tcPr>
            <w:tcW w:w="9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Premier Oil UK Limited</w:t>
            </w: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Defense Office of Naval Research</w:t>
            </w: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Asia and South America. The following table shows the percentage of our revenues by geographical location of our customers for the six months ended October 31, 2018 and 2017.</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 October 31,</w:t>
            </w:r>
          </w:p>
        </w:tc>
        <w:tc>
          <w:tcPr>
            <w:tcW w:w="0" w:type="dxa"/>
            <w:vAlign w:val="bottom"/>
          </w:tcPr>
          <w:p>
            <w:pPr>
              <w:spacing w:after="0"/>
              <w:rPr>
                <w:sz w:val="1"/>
                <w:szCs w:val="1"/>
                <w:color w:val="auto"/>
              </w:rPr>
            </w:pPr>
          </w:p>
        </w:tc>
      </w:tr>
      <w:tr>
        <w:trPr>
          <w:trHeight w:val="237"/>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Customer Location</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and cash equivalents, investments in commercial bank-issued certificates of deposit and US Treasury bills and notes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accounts had a balance of $0.9 million as of October 31, 2018 and $1.1 million as of October 31, 2017, compared to our total cash, cash equivalents and restricted cash balances of $4.6 million as of October 31, 2018 and $16.9 million as of October 31, 2017. These foreign currency balances are translated at each month and to our functional currency, the US dollar, and any resulting gain or loss is recognized in our results of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2018 compared to the three months ended October 31, 2017</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2018 and 2017.</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6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 October 31,</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2018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2017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8"/>
                <w:szCs w:val="18"/>
                <w:color w:val="auto"/>
                <w:w w:val="98"/>
              </w:rPr>
              <w:t>(in thousands)</w:t>
            </w:r>
          </w:p>
        </w:tc>
        <w:tc>
          <w:tcPr>
            <w:tcW w:w="5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gridSpan w:val="2"/>
            <w:shd w:val="clear" w:color="auto" w:fill="CCEEFF"/>
          </w:tcPr>
          <w:p>
            <w:pPr>
              <w:jc w:val="right"/>
              <w:ind w:right="77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revenues</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profit/(loss)</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Engineering and product development costs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5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30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(3,919)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(2,607)</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 net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(3,890</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(2,577</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were $0.1 million in the three months ended October 31, 2018 as compared to $0.1 million in the three months ended October 31, 2017. Revenues for these two periods was relatively the same.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revenues increased $0.7 million compared to the three months ended October 31, 2017. The increase in cost of revenues is due to higher spending and material costs on new projects compared to the same period in fiscal 2018. Cost of revenues for the three months ended October 31, 2018 includes a reserve for loss on contracts of $0.2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Engineering and product development costs for the three months ended October 31, 2018 and 2017 were $1.6 million and $1.0 million, respectively. The increase of $0.6 million is due to higher spending on new product development, buoy builds for future customer contracts and personnel costs as compared to the same period in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costs for the three months ended October 31, 2018 and 2017 were $1.8 million and $1.7 million, respectively. The increase $0.1 million was mostly due to higher personnel costs as compared to the same period in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three months ended October 31, 2018 was an unrealized gain of $51,000 versus an unrealized gain of $31,000 for the three months ended October 31, 2017. The change between periods is due to a lower stock price and a higher discount rate used for the three months ended October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during the three months ended October 31, 2018 was $7,000, an increase of $1,000 as compared to the three months ended October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during the three months ended October 31, 2018 was $29,000 compared to a loss of $7,000 during the three months ended October 31, 2017.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829"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Six months ended October 31, 2018 compared to the six months ended October 31, 2017</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2018 and 2017.</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Six months ended October 31,</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2018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2017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8"/>
                <w:szCs w:val="18"/>
                <w:color w:val="auto"/>
                <w:w w:val="98"/>
              </w:rPr>
              <w:t>(in thousands)</w:t>
            </w:r>
          </w:p>
        </w:tc>
        <w:tc>
          <w:tcPr>
            <w:tcW w:w="5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CEEFF"/>
          </w:tcPr>
          <w:p>
            <w:pPr>
              <w:jc w:val="right"/>
              <w:ind w:right="77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profit/(loss)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Engineering and product development costs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30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(7,232)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(5,372)</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5"/>
              </w:rPr>
              <w:t>Gain due to the change in fair value of warrant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(7,130</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(5,240</w:t>
            </w:r>
          </w:p>
        </w:tc>
        <w:tc>
          <w:tcPr>
            <w:tcW w:w="30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7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Revenues were $0.2 million in the six months ended October 31, 2018 as compared to $0.3 million in the six months ended October 31, 2017. The decline in revenue is due to the mix in customer contracts. During the six months ended October 31, 2018 revenues were derived from new projects with Eni, PMO and Enel. Projects with MES and ONR were completed during the six months ended October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revenues of $0.8 million for the six months ended October 31, 2018 as compared to $0.2 million in the six months ended October 31, 2017. The increase of $0.6 million in cost of revenues is mostly due to higher spending and material costs on new projects as compared to the same period in the fiscal 2018. Cost of revenues for the six months ended October 31, 2018 includes a reserve for loss on contracts of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Engineering and product development costs for the six months ended October 31, 2018 and 2017 were $2.7 million and $2.1 million, respectively. The increase of $0.6 million is due to higher spending on new product development, buoy builds for future customer contracts and personnel costs as compared to the same period in the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costs for the six months ended October 31, 2018 and 2017 were $3.9 million and $3.4 million, respectively. The increase of $0.5 million was mostly due to higher personnel costs as compared to the same period in the fiscal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six months ended October 31, 2018 was an unrealized gain of $136,000 versus an unrealized gain of $68,000 for the six months ended October 31, 2017. The change between periods is due to a lower stock price and a higher discount rate used for the six months ended October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during the six months ended October 31, 2018 was $21,000, an increase of $12,000 as compared to the six months ended October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during the six months ended October 31, 2018 was $55,000 compared to a gain of $55,000 during the six months ended October 31, 2017. The difference was attributable primarily to the relative change in value of the British pound sterling, Euro and Australian dollar compared to the US dollar during the two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two years ended April 30, 2018, our aggregate revenues were $1.4 million, our aggregate net losses were $19.6 million and our aggregate net cash used in operating activities was $20.7 million. Refer to “Liquidity Outlook” below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flows used in operating activities during the six months ended October 31, 2018 were $7.6 million, an increase of $0.9 million compared to $6.7 million during the six months ended October 31, 2017. The increase was primarily due to higher net loss of $1.9 million and payment of deferred credits of $0.6 million partly offset by other changes in operating assets and liabilities of $1.5 million as compared to the same period in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during the six months ended October 31, 2018 was $27,000, a decrease of $36,000 compared to net cash used by investing activities during the six months ended October 31, 2017. The decrease in net cash used in investing activities was due mostly to the maturity of marketable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six months ended October 31, 2018 was $0.1 compared to net cash provided by financing activities during the six months ended October 31, 2017 of $14.6 million. The six months ended October 31, 2017 included proceeds from the issuance of common stock of $14.6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$75,000 in the six months ended October 31, 2018 and an increase of $68,000 in the six months ended for October 31, 2017.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have contributed to an accumulated deficit of $204.7 million at October 31, 2018. As of October 31, 2018, we had approximately $4.6 million in cash, cash equivalents and restricted cash on hand. The Company generated revenues of $0.2 and $0.3 million during the six months ended October 31, 2018 and 2017, respectively. Based on the Company’s cash, cash equivalents and restricted cash balances as of October 31, 2018, the Company believes that it will be able to finance its capital requirements and operations into the quarter ending April 30, 2019. These conditions raise substantial doubt about our ability to continue as a going concern.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successfully develop and market and develop new products, such as a hybrid PowerBuoy™ or subsea battery solutions;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anticipate that our operating expenses will be approximately $14.5 million in fiscal 2019 including product development spending of more than $6.3 million. We may choose to reduce our operating expenses through personnel reductions, and reductions in our research and development and other operating costs during the remainder of fiscal year 2019,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On August 9, 2018,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February 5, 2019, in which to regain compliance with the minimum bid price rule. To regain compliance, the closing bid price of the Company’s common stock must meet or exceed $1.00 per share for a minimum of ten consecutive business days during this grace period.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through public offerings of our securities and to finance our operations could be adversely affected. See additional risk factors under “Part II, Item 1A – Risk Factors”. We also believe that delisting would likely result in decreased liquidity and/or increased volatility in our common stock,and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October 31, 2018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2018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October 31, 2018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as the lead plaintiff in the consolidated actions; and (iii) stayed the consolidated actions pending the November 14, 2016 settlement hearing in the now-settled securities class action and further order of the Court.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23, 2017, the parties entered into a Stipulation and Agreement of Settlement to resolve the four consolidated derivative lawsuits. If approved by the Court, the settlement provides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On May 14, 2018, the Court held a final settlement approval hearing at which the Court stated that it was approving the settlement. On June 13, 2018, the Court issued a Final Order and Judgement, approving the Stipulation and Agreement Settlement. The Company had accrued $350,000 related to this matter as a probable and reasonably estimable loss contingency during the twelve months ended April 30, 2018. The Company also had recorded a receivable of $350,000 from its insurance carrier with the offset to the statement of operations. The Company’s insurance carrier made payment of $350,000 to the plaintiffs’ attorneys on May 3, 2018. As a result, the consolidated derivatives lawsuits are now completely resolved, the releases are operative and the matter is closed.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spacing w:after="0" w:line="268" w:lineRule="auto"/>
        <w:rPr>
          <w:sz w:val="20"/>
          <w:szCs w:val="20"/>
          <w:color w:val="auto"/>
        </w:rPr>
      </w:pPr>
      <w:r>
        <w:rPr>
          <w:rFonts w:ascii="Arial" w:cs="Arial" w:eastAsia="Arial" w:hAnsi="Arial"/>
          <w:sz w:val="17"/>
          <w:szCs w:val="17"/>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August 28, 2018, counsel for Mr. Dunleavy filed a demand for arbitration, captioned </w:t>
      </w:r>
      <w:r>
        <w:rPr>
          <w:rFonts w:ascii="Arial" w:cs="Arial" w:eastAsia="Arial" w:hAnsi="Arial"/>
          <w:sz w:val="17"/>
          <w:szCs w:val="17"/>
          <w:i w:val="1"/>
          <w:iCs w:val="1"/>
          <w:color w:val="auto"/>
        </w:rPr>
        <w:t>Charles F. Dunleavy v. Ocean Power Technologies, Inc.,</w:t>
      </w:r>
      <w:r>
        <w:rPr>
          <w:rFonts w:ascii="Arial" w:cs="Arial" w:eastAsia="Arial" w:hAnsi="Arial"/>
          <w:sz w:val="17"/>
          <w:szCs w:val="17"/>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The parties are in the process of selecting the arbitrators for the proceeding and have not yet scheduled or commenced any discovery. As of October 31, 2018, the Company has not accrued any provision related to this matter since it cannot reasonably estimate the loss contingency.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 Runner Marine, Inc.</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June 13, 2018, Tide Runner Marine, Inc. (“Tide Runner”) filed a lawsuit in the United States District Court for the District of New Jersey captioned </w:t>
      </w:r>
      <w:r>
        <w:rPr>
          <w:rFonts w:ascii="Arial" w:cs="Arial" w:eastAsia="Arial" w:hAnsi="Arial"/>
          <w:sz w:val="16"/>
          <w:szCs w:val="16"/>
          <w:i w:val="1"/>
          <w:iCs w:val="1"/>
          <w:color w:val="auto"/>
        </w:rPr>
        <w:t>Tide</w:t>
      </w:r>
      <w:r>
        <w:rPr>
          <w:rFonts w:ascii="Arial" w:cs="Arial" w:eastAsia="Arial" w:hAnsi="Arial"/>
          <w:sz w:val="16"/>
          <w:szCs w:val="16"/>
          <w:color w:val="auto"/>
        </w:rPr>
        <w:t xml:space="preserve"> </w:t>
      </w:r>
      <w:r>
        <w:rPr>
          <w:rFonts w:ascii="Arial" w:cs="Arial" w:eastAsia="Arial" w:hAnsi="Arial"/>
          <w:sz w:val="16"/>
          <w:szCs w:val="16"/>
          <w:i w:val="1"/>
          <w:iCs w:val="1"/>
          <w:color w:val="auto"/>
        </w:rPr>
        <w:t>Runner Marine, Inc. v. Ocean Power Technologies, Inc.</w:t>
      </w:r>
      <w:r>
        <w:rPr>
          <w:rFonts w:ascii="Arial" w:cs="Arial" w:eastAsia="Arial" w:hAnsi="Arial"/>
          <w:sz w:val="16"/>
          <w:szCs w:val="16"/>
          <w:color w:val="auto"/>
        </w:rPr>
        <w:t>, Case No. 1:18-cv-10496. The complaint names the Company as defendant and alleges claims for</w:t>
      </w:r>
      <w:r>
        <w:rPr>
          <w:rFonts w:ascii="Arial" w:cs="Arial" w:eastAsia="Arial" w:hAnsi="Arial"/>
          <w:sz w:val="16"/>
          <w:szCs w:val="16"/>
          <w:i w:val="1"/>
          <w:iCs w:val="1"/>
          <w:color w:val="auto"/>
        </w:rPr>
        <w:t xml:space="preserve"> </w:t>
      </w:r>
      <w:r>
        <w:rPr>
          <w:rFonts w:ascii="Arial" w:cs="Arial" w:eastAsia="Arial" w:hAnsi="Arial"/>
          <w:sz w:val="16"/>
          <w:szCs w:val="16"/>
          <w:color w:val="auto"/>
        </w:rPr>
        <w:t>breach of contract, unjust enrichment, conversion, and fraud, negligent and/or reckless misrepresentation all as associated with the removal of a Company mooring system off the coast of New Jersey that was completed in May 2017. The complaint seeks damages in the amount of $2,825,130 together with interest, costs, attorney’s fees, punitive damages and such other relief as may be appropriate under the circumstances. On July 27, 2018, the Company filed an answer denying the claims in the complaint, asserted various affirmative defenses, and asserted a counter-claim for damages in the amount of $15,000 for Tide Runner’s failure to pay the Company for certain portions of the mooring system that were recovered. On August 2, 2018, Tide Runner filed its answer to and denied the Company’s counterclaim and asserted various affirmative defenses. During the initial scheduling conference held on September 13, 2018, the parties agreed to engage in mediation in an effort to resolve this matter. The parties participated in mediation on November 15, 2018 but were unable to reach an agreement. The parties have agreed to continue the mediation process until at least December 20, 2018. Formal discovery has not yet been scheduled. As of October 31, 2018, the Company has not accrued any provision related to this matter since it cannot reasonably estimate the loss contingency.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the Company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the Company will be assessed a penalty relating to these tax years. The Company has estimated this penalty to be $177,000 and is recorded within Accrued liabilities in the Consolidated Balance Sheets.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2018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17,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$204.7 million as of October 31, 2018. As of October 31, 2018, the Company had approximately $4.6 million in cash, cash equivalents and restricted cash on hand. The Company generated revenues of $0.2 and $0.3 million during the six months ended October 31, 2018 and 2017, respectively. Based on the Company’s cash, cash equivalents and restricted cash balances as of October 31, 2018, the Company believes that it will be able to finance its capital requirements and operations into the quarter ending April 30, 2019.</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experience operating losses and currently have only two revenue producing contracts, one with Premier Oil for the lease of a PB3 PowerBuoy™ to be deployed in one of PMO’s offshore fields in the North Sea, and another contract with Eni that provides for a minimum 24-month contract that includes an 18-month PB3 PowerBuoy™ lease and associated project management. During fiscal 2018, our net burn rate (cash used in operations less cash generated by operations) including product development spending was approximately $900,000 per month.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$14.5 million in fiscal 2019 including product development spending of more than $6.3 million. However, we may choose to reduce our operating expenses through personnel reductions, and reductions in our research and development and other operating costs during fiscal year 2019,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$7.1 million during the six months ended October 31, 2018 and $10.2 million in fiscal 2018. As of October 31, 2018, we had an accumulated deficit of $204.7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Examples of this include our subsea battery solution and our hybrid PowerBuoy™.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both"/>
        <w:spacing w:after="0" w:line="312" w:lineRule="auto"/>
        <w:rPr>
          <w:sz w:val="20"/>
          <w:szCs w:val="20"/>
          <w:color w:val="auto"/>
        </w:rPr>
      </w:pPr>
      <w:r>
        <w:rPr>
          <w:rFonts w:ascii="Arial" w:cs="Arial" w:eastAsia="Arial" w:hAnsi="Arial"/>
          <w:sz w:val="16"/>
          <w:szCs w:val="16"/>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4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budget overruns or delays in R&amp;D efforts;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at risk of being de-listed from The NASDAQ Stock Market if we do not regain compliance with the minimum $1 bid price per share required by NASDAQ rules.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9, 2018, we received a letter from The NASDAQ Stock Market informing us that the closing bid price of our common stock has been below $1.00 per share for a period of 30 consecutive trading days, and as a result, we are not in compliance with the minimum bid price requirement for continued listing. Under the NASDAQ Listing Rules), we have a grace period of 180 calendar days, or until February 5, 2019, in which to regain compliance with the minimum bid price rule. To regain compliance, the closing bid price of our common stock must meet or exceed $1.00 per share for a minimum of ten consecutive business days during this grace period. If we do not regain compliance before February 5, 2019, the NASDAQ stated that it will provide us with written notice that our securities are subject to delisting. At that time, we may appeal the NASDAQ’s determination to a NASDAQ Listing Qualifications Panel, which would stay any further delisting action by the NASDAQ pending a final decision by the panel. Alternatively, we may be eligible for an additional 180 calendar day grace period if we meet the continued listing standards, with the exception of bid price, for the NASDAQ Capital Market, and we state our intent to affect a reverse split, if necessary, to cure such deficiency.</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center"/>
              <w:ind w:left="7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Total Number of</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w w:val="90"/>
              </w:rPr>
              <w:t>Average Price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1"/>
              </w:rPr>
              <w:t>as Part of Publicly</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37"/>
        </w:trPr>
        <w:tc>
          <w:tcPr>
            <w:tcW w:w="3440" w:type="dxa"/>
            <w:vAlign w:val="bottom"/>
            <w:gridSpan w:val="3"/>
          </w:tcPr>
          <w:p>
            <w:pPr>
              <w:spacing w:after="0"/>
              <w:rPr>
                <w:sz w:val="20"/>
                <w:szCs w:val="20"/>
                <w:color w:val="auto"/>
              </w:rPr>
            </w:pPr>
            <w:r>
              <w:rPr>
                <w:rFonts w:ascii="Arial" w:cs="Arial" w:eastAsia="Arial" w:hAnsi="Arial"/>
                <w:sz w:val="18"/>
                <w:szCs w:val="18"/>
                <w:color w:val="auto"/>
              </w:rPr>
              <w:t>Period</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Shares Purchased</w:t>
            </w:r>
          </w:p>
        </w:tc>
        <w:tc>
          <w:tcPr>
            <w:tcW w:w="220" w:type="dxa"/>
            <w:vAlign w:val="bottom"/>
          </w:tcPr>
          <w:p>
            <w:pPr>
              <w:spacing w:after="0"/>
              <w:rPr>
                <w:sz w:val="20"/>
                <w:szCs w:val="20"/>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w w:val="86"/>
              </w:rPr>
              <w:t>Paid per Share</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center"/>
              <w:ind w:left="70"/>
              <w:spacing w:after="0"/>
              <w:rPr>
                <w:sz w:val="20"/>
                <w:szCs w:val="20"/>
                <w:color w:val="auto"/>
              </w:rPr>
            </w:pPr>
            <w:r>
              <w:rPr>
                <w:rFonts w:ascii="Arial" w:cs="Arial" w:eastAsia="Arial" w:hAnsi="Arial"/>
                <w:sz w:val="18"/>
                <w:szCs w:val="18"/>
                <w:color w:val="auto"/>
                <w:w w:val="89"/>
              </w:rPr>
              <w:t>Announced Plans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the Plan</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 August 31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September 1 - September 30</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1,770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0.46</w:t>
            </w:r>
          </w:p>
        </w:tc>
        <w:tc>
          <w:tcPr>
            <w:tcW w:w="16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60" w:type="dxa"/>
            <w:vAlign w:val="bottom"/>
          </w:tcPr>
          <w:p>
            <w:pPr>
              <w:spacing w:after="0"/>
              <w:rPr>
                <w:sz w:val="20"/>
                <w:szCs w:val="20"/>
                <w:color w:val="auto"/>
              </w:rPr>
            </w:pPr>
          </w:p>
        </w:tc>
        <w:tc>
          <w:tcPr>
            <w:tcW w:w="1046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EXHIBIT INDEX</w:t>
            </w:r>
          </w:p>
        </w:tc>
      </w:tr>
      <w:tr>
        <w:trPr>
          <w:trHeight w:val="419"/>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0460" w:type="dxa"/>
            <w:vAlign w:val="bottom"/>
            <w:tcBorders>
              <w:bottom w:val="single" w:sz="8" w:color="0000EE"/>
            </w:tcBorders>
            <w:gridSpan w:val="5"/>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Common Stock Purchase Agreement with Aspire Capital Fund, LLC (incorporated by reference to Exhibit 10.1 to Form 8-K filed with the SEC</w:t>
              </w:r>
            </w:hyperlink>
          </w:p>
        </w:tc>
      </w:tr>
      <w:tr>
        <w:trPr>
          <w:trHeight w:val="19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60" w:type="dxa"/>
            <w:vAlign w:val="bottom"/>
            <w:gridSpan w:val="5"/>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on August 13, 2018)</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10460" w:type="dxa"/>
            <w:vAlign w:val="bottom"/>
            <w:tcBorders>
              <w:bottom w:val="single" w:sz="8" w:color="0000EE"/>
            </w:tcBorders>
            <w:gridSpan w:val="5"/>
          </w:tcPr>
          <w:p>
            <w:pPr>
              <w:spacing w:after="0"/>
              <w:rPr>
                <w:rFonts w:ascii="Arial" w:cs="Arial" w:eastAsia="Arial" w:hAnsi="Arial"/>
                <w:sz w:val="18"/>
                <w:szCs w:val="18"/>
                <w:color w:val="0000EE"/>
                <w:w w:val="96"/>
              </w:rPr>
            </w:pPr>
            <w:hyperlink r:id="rId57">
              <w:r>
                <w:rPr>
                  <w:rFonts w:ascii="Arial" w:cs="Arial" w:eastAsia="Arial" w:hAnsi="Arial"/>
                  <w:sz w:val="18"/>
                  <w:szCs w:val="18"/>
                  <w:color w:val="0000EE"/>
                  <w:w w:val="96"/>
                </w:rPr>
                <w:t>Registration Rights Agreement with Aspire Capital Fund, LLC (incorporated by reference to Exhibit 4.1 to Form 8-K filed with the SEC on</w:t>
              </w:r>
            </w:hyperlink>
          </w:p>
        </w:tc>
      </w:tr>
      <w:tr>
        <w:trPr>
          <w:trHeight w:val="19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60" w:type="dxa"/>
            <w:vAlign w:val="bottom"/>
            <w:gridSpan w:val="5"/>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August 13, 2018)</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2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of Chief Executive Officer pursuant to Section 302 of the Sarbanes-Oxley Act of 2002</w:t>
              </w:r>
            </w:hyperlink>
          </w:p>
        </w:tc>
        <w:tc>
          <w:tcPr>
            <w:tcW w:w="326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46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40" w:type="dxa"/>
            <w:vAlign w:val="bottom"/>
            <w:gridSpan w:val="3"/>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gridSpan w:val="6"/>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3">
              <w:r>
                <w:rPr>
                  <w:rFonts w:ascii="Arial" w:cs="Arial" w:eastAsia="Arial" w:hAnsi="Arial"/>
                  <w:sz w:val="18"/>
                  <w:szCs w:val="18"/>
                  <w:color w:val="0000EE"/>
                </w:rPr>
                <w:t>Certification of Chief Executive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0" w:type="dxa"/>
            <w:vAlign w:val="bottom"/>
            <w:gridSpan w:val="4"/>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gridSpan w:val="6"/>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5">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960" w:hanging="952"/>
        <w:spacing w:after="0" w:line="273"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information from Ocean Power Technologies, Inc.’s Quarterly Report on Form 10-Q for the quarter ended October 31, 2018, formatted in eXtensible Business Reporting Language (XBRL): (i) Consolidated Balance Sheets – October 31, 2018 (unaudited) and April 30, 2018, (ii) Consolidated Statements of Operations (unaudited) – three and six months ended October 31, 2018 and 2017, (iii) Consolidated Statements of Comprehensive Loss (unaudited) – three and six months ended October 31, 2018 and 2017, (iv) Consolidated Statements of Cash Flows (unaudited) –three and six months ended October 31, 2018 and 2017, (v) Consolidated Statement of Stockholders’ Equity (unaudited) – six months ended October 31, 2018 (vi) Notes to Consolidated Financial Statements.**</w:t>
      </w:r>
    </w:p>
    <w:p>
      <w:pPr>
        <w:spacing w:after="0" w:line="178"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ind w:left="960" w:firstLine="7"/>
        <w:spacing w:after="0" w:line="308" w:lineRule="auto"/>
        <w:tabs>
          <w:tab w:leader="none" w:pos="13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filed with the Securities and Exchange Commission and this exhibit has been filed separately with the Securities and Exchange Commission in connection with such request.</w:t>
      </w:r>
    </w:p>
    <w:p>
      <w:pPr>
        <w:spacing w:after="0" w:line="147" w:lineRule="exact"/>
        <w:rPr>
          <w:sz w:val="20"/>
          <w:szCs w:val="20"/>
          <w:color w:val="auto"/>
        </w:rPr>
      </w:pPr>
    </w:p>
    <w:p>
      <w:pPr>
        <w:jc w:val="both"/>
        <w:ind w:left="960" w:firstLine="7"/>
        <w:spacing w:after="0" w:line="264" w:lineRule="auto"/>
        <w:tabs>
          <w:tab w:leader="none" w:pos="11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both"/>
        <w:ind w:left="960" w:firstLine="7"/>
        <w:spacing w:after="0" w:line="264" w:lineRule="auto"/>
        <w:tabs>
          <w:tab w:leader="none" w:pos="11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40"/>
        <w:spacing w:after="0"/>
        <w:rPr>
          <w:sz w:val="20"/>
          <w:szCs w:val="20"/>
          <w:color w:val="auto"/>
        </w:rPr>
      </w:pPr>
      <w:r>
        <w:rPr>
          <w:rFonts w:ascii="Arial" w:cs="Arial" w:eastAsia="Arial" w:hAnsi="Arial"/>
          <w:sz w:val="15"/>
          <w:szCs w:val="15"/>
          <w:b w:val="1"/>
          <w:bCs w:val="1"/>
          <w:u w:val="single" w:color="auto"/>
          <w:color w:val="auto"/>
        </w:rPr>
        <w:t>Ocean Power Technologies, Inc.</w:t>
      </w:r>
    </w:p>
    <w:p>
      <w:pPr>
        <w:spacing w:after="0" w:line="62" w:lineRule="exact"/>
        <w:rPr>
          <w:sz w:val="20"/>
          <w:szCs w:val="20"/>
          <w:color w:val="auto"/>
        </w:rPr>
      </w:pPr>
    </w:p>
    <w:p>
      <w:pPr>
        <w:jc w:val="center"/>
        <w:ind w:right="34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2">
            <w:col w:w="5980" w:space="80"/>
            <w:col w:w="5360"/>
          </w:cols>
          <w:pgMar w:left="240" w:top="661" w:right="239" w:bottom="1440" w:gutter="0" w:footer="0" w:header="0"/>
          <w:type w:val="continuous"/>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2018,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10, 2018</w:t>
      </w: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2018,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10, 2018</w:t>
      </w: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2"/>
    </w:lvl>
  </w:abstractNum>
  <w:abstractNum w:abstractNumId="5">
    <w:nsid w:val="519B500D"/>
    <w:multiLevelType w:val="hybridMultilevel"/>
    <w:lvl w:ilvl="0">
      <w:lvlJc w:val="left"/>
      <w:lvlText w:val="%1)"/>
      <w:numFmt w:val="lowerLetter"/>
      <w:start w:val="3"/>
    </w:lvl>
  </w:abstractNum>
  <w:abstractNum w:abstractNumId="6">
    <w:nsid w:val="431BD7B7"/>
    <w:multiLevelType w:val="hybridMultilevel"/>
    <w:lvl w:ilvl="0">
      <w:lvlJc w:val="left"/>
      <w:lvlText w:val="(%1)"/>
      <w:numFmt w:val="lowerLetter"/>
      <w:start w:val="12"/>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0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6" Type="http://schemas.openxmlformats.org/officeDocument/2006/relationships/hyperlink" Target="http://www.sec.gov/Archives/edgar/data/1378140/000149315218011541/ex10-1.htm" TargetMode="External"/><Relationship Id="rId57" Type="http://schemas.openxmlformats.org/officeDocument/2006/relationships/hyperlink" Target="http://www.sec.gov/Archives/edgar/data/1378140/000149315218011541/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2019-12-28T17:23:14Z</dcterms:created>
  <dcterms:modified xsi:type="dcterms:W3CDTF">2019-12-28T17:23:14Z</dcterms:modified>
</cp:coreProperties>
</file>