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5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right="1020" w:firstLine="332"/>
        <w:spacing w:after="0" w:line="501" w:lineRule="auto"/>
        <w:tabs>
          <w:tab w:leader="none" w:pos="124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July 31, 2014</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1260" w:hanging="928"/>
        <w:spacing w:after="0"/>
        <w:tabs>
          <w:tab w:leader="none" w:pos="12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37" w:lineRule="exact"/>
        <w:rPr>
          <w:sz w:val="24"/>
          <w:szCs w:val="24"/>
          <w:color w:val="auto"/>
        </w:rPr>
      </w:pPr>
    </w:p>
    <w:p>
      <w:pPr>
        <w:spacing w:after="0"/>
        <w:tabs>
          <w:tab w:leader="none" w:pos="3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1578610</wp:posOffset>
            </wp:positionH>
            <wp:positionV relativeFrom="paragraph">
              <wp:posOffset>-7620</wp:posOffset>
            </wp:positionV>
            <wp:extent cx="1295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001-33417</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OCEAN POWER TECHNOLOGIES, INC.</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450" w:right="239" w:bottom="1440" w:gutter="0" w:footer="0" w:header="0"/>
        </w:sectPr>
      </w:pPr>
    </w:p>
    <w:p>
      <w:pPr>
        <w:spacing w:after="0" w:line="20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6"/>
          <w:szCs w:val="16"/>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22-2535818</w:t>
      </w:r>
    </w:p>
    <w:p>
      <w:pPr>
        <w:spacing w:after="0" w:line="27" w:lineRule="exact"/>
        <w:rPr>
          <w:sz w:val="24"/>
          <w:szCs w:val="24"/>
          <w:color w:val="auto"/>
        </w:rPr>
      </w:pPr>
    </w:p>
    <w:p>
      <w:pPr>
        <w:jc w:val="center"/>
        <w:ind w:right="146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450" w:right="23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1590 REED ROAD, PENNINGTON, NJ 08534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730-0400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450" w:right="239" w:bottom="1440" w:gutter="0" w:footer="0" w:header="0"/>
          <w:type w:val="continuous"/>
        </w:sectPr>
      </w:pPr>
    </w:p>
    <w:p>
      <w:pPr>
        <w:spacing w:after="0" w:line="330" w:lineRule="exact"/>
        <w:rPr>
          <w:sz w:val="24"/>
          <w:szCs w:val="24"/>
          <w:color w:val="auto"/>
        </w:rPr>
      </w:pPr>
    </w:p>
    <w:p>
      <w:pPr>
        <w:ind w:left="3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jc w:val="center"/>
        <w:ind w:right="26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69" w:lineRule="exact"/>
        <w:rPr>
          <w:sz w:val="24"/>
          <w:szCs w:val="24"/>
          <w:color w:val="auto"/>
        </w:rPr>
      </w:pPr>
    </w:p>
    <w:p>
      <w:pPr>
        <w:jc w:val="center"/>
        <w:ind w:right="260"/>
        <w:spacing w:after="0"/>
        <w:rPr>
          <w:sz w:val="20"/>
          <w:szCs w:val="20"/>
          <w:color w:val="auto"/>
        </w:rPr>
      </w:pPr>
      <w:r>
        <w:rPr>
          <w:rFonts w:ascii="Arial" w:cs="Arial" w:eastAsia="Arial" w:hAnsi="Arial"/>
          <w:sz w:val="16"/>
          <w:szCs w:val="16"/>
          <w:color w:val="auto"/>
        </w:rPr>
        <w:t>(Do not check if a smaller</w:t>
      </w:r>
    </w:p>
    <w:p>
      <w:pPr>
        <w:spacing w:after="0" w:line="30" w:lineRule="exact"/>
        <w:rPr>
          <w:sz w:val="24"/>
          <w:szCs w:val="24"/>
          <w:color w:val="auto"/>
        </w:rPr>
      </w:pPr>
    </w:p>
    <w:p>
      <w:pPr>
        <w:jc w:val="center"/>
        <w:ind w:right="260"/>
        <w:spacing w:after="0"/>
        <w:rPr>
          <w:sz w:val="20"/>
          <w:szCs w:val="20"/>
          <w:color w:val="auto"/>
        </w:rPr>
      </w:pPr>
      <w:r>
        <w:rPr>
          <w:rFonts w:ascii="Arial" w:cs="Arial" w:eastAsia="Arial" w:hAnsi="Arial"/>
          <w:sz w:val="18"/>
          <w:szCs w:val="18"/>
          <w:color w:val="auto"/>
        </w:rPr>
        <w:t>reporting company)</w:t>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680" w:lineRule="exact"/>
        <w:rPr>
          <w:sz w:val="24"/>
          <w:szCs w:val="24"/>
          <w:color w:val="auto"/>
        </w:rPr>
      </w:pPr>
    </w:p>
    <w:p>
      <w:pPr>
        <w:sectPr>
          <w:pgSz w:w="11900" w:h="16838" w:orient="portrait"/>
          <w:cols w:equalWidth="0" w:num="4">
            <w:col w:w="2700" w:space="720"/>
            <w:col w:w="2080" w:space="720"/>
            <w:col w:w="2140" w:space="720"/>
            <w:col w:w="2340"/>
          </w:cols>
          <w:pgMar w:left="240" w:top="450" w:right="2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As of August 31, 2014, the number of outstanding shares of common stock of the registrant was 17,584,257.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OCEAN POWER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JULY 31, 2014</w:t>
      </w: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5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900" w:type="dxa"/>
            <w:vAlign w:val="bottom"/>
            <w:gridSpan w:val="20"/>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PART I — FINANCIAL INFORMATION</w:t>
            </w:r>
          </w:p>
        </w:tc>
        <w:tc>
          <w:tcPr>
            <w:tcW w:w="150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74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auto"/>
              </w:rPr>
              <w:t>Item 1. Financial Statements (unaudited):</w:t>
            </w:r>
          </w:p>
        </w:tc>
        <w:tc>
          <w:tcPr>
            <w:tcW w:w="1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58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auto"/>
              </w:rPr>
              <w:t>Consolidated Balance Sheets as of July 31, 2014 and April 30, 2014</w:t>
            </w:r>
          </w:p>
        </w:tc>
        <w:tc>
          <w:tcPr>
            <w:tcW w:w="1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58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auto"/>
              </w:rPr>
              <w:t>Consolidated Statements of Operations for the Three Months Ended July 31, 2014 and 2013</w:t>
            </w:r>
          </w:p>
        </w:tc>
        <w:tc>
          <w:tcPr>
            <w:tcW w:w="1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58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auto"/>
              </w:rPr>
              <w:t>Consolidated Statements of Comprehensive Loss for the Three Months Ended July 31, 2014 and 2013</w:t>
            </w:r>
          </w:p>
        </w:tc>
        <w:tc>
          <w:tcPr>
            <w:tcW w:w="1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58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auto"/>
              </w:rPr>
              <w:t>Consolidated Statements of Cash Flows for the Three Months Ended July 31, 2014 and 2013</w:t>
            </w:r>
          </w:p>
        </w:tc>
        <w:tc>
          <w:tcPr>
            <w:tcW w:w="1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58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auto"/>
              </w:rPr>
              <w:t>Consolidated Statements of Stockholders' Equity for the Three Months Ended July 31, 2014 and 2013</w:t>
            </w:r>
          </w:p>
        </w:tc>
        <w:tc>
          <w:tcPr>
            <w:tcW w:w="1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58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auto"/>
              </w:rPr>
              <w:t>Notes to Consolidated Financial Statements</w:t>
            </w:r>
          </w:p>
        </w:tc>
        <w:tc>
          <w:tcPr>
            <w:tcW w:w="1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74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1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74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auto"/>
              </w:rPr>
              <w:t>Item 3. Quantitative and Qualitative Disclosures About Market Risk</w:t>
            </w:r>
          </w:p>
        </w:tc>
        <w:tc>
          <w:tcPr>
            <w:tcW w:w="1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74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auto"/>
              </w:rPr>
              <w:t>Item 4. Controls and Procedures</w:t>
            </w:r>
          </w:p>
        </w:tc>
        <w:tc>
          <w:tcPr>
            <w:tcW w:w="1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90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II — OTHER INFORMATION</w:t>
            </w:r>
          </w:p>
        </w:tc>
        <w:tc>
          <w:tcPr>
            <w:tcW w:w="1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74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auto"/>
              </w:rPr>
              <w:t>Item 1. Legal Proceedings</w:t>
            </w:r>
          </w:p>
        </w:tc>
        <w:tc>
          <w:tcPr>
            <w:tcW w:w="1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74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auto"/>
              </w:rPr>
              <w:t>Item 1A. Risk Factors</w:t>
            </w:r>
          </w:p>
        </w:tc>
        <w:tc>
          <w:tcPr>
            <w:tcW w:w="1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74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auto"/>
              </w:rPr>
              <w:t>Item 2. Unregistered Sales of Equity Securities and Use of Proceeds</w:t>
            </w:r>
          </w:p>
        </w:tc>
        <w:tc>
          <w:tcPr>
            <w:tcW w:w="1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74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auto"/>
              </w:rPr>
              <w:t>Item 3. Defaults Upon Senior Securities</w:t>
            </w:r>
          </w:p>
        </w:tc>
        <w:tc>
          <w:tcPr>
            <w:tcW w:w="1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74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auto"/>
              </w:rPr>
              <w:t>Item 4. Mine Safety Disclosures</w:t>
            </w:r>
          </w:p>
        </w:tc>
        <w:tc>
          <w:tcPr>
            <w:tcW w:w="1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74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auto"/>
              </w:rPr>
              <w:t>Item 5. Other Information</w:t>
            </w:r>
          </w:p>
        </w:tc>
        <w:tc>
          <w:tcPr>
            <w:tcW w:w="1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74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auto"/>
              </w:rPr>
              <w:t>Item 6. Exhibits</w:t>
            </w:r>
          </w:p>
        </w:tc>
        <w:tc>
          <w:tcPr>
            <w:tcW w:w="1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PowerBuoy</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is a registered trademark of Ocean Power Technologies, Inc. and the Ocean Power Technologies logo is a trademark of Ocean Power Technologies, Inc. All other trademarks appearing in this report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495935</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budgets, projected costs, plans and objectives of management for future operations. The words "may," "continue," "estimate," "intend," "plan," "will," "believe," "project," "expect," "anticipate", “goal” and similar expressions may identify forward-looking statements, but the absence of these words does not necessarily mean that a statement is not forward-looking.</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2014 and elsewhere in this report.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180" w:type="dxa"/>
            <w:vAlign w:val="bottom"/>
          </w:tcPr>
          <w:p>
            <w:pPr>
              <w:jc w:val="center"/>
              <w:ind w:left="2450"/>
              <w:spacing w:after="0"/>
              <w:rPr>
                <w:sz w:val="20"/>
                <w:szCs w:val="20"/>
                <w:color w:val="auto"/>
              </w:rPr>
            </w:pPr>
            <w:r>
              <w:rPr>
                <w:rFonts w:ascii="Arial" w:cs="Arial" w:eastAsia="Arial" w:hAnsi="Arial"/>
                <w:sz w:val="18"/>
                <w:szCs w:val="18"/>
                <w:b w:val="1"/>
                <w:bCs w:val="1"/>
                <w:color w:val="auto"/>
              </w:rPr>
              <w:t>PART I — FINANCIAL INFORMATION</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1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STATEMENTS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180" w:type="dxa"/>
            <w:vAlign w:val="bottom"/>
          </w:tcPr>
          <w:p>
            <w:pPr>
              <w:jc w:val="center"/>
              <w:ind w:left="245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180" w:type="dxa"/>
            <w:vAlign w:val="bottom"/>
          </w:tcPr>
          <w:p>
            <w:pPr>
              <w:jc w:val="center"/>
              <w:ind w:left="2450"/>
              <w:spacing w:after="0"/>
              <w:rPr>
                <w:sz w:val="20"/>
                <w:szCs w:val="20"/>
                <w:color w:val="auto"/>
              </w:rPr>
            </w:pPr>
            <w:r>
              <w:rPr>
                <w:rFonts w:ascii="Arial" w:cs="Arial" w:eastAsia="Arial" w:hAnsi="Arial"/>
                <w:sz w:val="18"/>
                <w:szCs w:val="18"/>
                <w:b w:val="1"/>
                <w:bCs w:val="1"/>
                <w:color w:val="auto"/>
                <w:w w:val="87"/>
              </w:rPr>
              <w:t>Consolidated Balance Sheets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July 31, 2014</w:t>
            </w:r>
          </w:p>
        </w:tc>
        <w:tc>
          <w:tcPr>
            <w:tcW w:w="1660" w:type="dxa"/>
            <w:vAlign w:val="bottom"/>
            <w:gridSpan w:val="4"/>
          </w:tcPr>
          <w:p>
            <w:pPr>
              <w:ind w:left="80"/>
              <w:spacing w:after="0"/>
              <w:rPr>
                <w:sz w:val="20"/>
                <w:szCs w:val="20"/>
                <w:color w:val="auto"/>
              </w:rPr>
            </w:pPr>
            <w:r>
              <w:rPr>
                <w:rFonts w:ascii="Arial" w:cs="Arial" w:eastAsia="Arial" w:hAnsi="Arial"/>
                <w:sz w:val="18"/>
                <w:szCs w:val="18"/>
                <w:b w:val="1"/>
                <w:bCs w:val="1"/>
                <w:color w:val="auto"/>
              </w:rPr>
              <w:t>April 30,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180" w:type="dxa"/>
            <w:vAlign w:val="bottom"/>
            <w:shd w:val="clear" w:color="auto" w:fill="CCEEFF"/>
          </w:tcPr>
          <w:p>
            <w:pPr>
              <w:jc w:val="center"/>
              <w:ind w:right="790"/>
              <w:spacing w:after="0"/>
              <w:rPr>
                <w:sz w:val="20"/>
                <w:szCs w:val="20"/>
                <w:color w:val="auto"/>
              </w:rPr>
            </w:pPr>
            <w:r>
              <w:rPr>
                <w:rFonts w:ascii="Arial" w:cs="Arial" w:eastAsia="Arial" w:hAnsi="Arial"/>
                <w:sz w:val="18"/>
                <w:szCs w:val="18"/>
                <w:b w:val="1"/>
                <w:bCs w:val="1"/>
                <w:color w:val="auto"/>
                <w:w w:val="91"/>
              </w:rPr>
              <w:t>ASSETS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7,627,650</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13,858,659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17,244,357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14,493,881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6,537,037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6,124,960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308,731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Unbilled receivables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491,632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948,630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8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32,849,306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35,392,018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285,450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317,513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w w:val="85"/>
              </w:rPr>
              <w:t>Patents, net</w:t>
            </w:r>
          </w:p>
        </w:tc>
        <w:tc>
          <w:tcPr>
            <w:tcW w:w="7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621,224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1,089,656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1,221,696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373,889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325,310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35,219,525</w:t>
            </w:r>
          </w:p>
        </w:tc>
        <w:tc>
          <w:tcPr>
            <w:tcW w:w="12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38,084,835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7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180" w:type="dxa"/>
            <w:vAlign w:val="bottom"/>
            <w:shd w:val="clear" w:color="auto" w:fill="CCEEFF"/>
          </w:tcPr>
          <w:p>
            <w:pPr>
              <w:jc w:val="center"/>
              <w:ind w:right="79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660,581</w:t>
            </w:r>
          </w:p>
        </w:tc>
        <w:tc>
          <w:tcPr>
            <w:tcW w:w="120" w:type="dxa"/>
            <w:vAlign w:val="bottom"/>
          </w:tcPr>
          <w:p>
            <w:pPr>
              <w:spacing w:after="0"/>
              <w:rPr>
                <w:sz w:val="18"/>
                <w:szCs w:val="18"/>
                <w:color w:val="auto"/>
              </w:rPr>
            </w:pPr>
          </w:p>
        </w:tc>
        <w:tc>
          <w:tcPr>
            <w:tcW w:w="3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501,397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3,739,223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2,931,239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Advance payment received from customer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5,237,037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4,709,055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Unearned revenues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8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9,736,841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9,234,138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credits</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10,461,841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9,984,138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Ocean Power Technologies, Inc. stockholders’ equity:</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Preferred stock, $0.001 par value; authorized 5,000,000 shares, none issued or outstanding</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89"/>
              </w:rPr>
              <w:t>Common stock, $0.001 par value; authorized 105,000,000 shares, issued 17,584,257 and 17,593,637 shares,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respectively</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17,584</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Treasury stock, at cost; 38,658 and 37,852 shares, respectively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(132,016)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(130,707)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180,467,630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180,454,341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(154,923,255)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(151,640,503)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(227,711)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(225,733)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Ocean Power Technologies, Inc. stockholders’ equity</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25,202,232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28,474,992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 in Ocean Power Technologies (Australasia) Pty Ltd.</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(444,548)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(374,295)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equity</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24,757,684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28,100,697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35,219,525</w:t>
            </w:r>
          </w:p>
        </w:tc>
        <w:tc>
          <w:tcPr>
            <w:tcW w:w="1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38,084,835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653"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20" w:type="dxa"/>
            <w:vAlign w:val="bottom"/>
          </w:tcPr>
          <w:p>
            <w:pPr>
              <w:jc w:val="center"/>
              <w:ind w:left="329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020" w:type="dxa"/>
            <w:vAlign w:val="bottom"/>
          </w:tcPr>
          <w:p>
            <w:pPr>
              <w:jc w:val="center"/>
              <w:ind w:left="329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tcPr>
          <w:p>
            <w:pPr>
              <w:jc w:val="center"/>
              <w:ind w:left="3270"/>
              <w:spacing w:after="0"/>
              <w:rPr>
                <w:sz w:val="20"/>
                <w:szCs w:val="20"/>
                <w:color w:val="auto"/>
              </w:rPr>
            </w:pPr>
            <w:r>
              <w:rPr>
                <w:rFonts w:ascii="Arial" w:cs="Arial" w:eastAsia="Arial" w:hAnsi="Arial"/>
                <w:sz w:val="18"/>
                <w:szCs w:val="18"/>
                <w:b w:val="1"/>
                <w:bCs w:val="1"/>
                <w:color w:val="auto"/>
                <w:w w:val="93"/>
              </w:rPr>
              <w:t>(Unaudited)</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2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w w:val="97"/>
              </w:rPr>
              <w:t>Three Months Ended July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1,540,528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Cost of revenues</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1,967,164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460,376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Gross (loss) profit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(426,636)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development (recoveries) costs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1,270,945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3,122,972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2,547,759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3,042,917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3,818,704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Operating loss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(3,469,553)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(3,818,153)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(58,620)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Other income</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 gain</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21,770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0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(3,348,831)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(3,796,025)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Less: Net loss attributable to the noncontrolling interest in Ocean Power Technologies (Australasia) Pty Ltd.</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66,079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Ocean Power Technologies, Inc</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(3,282,752)</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(3,749,970)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(0.19)</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80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used to compute basic and diluted net loss per share</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17,464,683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10,321,457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2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w w:val="97"/>
              </w:rPr>
              <w:t>Three Months Ended July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(3,348,831)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0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(3,354,983)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(3,792,696)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ind w:left="160"/>
              <w:spacing w:after="0" w:line="201" w:lineRule="exact"/>
              <w:rPr>
                <w:sz w:val="20"/>
                <w:szCs w:val="20"/>
                <w:color w:val="auto"/>
              </w:rPr>
            </w:pPr>
            <w:r>
              <w:rPr>
                <w:rFonts w:ascii="Arial" w:cs="Arial" w:eastAsia="Arial" w:hAnsi="Arial"/>
                <w:sz w:val="18"/>
                <w:szCs w:val="18"/>
                <w:color w:val="auto"/>
                <w:w w:val="94"/>
              </w:rPr>
              <w:t>Comprehensive loss attributable to the noncontrolling interest in Ocean Power Technologies (Australasia)</w:t>
            </w:r>
          </w:p>
        </w:tc>
        <w:tc>
          <w:tcPr>
            <w:tcW w:w="28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70,253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23,936</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Pty Ltd.</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spacing w:after="0"/>
              <w:rPr>
                <w:sz w:val="19"/>
                <w:szCs w:val="19"/>
                <w:color w:val="auto"/>
              </w:rPr>
            </w:pPr>
          </w:p>
        </w:tc>
        <w:tc>
          <w:tcPr>
            <w:tcW w:w="400" w:type="dxa"/>
            <w:vAlign w:val="bottom"/>
            <w:gridSpan w:val="2"/>
            <w:shd w:val="clear" w:color="auto" w:fill="CCEEFF"/>
          </w:tcPr>
          <w:p>
            <w:pPr>
              <w:spacing w:after="0"/>
              <w:rPr>
                <w:sz w:val="19"/>
                <w:szCs w:val="19"/>
                <w:color w:val="auto"/>
              </w:rPr>
            </w:pPr>
          </w:p>
        </w:tc>
        <w:tc>
          <w:tcPr>
            <w:tcW w:w="1260" w:type="dxa"/>
            <w:vAlign w:val="bottom"/>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Comprehensive loss attributable to Ocean Power Technologies, Inc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(3,284,730)</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(3,768,760)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40" w:type="dxa"/>
            <w:vAlign w:val="bottom"/>
          </w:tcPr>
          <w:p>
            <w:pPr>
              <w:jc w:val="center"/>
              <w:ind w:left="347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840" w:type="dxa"/>
            <w:vAlign w:val="bottom"/>
          </w:tcPr>
          <w:p>
            <w:pPr>
              <w:jc w:val="center"/>
              <w:ind w:left="345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40" w:type="dxa"/>
            <w:vAlign w:val="bottom"/>
          </w:tcPr>
          <w:p>
            <w:pPr>
              <w:jc w:val="center"/>
              <w:ind w:left="3450"/>
              <w:spacing w:after="0"/>
              <w:rPr>
                <w:sz w:val="20"/>
                <w:szCs w:val="20"/>
                <w:color w:val="auto"/>
              </w:rPr>
            </w:pPr>
            <w:r>
              <w:rPr>
                <w:rFonts w:ascii="Arial" w:cs="Arial" w:eastAsia="Arial" w:hAnsi="Arial"/>
                <w:sz w:val="18"/>
                <w:szCs w:val="18"/>
                <w:b w:val="1"/>
                <w:bCs w:val="1"/>
                <w:color w:val="auto"/>
                <w:w w:val="93"/>
              </w:rPr>
              <w:t>(Unaudited)</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2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w w:val="97"/>
              </w:rPr>
              <w:t>Three Months Ended July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(3,348,831)</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(3,796,025)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Foreign exchange loss (gain)</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243,672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107,237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Treasury note premium amortization</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80"/>
              <w:spacing w:after="0"/>
              <w:rPr>
                <w:sz w:val="20"/>
                <w:szCs w:val="20"/>
                <w:color w:val="auto"/>
              </w:rPr>
            </w:pPr>
            <w:r>
              <w:rPr>
                <w:rFonts w:ascii="Arial" w:cs="Arial" w:eastAsia="Arial" w:hAnsi="Arial"/>
                <w:sz w:val="18"/>
                <w:szCs w:val="18"/>
                <w:color w:val="auto"/>
              </w:rPr>
              <w:t>Compensation expense related to stock option grants and restricted stock</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12,639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229,655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308,731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472,480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Unbilled receivables</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(454,222)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(378,606)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(224,240)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noncurrent assets</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(46,816)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153,812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562,092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800,888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rPr>
              <w:t>Advanced payment from ARENA</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527,982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Unearned revenues</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(992,447)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rPr>
              <w:t>Long-term unearned revenues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284,749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80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(3,167,540)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(3,077,530)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Purchases of marketable securities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(11,747,042)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(6,998,108)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Maturities of marketable securities</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8,996,566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10,993,172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(255,000)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equipment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provided by investing activities</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(3,006,517)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4,080,542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issuance costs</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Repayment of debt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treasury stock</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(25,668)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(31,814)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(decrease) increase in cash and cash equivalents</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(6,231,009)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964,863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13,858,659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6,372,788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gridSpan w:val="2"/>
          </w:tcPr>
          <w:p>
            <w:pPr>
              <w:spacing w:after="0"/>
              <w:rPr>
                <w:sz w:val="18"/>
                <w:szCs w:val="18"/>
                <w:color w:val="auto"/>
              </w:rPr>
            </w:pPr>
          </w:p>
        </w:tc>
        <w:tc>
          <w:tcPr>
            <w:tcW w:w="54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7,627,650</w:t>
            </w:r>
          </w:p>
        </w:tc>
        <w:tc>
          <w:tcPr>
            <w:tcW w:w="14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7,337,651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8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Capitalized purchases of equipment financed through accounts payable and accrued expenses</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60" w:type="dxa"/>
            <w:vAlign w:val="bottom"/>
            <w:gridSpan w:val="5"/>
            <w:vMerge w:val="restart"/>
          </w:tcPr>
          <w:p>
            <w:pPr>
              <w:jc w:val="right"/>
              <w:ind w:right="480"/>
              <w:spacing w:after="0"/>
              <w:rPr>
                <w:sz w:val="20"/>
                <w:szCs w:val="20"/>
                <w:color w:val="auto"/>
              </w:rPr>
            </w:pPr>
            <w:r>
              <w:rPr>
                <w:rFonts w:ascii="Arial" w:cs="Arial" w:eastAsia="Arial" w:hAnsi="Arial"/>
                <w:sz w:val="18"/>
                <w:szCs w:val="18"/>
                <w:b w:val="1"/>
                <w:bCs w:val="1"/>
                <w:color w:val="auto"/>
              </w:rPr>
              <w:t>Common Shares</w:t>
            </w:r>
          </w:p>
        </w:tc>
        <w:tc>
          <w:tcPr>
            <w:tcW w:w="2020" w:type="dxa"/>
            <w:vAlign w:val="bottom"/>
            <w:gridSpan w:val="5"/>
            <w:vMerge w:val="restart"/>
          </w:tcPr>
          <w:p>
            <w:pPr>
              <w:jc w:val="right"/>
              <w:ind w:right="480"/>
              <w:spacing w:after="0"/>
              <w:rPr>
                <w:sz w:val="20"/>
                <w:szCs w:val="20"/>
                <w:color w:val="auto"/>
              </w:rPr>
            </w:pPr>
            <w:r>
              <w:rPr>
                <w:rFonts w:ascii="Arial" w:cs="Arial" w:eastAsia="Arial" w:hAnsi="Arial"/>
                <w:sz w:val="18"/>
                <w:szCs w:val="18"/>
                <w:b w:val="1"/>
                <w:bCs w:val="1"/>
                <w:color w:val="auto"/>
              </w:rPr>
              <w:t>Treasury Shares</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Additional</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60" w:type="dxa"/>
            <w:vAlign w:val="bottom"/>
            <w:gridSpan w:val="5"/>
            <w:vMerge w:val="continue"/>
          </w:tcPr>
          <w:p>
            <w:pPr>
              <w:spacing w:after="0"/>
              <w:rPr>
                <w:sz w:val="19"/>
                <w:szCs w:val="19"/>
                <w:color w:val="auto"/>
              </w:rPr>
            </w:pPr>
          </w:p>
        </w:tc>
        <w:tc>
          <w:tcPr>
            <w:tcW w:w="2020" w:type="dxa"/>
            <w:vAlign w:val="bottom"/>
            <w:gridSpan w:val="5"/>
            <w:vMerge w:val="continue"/>
          </w:tcPr>
          <w:p>
            <w:pPr>
              <w:spacing w:after="0"/>
              <w:rPr>
                <w:sz w:val="19"/>
                <w:szCs w:val="19"/>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Paid-In</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Accumulated</w:t>
            </w:r>
          </w:p>
        </w:tc>
        <w:tc>
          <w:tcPr>
            <w:tcW w:w="12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Noncontrolling</w:t>
            </w: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Amount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Amount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Capital</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Deficit</w:t>
            </w:r>
          </w:p>
        </w:tc>
        <w:tc>
          <w:tcPr>
            <w:tcW w:w="12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5"/>
              </w:rPr>
              <w:t>Loss</w:t>
            </w:r>
          </w:p>
        </w:tc>
        <w:tc>
          <w:tcPr>
            <w:tcW w:w="100" w:type="dxa"/>
            <w:vAlign w:val="bottom"/>
          </w:tcPr>
          <w:p>
            <w:pPr>
              <w:spacing w:after="0"/>
              <w:rPr>
                <w:sz w:val="20"/>
                <w:szCs w:val="20"/>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Interest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April</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30, 2013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10,403,215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10,403</w:t>
            </w: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(33,771)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(123,893)</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159,155,365</w:t>
            </w: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(140,671,311)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(79,786)</w:t>
            </w: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(169,521)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18,121,257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(3,749,970)</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(46,055)</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(3,796,025)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based</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220,109</w:t>
            </w: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220,109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(forfeiture) of</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stock, net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(8,417)</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9,546</w:t>
            </w: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Acquisition of</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treasury stock</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(4,081)</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(6,814)</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w w:val="93"/>
              </w:rPr>
              <w:t>comprehensive</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income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(18,790)</w:t>
            </w: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22,119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1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July</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7"/>
              </w:rPr>
              <w:t>10,394,798</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10,395</w:t>
            </w:r>
          </w:p>
        </w:tc>
        <w:tc>
          <w:tcPr>
            <w:tcW w:w="98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(37,852)</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(130,707)</w:t>
            </w: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97"/>
              </w:rPr>
              <w:t>159,385,020</w:t>
            </w:r>
          </w:p>
        </w:tc>
        <w:tc>
          <w:tcPr>
            <w:tcW w:w="12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8"/>
              </w:rPr>
              <w:t>(144,421,281)</w:t>
            </w:r>
          </w:p>
        </w:tc>
        <w:tc>
          <w:tcPr>
            <w:tcW w:w="12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(98,576)</w:t>
            </w:r>
          </w:p>
        </w:tc>
        <w:tc>
          <w:tcPr>
            <w:tcW w:w="14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(193,457)</w:t>
            </w: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7"/>
              </w:rPr>
              <w:t>14,551,394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6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31, 2013</w:t>
            </w:r>
          </w:p>
        </w:tc>
        <w:tc>
          <w:tcPr>
            <w:tcW w:w="106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980" w:type="dxa"/>
            <w:vAlign w:val="bottom"/>
            <w:tcBorders>
              <w:right w:val="single" w:sz="8" w:color="CCEEFF"/>
            </w:tcBorders>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240" w:type="dxa"/>
            <w:vAlign w:val="bottom"/>
            <w:tcBorders>
              <w:right w:val="single" w:sz="8" w:color="CCEEFF"/>
            </w:tcBorders>
            <w:gridSpan w:val="2"/>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440" w:type="dxa"/>
            <w:vAlign w:val="bottom"/>
            <w:gridSpan w:val="3"/>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April</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30, 2014</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17,593,637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17,594</w:t>
            </w: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(37,852)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(130,707)</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180,454,341</w:t>
            </w: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(151,640,503)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(225,733)</w:t>
            </w: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(374,295)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28,100,697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1440" w:type="dxa"/>
            <w:vAlign w:val="bottom"/>
            <w:gridSpan w:val="3"/>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(3,282,752)</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(66,079)</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(3,348,831)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based</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714</w:t>
            </w: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(forfeiture) of</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stock, net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(9,380)</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11,925</w:t>
            </w: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Acquisition of</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treasury stock</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(1,309)</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Sale of stock</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650</w:t>
            </w: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w w:val="93"/>
              </w:rPr>
              <w:t>comprehensive</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(1,978)</w:t>
            </w: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(4,174)</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1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July</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17,584,257</w:t>
            </w:r>
          </w:p>
        </w:tc>
        <w:tc>
          <w:tcPr>
            <w:tcW w:w="160" w:type="dxa"/>
            <w:vAlign w:val="bottom"/>
            <w:vMerge w:val="restart"/>
            <w:shd w:val="clear" w:color="auto" w:fill="CCEEFF"/>
          </w:tcPr>
          <w:p>
            <w:pPr>
              <w:spacing w:after="0"/>
              <w:rPr>
                <w:sz w:val="16"/>
                <w:szCs w:val="16"/>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17,584</w:t>
            </w:r>
          </w:p>
        </w:tc>
        <w:tc>
          <w:tcPr>
            <w:tcW w:w="98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(38,658)</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(132,016)</w:t>
            </w: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97"/>
              </w:rPr>
              <w:t>180,467,630</w:t>
            </w:r>
          </w:p>
        </w:tc>
        <w:tc>
          <w:tcPr>
            <w:tcW w:w="12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8"/>
              </w:rPr>
              <w:t>(154,923,255)</w:t>
            </w:r>
          </w:p>
        </w:tc>
        <w:tc>
          <w:tcPr>
            <w:tcW w:w="12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(227,711)</w:t>
            </w:r>
          </w:p>
        </w:tc>
        <w:tc>
          <w:tcPr>
            <w:tcW w:w="14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(444,548)</w:t>
            </w: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7"/>
              </w:rPr>
              <w:t>24,757,684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31, 2014</w:t>
            </w:r>
          </w:p>
        </w:tc>
        <w:tc>
          <w:tcPr>
            <w:tcW w:w="90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980" w:type="dxa"/>
            <w:vAlign w:val="bottom"/>
            <w:tcBorders>
              <w:right w:val="single" w:sz="8" w:color="CCEEFF"/>
            </w:tcBorders>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240" w:type="dxa"/>
            <w:vAlign w:val="bottom"/>
            <w:tcBorders>
              <w:right w:val="single" w:sz="8" w:color="CCEEFF"/>
            </w:tcBorders>
            <w:gridSpan w:val="2"/>
            <w:vMerge w:val="continue"/>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440" w:type="dxa"/>
            <w:vAlign w:val="bottom"/>
            <w:gridSpan w:val="3"/>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Basis of Presentation and Liquidity</w:t>
      </w:r>
    </w:p>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5"/>
          <w:szCs w:val="15"/>
          <w:b w:val="1"/>
          <w:bCs w:val="1"/>
          <w:i w:val="1"/>
          <w:iCs w:val="1"/>
          <w:color w:val="auto"/>
        </w:rPr>
        <w:t>Background</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Ocean Power Technologies, Inc. (the “Company”) was incorporated in 1984 in New Jersey, commenced business operations in 1994 and re-incorporated in Delaware in 2007. The Company develops and is seeking to commercialize proprietary systems that generate electricity by harnessing the renewable energy of ocean waves. The Company markets its products in the United States and internationally. Since fiscal 2002, government agencies have accounted for a significant portion of the Company’s revenues. These revenues were largely for the support of product development efforts. The Company’s goal is that an increased portion of its revenues be from the sale of products and maintenance services, as compared to revenue to support its product development efforts. As the Company continues to advance its proprietary technologies, it expects to continue to have a net decrease in cash from operating activities unless and until it achieves positive cash flow from the planned commercialization of its products and services.</w:t>
      </w:r>
    </w:p>
    <w:p>
      <w:pPr>
        <w:spacing w:after="0" w:line="16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Basis of Presentation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generally accepted accounting principles for interim financial information and with the instructions to Form 10-Q and Article 10 of Regulation S-X. Accordingly, they do not include all the information and footnotes required by generally accepted accounting principles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2014 filed with the Securities and Exchange Commission (“SEC”) and elsewhere in this Form 10-Q.</w:t>
      </w:r>
    </w:p>
    <w:p>
      <w:pPr>
        <w:spacing w:after="0" w:line="18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has incurred net losses and negative operating cash flows since inception. As of July 31, 2014, the Company had an accumulated deficit of $154.9 million. As of July 31, 2014, the Company’s cash and cash equivalents and marketable securities balance was approximately $24.9 million. Based upon the Company’s cash and cash equivalents and marketable securities balance as of July 31, 2014, the Company believes that it will be able to finance its capital requirements and operations through at least the fourth calendar quarter of 2015. In addition, as of July 31, 2014, the Company’s restricted cash balance was approximately $7.6 million, which included $5.2 million that was subsequently paid to ARENA in August 2014. See Note 2(f).</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2014 and 2013, the Company continued to make investments in ongoing product development efforts in anticipation of future growth. The Company’s future results of operations involve significant risks and uncertainties. Factors that could affect the Company’s future operating results and cause actual results to vary materially from expectations include, but are not limited to, risks from insufficiencies of capital, technology development, scalability of technology and production, dependence on skills of key personnel, concentration of customers and suppliers, performance of PowerBuoys, deployment risks and laws, regulations and permitting. In order to complete its future growth strategy, the Company will require additional equity and/or debt financing. There is no assurance that additional equity and/or debt financing will be available to the Company as needed. If sufficient financing is not obtained by the Company, we may be required to further curtail or limit certain product development costs, and/or selling, general and administrative activities in order to reduce our cash expenditures.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2013, we established an at the market offering facility (the “ATM Facility”) with Ascendiant Capital Markets, LLC (the “Manager”) via an At the Market Offering Agreement (the “ATM Agreement”). Under the ATM Agreement, we offered and sold shares of our common stock from time to time through the Manager, acting as sales agent, in ordinary brokerage transactions at prevailing market prices. Under the ATM Facility, we issued 3,306,334 shares of our common stock at an average price to the public of $3.02 per share. Net proceeds from the ATM Facility were approximately $9,698,000 during fiscal 2014.</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Also in fiscal 2014, we entered into an underwriting agreement (the “Underwriting Agreement”) with Roth Capital Partners, LLC (the “Underwriter”) on April 4, 2014, with respect to the issuance and sale in an underwritten public offering (the “Public Offering”) of an aggregate of 3,800,000 shares of our common stock at a price to the public of $3.10 per share. The Underwriting Agreement contained customary representations, warranties and agreements by us, customary conditions to closing and indemnification obligations, and a 90 day lock-up period that limited transactions in our common stock by us. Net proceeds from the Public Offering were approximately $10,828,000.</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Form S-3 limits the aggregate market value of securities that we are permitted to offer in any 12-month period under Form S-3, whether under the ATM Agreement, the Underwriting Agreement or otherwise, to one third of our public float. Given the fiscal 2014 share sales, we fully utilized the ATM Agreement and reached the applicable limit under Form S-3. Of the $40 million authorized under the S-3 Shelf, approximately $18.2 million remains available for issuance. During the three months ended July 31, 2014 there were no proceeds from the sale of stock under the S-3 Shelf.</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Consolidation and Cost Method Investment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consolidated financial statements include the accounts of the Company and its majority-owned subsidiaries. All significant intercompany balances and transactions have been eliminated in consolidation. Participation of stockholders other than the Company in the net assets and in the earnings or losses of a consolidated subsidiary is reflected as a noncontrolling interest in the Company's Consolidated Balance Sheets and Statements of Operations, which adjusts the Company's consolidated results of operations to reflect only the Company's share of the earnings or losses of the consolidated subsidiary. As of July 31, 2014, there was one noncontrolling interest, consisting of 11.8% of the Company's Australian subsidiary, Ocean Power Technologies (Australasia) Pty. Ltd. (“OPTA”). OPTA owns 100% of Victorian Wave Partners Pty. Ltd. (“VWP”), which is also organized under the laws of Australia.</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Company evaluates its relationships with other entities to identify whether they are variable interest entities, and to assess whether it is the primary beneficiary of such entities. If the determination is made that the Company is the primary beneficiary, then that entity is included in the consolidated financial statements. As of July 31, 2014, there were no such entities.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the recoverability of the carrying amount of property and equipment and patents; valuation allowances for receivables and deferred income tax assets; estimated costs to complete for projects; and percentage of completion of customer contracts for purposes of revenue recognition. Actual results could differ from those estimates. The current economic environment, particularly the macroeconomic pressures in certain European countries, has increased the degree of uncertainty inherent in those estimates and assumptions.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Revenue Recognition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contracts are either cost plus or fixed price contracts. Under cost plus contracts, customers are billed for actual expenses incurred plus an agreed-upon fee. Currently, the Company has two types of fixed price contracts, firm fixed price and cost-sharing. Under firm fixed price contracts, the Company receives an agreed-upon amount for providing products and services specified in the contract. Under cost-sharing contracts, the fixed amount agreed upon with the customer is only intended to fund a portion of the costs on a specific project.</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Generally, the Company recognizes revenue using the percentage-of-completion method based on the ratio of costs incurred to total estimated costs at completion. In certain circumstances, revenue under contracts that have specified milestones or other performance criteria may be recognized only when the customer acknowledges that such criteria have been satisfied. In addition, recognition of revenue (and the related costs) may be deferred for fixed-price contracts until contract completion if the Company is unable to reasonably estimate the total costs of the project prior to completion. These contracts are subject to interpretation and management may make a judgment as to the amount of revenue earned and recorded. Because the Company has a small number of contracts, revisions to the percentage-of-completion determination, management interpretation or delays in meeting performance and contractual criteria or in completing projects may have a significant effect on revenue for the periods involved. Upon anticipating a loss on a contract, the Company recognizes the full amount of the anticipated loss in the current period.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cost plus and firm fixed price contracts, a profit or loss on a project is recognized depending on whether actual costs are more or less than the agreed upon amount. Under cost sharing contracts, an amount corresponding to the revenue is recorded in cost of revenues, resulting in gross profit on these contracts of zero. The Company’s share of the costs is recorded as product development expense.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Unbilled receivables represent expenditures on contracts, plus applicable profit margin, not yet billed. Unbilled receivables are normally billed and collected within one year. Billings made on contracts are recorded as a reduction of unbilled receivables, and to the extent that such billings and cash collections exceed costs incurred plus applicable profit margin, they are recorded as unearned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Most of the Company’s projects are under cost-sharing contracts.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equivalents consist of investments in short-term financial instruments with initial maturities of three months or less from the date of purchase. Cash and cash equivalents include the following:</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July 31, 2014</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April 30, 2014</w:t>
            </w:r>
          </w:p>
        </w:tc>
        <w:tc>
          <w:tcPr>
            <w:tcW w:w="100" w:type="dxa"/>
            <w:vAlign w:val="bottom"/>
          </w:tcPr>
          <w:p>
            <w:pPr>
              <w:spacing w:after="0"/>
              <w:rPr>
                <w:sz w:val="20"/>
                <w:szCs w:val="20"/>
                <w:color w:val="auto"/>
              </w:rPr>
            </w:pPr>
          </w:p>
        </w:tc>
      </w:tr>
      <w:tr>
        <w:trPr>
          <w:trHeight w:val="210"/>
        </w:trPr>
        <w:tc>
          <w:tcPr>
            <w:tcW w:w="6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Checking and savings accounts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2,334,140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1,917,176</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Certificates of deposits and US Treasury obligations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4,749,924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11,499,768</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543,586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441,715</w:t>
            </w:r>
          </w:p>
        </w:tc>
      </w:tr>
      <w:tr>
        <w:trPr>
          <w:trHeight w:val="20"/>
        </w:trPr>
        <w:tc>
          <w:tcPr>
            <w:tcW w:w="68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8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7,627,650</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13,858,659</w:t>
            </w:r>
          </w:p>
        </w:tc>
      </w:tr>
      <w:tr>
        <w:trPr>
          <w:trHeight w:val="20"/>
        </w:trPr>
        <w:tc>
          <w:tcPr>
            <w:tcW w:w="6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Marketable Securities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Marketable securities with original maturities longer than three months but that mature in less than one year from the balance sheet date are classified as current assets. Marketable securities that mature more than one year from the balance sheet date are classified as noncurrent assets. Marketable securities that the Company has the intent and ability to hold to maturity are classified as investments held-to-maturity and are reported at amortized cost. The difference between the acquisition cost and face values of held-to-maturity investments is amortized over the remaining term of the investments and added to or subtracted from the acquisition cost and interest income. As of July 31, 2014 and April 30, 2014, all of the Company’s investments were classified as held-to-maturity.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Restricted Cash and Credit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portion of the Company’s cash is restricted under the terms of three security agreements.</w:t>
      </w:r>
    </w:p>
    <w:p>
      <w:pPr>
        <w:spacing w:after="0" w:line="23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One agreement is between Ocean Power Technologies, Inc. and Barclays Bank. Under this agreement, the cash is on deposit at Barclays Bank and serves as security for letters of credit that are expected to be issued by Barclays Bank on behalf of OPT LTD one of the Company's subsidiaries, under an €800,000 ($964,656) credit facility established by Barclays Bank for OPT LTD. The credit facility is for the issuance of letters of credit and bank guarantees and carries a fee of 1% per annum of the amount of any such obligations issued by Barclays Bank. As of July 31, 2014, there were €278,892 ($373,660) in letters of credit outstanding under this agreement. The credit facility does not have an expiration date, but is cancelable at the discretion of the bank.</w:t>
      </w:r>
    </w:p>
    <w:p>
      <w:pPr>
        <w:spacing w:after="0" w:line="1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second agreement is between Ocean Power Technologies, Inc. and the New Jersey Board of Public Utilities (NJBPU). The Company received a $500,000 recoverable grant award from the NJBPU. Under this arrangement, the Company annually assigns to the NJBPU a certificate of deposit in an amount equal to the outstanding grant balance. See Note 6.</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third agreement concerns three letters of credit issued by Ocean Power Technologies, Inc. for the benefit of the Oregon Department of State Lands. The three letters of credit relate to the removal of certain of the Company’s anchoring and mooring equipment from the seabed off the coast of Oregon. These letters of credit are secured by certificates of deposit with PNC Bank and total $1,200,000. All such letters of credit have a term through October 29, 2014.</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classified the initial grant funding received from the Australian Renewable Energy Agency (“ARENA”) of A$5,595,723 ($5,237,037), which includes an amount required to be submitted as goods and services tax (GST), as restricted cash.</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During the three months ended July 31, 2014, the Company remitted the GST in the amount of A$508,702 ($476,094) to the Australian Tax Office (ATO) in accordance with local tax laws. This amount will be reclaimed from the ATO and is recorded in other current assets as of July 31, 2014. Subsequent to July 31, 2014, the Company returned the initial grant funding received of A$5,595,723 ($5,237,037) and interest of A$109,051 ($102,061) to ARENA in accordance with the Deed Of Variation and Termination of Funding Deed executed between the parties in August 2014.</w:t>
      </w:r>
    </w:p>
    <w:p>
      <w:pPr>
        <w:spacing w:after="0" w:line="167"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31, 2014</w:t>
            </w:r>
          </w:p>
        </w:tc>
        <w:tc>
          <w:tcPr>
            <w:tcW w:w="200" w:type="dxa"/>
            <w:vAlign w:val="bottom"/>
          </w:tcPr>
          <w:p>
            <w:pPr>
              <w:spacing w:after="0"/>
              <w:rPr>
                <w:sz w:val="20"/>
                <w:szCs w:val="20"/>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April 30, 2014</w:t>
            </w:r>
          </w:p>
        </w:tc>
      </w:tr>
      <w:tr>
        <w:trPr>
          <w:trHeight w:val="169"/>
        </w:trPr>
        <w:tc>
          <w:tcPr>
            <w:tcW w:w="614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Current:</w:t>
            </w:r>
          </w:p>
        </w:tc>
        <w:tc>
          <w:tcPr>
            <w:tcW w:w="20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
        </w:trPr>
        <w:tc>
          <w:tcPr>
            <w:tcW w:w="600" w:type="dxa"/>
            <w:vAlign w:val="bottom"/>
            <w:tcBorders>
              <w:top w:val="single" w:sz="8" w:color="auto"/>
            </w:tcBorders>
            <w:shd w:val="clear" w:color="auto" w:fill="CCEEFF"/>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Australian Renewable Energy Agency (ARENA)</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5,237,037</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5,179,960</w:t>
            </w: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NJBPU agreement</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Oregon Department of State Lands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1,200,000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845,000</w:t>
            </w:r>
          </w:p>
        </w:tc>
      </w:tr>
      <w:tr>
        <w:trPr>
          <w:trHeight w:val="250"/>
        </w:trPr>
        <w:tc>
          <w:tcPr>
            <w:tcW w:w="60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6,537,037</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6,124,960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52"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31, 2014</w:t>
            </w:r>
          </w:p>
        </w:tc>
        <w:tc>
          <w:tcPr>
            <w:tcW w:w="200" w:type="dxa"/>
            <w:vAlign w:val="bottom"/>
          </w:tcPr>
          <w:p>
            <w:pPr>
              <w:spacing w:after="0"/>
              <w:rPr>
                <w:sz w:val="20"/>
                <w:szCs w:val="20"/>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April 30, 2014</w:t>
            </w:r>
          </w:p>
        </w:tc>
      </w:tr>
      <w:tr>
        <w:trPr>
          <w:trHeight w:val="190"/>
        </w:trPr>
        <w:tc>
          <w:tcPr>
            <w:tcW w:w="86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1"/>
              </w:rPr>
              <w:t>Long Term:</w:t>
            </w:r>
          </w:p>
        </w:tc>
        <w:tc>
          <w:tcPr>
            <w:tcW w:w="52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Barclay's Bank Agreement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964,656</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996,696</w:t>
            </w: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NJBPU agreement</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225,000</w:t>
            </w:r>
          </w:p>
        </w:tc>
      </w:tr>
      <w:tr>
        <w:trPr>
          <w:trHeight w:val="20"/>
        </w:trPr>
        <w:tc>
          <w:tcPr>
            <w:tcW w:w="860" w:type="dxa"/>
            <w:vAlign w:val="bottom"/>
            <w:shd w:val="clear" w:color="auto" w:fill="CCEEFF"/>
          </w:tcPr>
          <w:p>
            <w:pPr>
              <w:spacing w:after="0" w:line="20" w:lineRule="exact"/>
              <w:rPr>
                <w:sz w:val="1"/>
                <w:szCs w:val="1"/>
                <w:color w:val="auto"/>
              </w:rPr>
            </w:pPr>
          </w:p>
        </w:tc>
        <w:tc>
          <w:tcPr>
            <w:tcW w:w="5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1,089,656</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1,221,696</w:t>
            </w:r>
          </w:p>
        </w:tc>
      </w:tr>
      <w:tr>
        <w:trPr>
          <w:trHeight w:val="20"/>
        </w:trPr>
        <w:tc>
          <w:tcPr>
            <w:tcW w:w="8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Foreign Exchange Gains and Losses</w:t>
      </w:r>
    </w:p>
    <w:p>
      <w:pPr>
        <w:spacing w:after="0" w:line="225"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The Company has invested in certain certificates of deposit and has maintained cash accounts that are denominated in British pounds sterling, Euros and Australian dollars. These amounts are included in cash, cash equivalents, restricted cash and marketable securities on the accompanying consolidated balance sheets. Such positions may result in realized and unrealized foreign exchange gains or losses from exchange rate fluctuations, which gains and losses are included in foreign exchange loss in the accompanying consolidated statements of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6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Three Months Ended July 31,</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0" w:type="dxa"/>
            <w:vAlign w:val="bottom"/>
          </w:tcPr>
          <w:p>
            <w:pPr>
              <w:spacing w:after="0"/>
              <w:rPr>
                <w:sz w:val="20"/>
                <w:szCs w:val="20"/>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 gain</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(5,658)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21,770</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7000" w:type="dxa"/>
            <w:vAlign w:val="bottom"/>
            <w:gridSpan w:val="2"/>
          </w:tcPr>
          <w:p>
            <w:pPr>
              <w:jc w:val="right"/>
              <w:ind w:right="1050"/>
              <w:spacing w:after="0"/>
              <w:rPr>
                <w:sz w:val="20"/>
                <w:szCs w:val="20"/>
                <w:color w:val="auto"/>
              </w:rPr>
            </w:pPr>
            <w:r>
              <w:rPr>
                <w:rFonts w:ascii="Arial" w:cs="Arial" w:eastAsia="Arial" w:hAnsi="Arial"/>
                <w:sz w:val="18"/>
                <w:szCs w:val="18"/>
                <w:color w:val="auto"/>
              </w:rPr>
              <w:t>Foreign currency denominated certificates of deposit and cash accounts:</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61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160" w:type="dxa"/>
            <w:vAlign w:val="bottom"/>
            <w:vMerge w:val="restart"/>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100" w:type="dxa"/>
            <w:vAlign w:val="bottom"/>
            <w:vMerge w:val="restart"/>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8"/>
              </w:rPr>
              <w:t>July 31, 2014</w:t>
            </w:r>
          </w:p>
        </w:tc>
        <w:tc>
          <w:tcPr>
            <w:tcW w:w="16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April 30, 2014</w:t>
            </w:r>
          </w:p>
        </w:tc>
        <w:tc>
          <w:tcPr>
            <w:tcW w:w="10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6,201,693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6,176,656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Unrestricted</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423,175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1,232,111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6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6,624,868</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7,408,767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7000" w:type="dxa"/>
            <w:vAlign w:val="bottom"/>
            <w:gridSpan w:val="2"/>
          </w:tcPr>
          <w:p>
            <w:pPr>
              <w:jc w:val="right"/>
              <w:ind w:right="111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860" w:type="dxa"/>
            <w:vAlign w:val="bottom"/>
          </w:tcPr>
          <w:p>
            <w:pPr>
              <w:spacing w:after="0"/>
              <w:rPr>
                <w:sz w:val="9"/>
                <w:szCs w:val="9"/>
                <w:color w:val="auto"/>
              </w:rPr>
            </w:pPr>
          </w:p>
        </w:tc>
        <w:tc>
          <w:tcPr>
            <w:tcW w:w="6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60" w:type="dxa"/>
            <w:vAlign w:val="bottom"/>
            <w:shd w:val="clear" w:color="auto" w:fill="808080"/>
          </w:tcPr>
          <w:p>
            <w:pPr>
              <w:spacing w:after="0"/>
              <w:rPr>
                <w:sz w:val="5"/>
                <w:szCs w:val="5"/>
                <w:color w:val="auto"/>
              </w:rPr>
            </w:pPr>
          </w:p>
        </w:tc>
        <w:tc>
          <w:tcPr>
            <w:tcW w:w="61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46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Long-Lived Assets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Long-lived assets, such as property and equipment and patents subject to amortization, are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 During the three months ended July 31, 2014, the Company reviewed its long-lived assets for impairment and estimated that the remaining useful lives, for purposes of amortizing capitalized external patent costs, should be reduced from approximately five years to one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Concentration of Credit Risk</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principally of cash balances, bank certificates of deposit and trade receivables. The Company invests its excess cash in highly liquid investments (principally, short-term bank deposits, Treasury bills, Treasury notes and money market funds) and does not believe that it is exposed to any significant risks related to its cash accounts, money market funds or certificates of deposit.</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 below shows the percentage of the Company's revenues derived from customers whose revenues accounted for at least 10% of the Company's consolidated revenues for at least one of the periods indicated:</w:t>
      </w:r>
    </w:p>
    <w:p>
      <w:pPr>
        <w:spacing w:after="0" w:line="166"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Customer</w:t>
            </w:r>
          </w:p>
        </w:tc>
        <w:tc>
          <w:tcPr>
            <w:tcW w:w="80" w:type="dxa"/>
            <w:vAlign w:val="bottom"/>
            <w:vMerge w:val="restart"/>
          </w:tcPr>
          <w:p>
            <w:pPr>
              <w:spacing w:after="0"/>
              <w:rPr>
                <w:sz w:val="20"/>
                <w:szCs w:val="20"/>
                <w:color w:val="auto"/>
              </w:rPr>
            </w:pPr>
          </w:p>
        </w:tc>
        <w:tc>
          <w:tcPr>
            <w:tcW w:w="3460" w:type="dxa"/>
            <w:vAlign w:val="bottom"/>
            <w:gridSpan w:val="4"/>
          </w:tcPr>
          <w:p>
            <w:pPr>
              <w:ind w:left="540"/>
              <w:spacing w:after="0"/>
              <w:rPr>
                <w:sz w:val="20"/>
                <w:szCs w:val="20"/>
                <w:color w:val="auto"/>
              </w:rPr>
            </w:pPr>
            <w:r>
              <w:rPr>
                <w:rFonts w:ascii="Arial" w:cs="Arial" w:eastAsia="Arial" w:hAnsi="Arial"/>
                <w:sz w:val="18"/>
                <w:szCs w:val="18"/>
                <w:b w:val="1"/>
                <w:bCs w:val="1"/>
                <w:color w:val="auto"/>
              </w:rPr>
              <w:t>Three months ended July 31,</w:t>
            </w:r>
          </w:p>
        </w:tc>
        <w:tc>
          <w:tcPr>
            <w:tcW w:w="0" w:type="dxa"/>
            <w:vAlign w:val="bottom"/>
          </w:tcPr>
          <w:p>
            <w:pPr>
              <w:spacing w:after="0"/>
              <w:rPr>
                <w:sz w:val="1"/>
                <w:szCs w:val="1"/>
                <w:color w:val="auto"/>
              </w:rPr>
            </w:pPr>
          </w:p>
        </w:tc>
      </w:tr>
      <w:tr>
        <w:trPr>
          <w:trHeight w:val="210"/>
        </w:trPr>
        <w:tc>
          <w:tcPr>
            <w:tcW w:w="560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24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gridSpan w:val="2"/>
          </w:tcPr>
          <w:p>
            <w:pPr>
              <w:spacing w:after="0"/>
              <w:rPr>
                <w:sz w:val="18"/>
                <w:szCs w:val="18"/>
                <w:color w:val="auto"/>
              </w:rPr>
            </w:pPr>
          </w:p>
        </w:tc>
        <w:tc>
          <w:tcPr>
            <w:tcW w:w="1760" w:type="dxa"/>
            <w:vAlign w:val="bottom"/>
            <w:gridSpan w:val="2"/>
          </w:tcPr>
          <w:p>
            <w:pPr>
              <w:spacing w:after="0"/>
              <w:rPr>
                <w:sz w:val="18"/>
                <w:szCs w:val="18"/>
                <w:color w:val="auto"/>
              </w:rPr>
            </w:pPr>
          </w:p>
        </w:tc>
        <w:tc>
          <w:tcPr>
            <w:tcW w:w="17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European Union (WavePort project)</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w w:val="88"/>
              </w:rPr>
              <w:t>35%</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Mitsui Engineering &amp; Shipbuilding</w:t>
            </w: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170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Department of Energy</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w w:val="88"/>
              </w:rPr>
              <w:t>26%</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UK Government's Technology Strategy Board</w:t>
            </w: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ind w:left="1360"/>
              <w:spacing w:after="0"/>
              <w:rPr>
                <w:sz w:val="20"/>
                <w:szCs w:val="20"/>
                <w:color w:val="auto"/>
              </w:rPr>
            </w:pPr>
            <w:r>
              <w:rPr>
                <w:rFonts w:ascii="Arial" w:cs="Arial" w:eastAsia="Arial" w:hAnsi="Arial"/>
                <w:sz w:val="18"/>
                <w:szCs w:val="18"/>
                <w:color w:val="auto"/>
                <w:w w:val="88"/>
              </w:rPr>
              <w:t>38%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w w:val="88"/>
              </w:rPr>
              <w:t>99%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loss of, or a significant reduction in revenues from, any of the current customers could significantly impact the Company's financial position or results of operations. The Company does not require its customers to maintain collateral.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Net Loss per Common Share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and diluted net loss per share for all periods presented is computed by dividing net loss by the weighted average number of shares of common stock outstanding during the period. Due to the Company's net losses, potentially dilutive securities, consisting of outstanding stock options and non-vested performance-based shares, were excluded from the diluted loss per share calculation due to their anti-dilutive effect.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computing diluted net loss per share, options to purchase shares of common stock and non-vested restricted stock issued to employees and non-employee directors, totaling 1,087,649 for the three months ended July 31, 2014, and 1,290,274 for the three months ended July 31, 2013, were excluded from the computations as the effect would be anti-dilutive due to the Company's losses.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Recently Issued Accounting Standards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On May 28,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requires an entity to recognize the amount of revenue to which it expects to be entitled for the transfer of promised goods or services to customers. The ASU will replace most existing revenue recognition guidance in U.S. Generally Accepted Accounting Principles (“GAAP”) when it becomes effective. The new standard is effective for us on January 1, 2017. Early application is not permitted. The standard permits the use of either the retrospective or the cumulative effect transition method. We are evaluating the effect that ASU 2014-09 will have on our consolidated financial statements and related disclosures. We have not yet selected a transition method nor have we determined the effect of the standard on our ongoing financial reporting.</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Marketable securities with initial maturities longer than three months but that mature within one year from the balance sheet date are classified as current assets and are summarized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July 31,</w:t>
            </w:r>
          </w:p>
        </w:tc>
        <w:tc>
          <w:tcPr>
            <w:tcW w:w="16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April 30,</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US Treasury obligations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17,244,357</w:t>
            </w: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14,493,881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(4) Balance Sheet Detail</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July 31, 2014</w:t>
            </w:r>
          </w:p>
        </w:tc>
        <w:tc>
          <w:tcPr>
            <w:tcW w:w="160" w:type="dxa"/>
            <w:vAlign w:val="bottom"/>
          </w:tcPr>
          <w:p>
            <w:pPr>
              <w:spacing w:after="0"/>
              <w:rPr>
                <w:sz w:val="24"/>
                <w:szCs w:val="2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April 30, 2014</w:t>
            </w: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 net</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308,731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 for doubtful accounts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308,731</w:t>
            </w:r>
          </w:p>
        </w:tc>
        <w:tc>
          <w:tcPr>
            <w:tcW w:w="0" w:type="dxa"/>
            <w:vAlign w:val="bottom"/>
          </w:tcPr>
          <w:p>
            <w:pPr>
              <w:spacing w:after="0"/>
              <w:rPr>
                <w:sz w:val="1"/>
                <w:szCs w:val="1"/>
                <w:color w:val="auto"/>
              </w:rPr>
            </w:pPr>
          </w:p>
        </w:tc>
      </w:tr>
      <w:tr>
        <w:trPr>
          <w:trHeight w:val="20"/>
        </w:trPr>
        <w:tc>
          <w:tcPr>
            <w:tcW w:w="674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80" w:type="dxa"/>
            <w:vAlign w:val="bottom"/>
            <w:vMerge w:val="restart"/>
          </w:tcPr>
          <w:p>
            <w:pPr>
              <w:spacing w:after="0"/>
              <w:rPr>
                <w:sz w:val="17"/>
                <w:szCs w:val="17"/>
                <w:color w:val="auto"/>
              </w:rPr>
            </w:pPr>
          </w:p>
        </w:tc>
        <w:tc>
          <w:tcPr>
            <w:tcW w:w="5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Patents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Patents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1,536,029</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1,536,029</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Accumulated amortization</w:t>
            </w:r>
          </w:p>
        </w:tc>
        <w:tc>
          <w:tcPr>
            <w:tcW w:w="2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(914,805)</w:t>
            </w: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(707,731)</w:t>
            </w: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621,224</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828,298</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7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Accrued expenses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Project costs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1,260,217</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1,263,293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Contract loss reserve</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254,186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incentive payments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490,118</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310,370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Accrued salary and benefits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476,297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455,909</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Legal and accounting fees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938,195</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168,402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Goods and services tax (GST) due to Australian Tax Office</w:t>
            </w:r>
          </w:p>
        </w:tc>
        <w:tc>
          <w:tcPr>
            <w:tcW w:w="2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470,905</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320,210</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262,360</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3,739,223</w:t>
            </w:r>
          </w:p>
        </w:tc>
        <w:tc>
          <w:tcPr>
            <w:tcW w:w="1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2,931,239</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Related Party Transactions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67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Three Months Ended July 31,</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Related party consulting expense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113,813</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2014, the Company entered into an Executive Transition Agreement with George W. Taylor, who was formerly employed by the Company as Executive Vice Chairman and served on the Company’s Board of Directors prior to that date. Under this agreement, Dr. Taylor will receive up to fifteen months of consulting fees at a monthly rate of $20,000. For the three months ended July 31, 2014, the Company recorded $60,000 in expense relating to this agreement.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2014, the Company entered into an agreement with David L. Keller, who has served as a non-executive director of the Company since October 2013. Under this agreement, Mr. Keller serves as Interim Chief Executive Officer effective with the June 9, 2014 termination of the Company’s former Chief Executive Officer, Charles F. Dunleavy. Mr. Keller will continue in this position while the Company searches for a permanent replacement and will receive a consulting fee of $1,500 per day of services provided. For the three months ended July 31, 2014, the Company recorded $53,813 in expense relating to this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was awarded a recoverable grant totaling $500,000 from the NJBPU under the Renewable Energy Business Venture Assistance Program. Under the terms of this agreement, the amount to be repaid is a fixed monthly amount of principal only, repayable over a five-year period beginning in November 2011. The terms also required the Company to assign to the NJBPU a certificate of deposit in an amount equal to the outstanding grant balance. See Note 2(f).</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July 31, 2014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April 30, 2014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86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89"/>
              </w:rPr>
              <w:t>225,000</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left="590"/>
              <w:spacing w:after="0"/>
              <w:rPr>
                <w:sz w:val="20"/>
                <w:szCs w:val="20"/>
                <w:color w:val="auto"/>
              </w:rPr>
            </w:pPr>
            <w:r>
              <w:rPr>
                <w:rFonts w:ascii="Arial" w:cs="Arial" w:eastAsia="Arial" w:hAnsi="Arial"/>
                <w:sz w:val="18"/>
                <w:szCs w:val="18"/>
                <w:color w:val="auto"/>
                <w:w w:val="90"/>
              </w:rPr>
              <w:t>(100,000)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center"/>
              <w:ind w:left="710"/>
              <w:spacing w:after="0"/>
              <w:rPr>
                <w:sz w:val="20"/>
                <w:szCs w:val="20"/>
                <w:color w:val="auto"/>
              </w:rPr>
            </w:pPr>
            <w:r>
              <w:rPr>
                <w:rFonts w:ascii="Arial" w:cs="Arial" w:eastAsia="Arial" w:hAnsi="Arial"/>
                <w:sz w:val="18"/>
                <w:szCs w:val="18"/>
                <w:color w:val="auto"/>
                <w:w w:val="89"/>
              </w:rPr>
              <w:t>125,000</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Deferred Credits Payable</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During the year ended April 30, 2001, in connection with the sale of common stock to an investor, the Company received $600,000 from the investor in exchange for an option to purchase up to 500,000 metric tons of carbon emissions credits generated by the Company during the years 2008 through 2012, at a 30% discount from the then-prevailing market rate. If the Company received emission credits under applicable laws and failed to sell to the investor the credits up to the full amount of emission credits covered by the option, the investor was entitled to liquidated damages equal to 30% of the aggregate market value of the shortfall in emission credits (subject to a limit on the market price of emission credits). Under the terms of the agreement, if the Company did not become entitled under applicable laws to the full amount of emission credits covered by the option by December 31, 2012, the Company was obligated to return the option fee of $600,000, less the aggregate discount on any emission credits sold to the investor prior to such date. In December 2012, the Company and the investor agreed to extend the period for the sale of emission credits until December 31, 2017. As of July 31, 2014, the Company has not generated any emissions credits eligible for purchase under the agreement. The $600,000 has been classified as a noncurrent liability as of July 31, 2014.</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decrease in stock-based compensation costs was related primarily to the termination for cause of Charles F. Dunleavy, Chief Executive Officer, on June 9, 2014. In accordance with the Company’s 2001 Stock Plan and the 2006 Stock Incentive Plan, all vested and unvested grants are forfeited. In addition, the Company did not issue any stock-based awards during the three months ended July 31, 2014. The aggregate stock-based compensation expense related to all stock-based transactions recorded in the consolidated statements of operations was approximately $13,000 and $230,000 for the three months ended July 31, 2014 and 2013,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Stock Options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Assumptions for Options Granted During the Three Months Ended July 31, 2014 and 2013</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fair value of each stock option granted, for both service-based and performance-based vesting requirements, during the three months ended July 31, 2013 was estimated at the date of grant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was estimated using the "simplified" method as permitted by the SEC's Staff Accounting Bulletin No. 107,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Expected volatility was based on the Company’s historical volatility for the three months ended July 31, 2013. There were no stock options granted during the three months ended July 31, 2014.</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Three Months Ended July 31,</w:t>
      </w:r>
    </w:p>
    <w:p>
      <w:pPr>
        <w:spacing w:after="0" w:line="27" w:lineRule="exact"/>
        <w:rPr>
          <w:sz w:val="20"/>
          <w:szCs w:val="20"/>
          <w:color w:val="auto"/>
        </w:rPr>
      </w:pPr>
    </w:p>
    <w:tbl>
      <w:tblPr>
        <w:tblLayout w:type="fixed"/>
        <w:tblInd w:w="1560" w:type="dxa"/>
        <w:tblCellMar>
          <w:top w:w="0" w:type="dxa"/>
          <w:left w:w="0" w:type="dxa"/>
          <w:bottom w:w="0" w:type="dxa"/>
          <w:right w:w="0" w:type="dxa"/>
        </w:tblCellMar>
      </w:tblPr>
      <w:tr>
        <w:trPr>
          <w:trHeight w:val="210"/>
        </w:trPr>
        <w:tc>
          <w:tcPr>
            <w:tcW w:w="42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24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18"/>
                <w:szCs w:val="18"/>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1880" w:type="dxa"/>
            <w:vAlign w:val="bottom"/>
            <w:gridSpan w:val="3"/>
          </w:tcPr>
          <w:p>
            <w:pPr>
              <w:jc w:val="right"/>
              <w:ind w:right="100"/>
              <w:spacing w:after="0"/>
              <w:rPr>
                <w:sz w:val="20"/>
                <w:szCs w:val="20"/>
                <w:color w:val="auto"/>
              </w:rPr>
            </w:pPr>
            <w:r>
              <w:rPr>
                <w:rFonts w:ascii="Arial" w:cs="Arial" w:eastAsia="Arial" w:hAnsi="Arial"/>
                <w:sz w:val="18"/>
                <w:szCs w:val="18"/>
                <w:color w:val="auto"/>
              </w:rPr>
              <w:t>0.0%</w:t>
            </w: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CEEFF"/>
          </w:tcPr>
          <w:p>
            <w:pPr>
              <w:spacing w:after="0"/>
              <w:rPr>
                <w:sz w:val="18"/>
                <w:szCs w:val="18"/>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1880" w:type="dxa"/>
            <w:vAlign w:val="bottom"/>
            <w:gridSpan w:val="3"/>
          </w:tcPr>
          <w:p>
            <w:pPr>
              <w:jc w:val="right"/>
              <w:ind w:right="100"/>
              <w:spacing w:after="0"/>
              <w:rPr>
                <w:sz w:val="20"/>
                <w:szCs w:val="20"/>
                <w:color w:val="auto"/>
              </w:rPr>
            </w:pPr>
            <w:r>
              <w:rPr>
                <w:rFonts w:ascii="Arial" w:cs="Arial" w:eastAsia="Arial" w:hAnsi="Arial"/>
                <w:sz w:val="18"/>
                <w:szCs w:val="18"/>
                <w:color w:val="auto"/>
              </w:rPr>
              <w:t>74.61%</w:t>
            </w:r>
          </w:p>
        </w:tc>
      </w:tr>
    </w:tbl>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above assumptions were used to determine the weighted average per share fair value of $1.12 for stock options granted during the three months ended July 31, 2013.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A summary of stock options under the plans is as follows:</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8"/>
        </w:trPr>
        <w:tc>
          <w:tcPr>
            <w:tcW w:w="5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5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ind w:left="270"/>
              <w:spacing w:after="0"/>
              <w:rPr>
                <w:sz w:val="20"/>
                <w:szCs w:val="20"/>
                <w:color w:val="auto"/>
              </w:rPr>
            </w:pPr>
            <w:r>
              <w:rPr>
                <w:rFonts w:ascii="Arial" w:cs="Arial" w:eastAsia="Arial" w:hAnsi="Arial"/>
                <w:sz w:val="18"/>
                <w:szCs w:val="18"/>
                <w:b w:val="1"/>
                <w:bCs w:val="1"/>
                <w:color w:val="auto"/>
                <w:w w:val="88"/>
              </w:rPr>
              <w:t>Weighted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5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Shares</w:t>
            </w:r>
          </w:p>
        </w:tc>
        <w:tc>
          <w:tcPr>
            <w:tcW w:w="1200" w:type="dxa"/>
            <w:vAlign w:val="bottom"/>
          </w:tcPr>
          <w:p>
            <w:pPr>
              <w:jc w:val="center"/>
              <w:ind w:left="290"/>
              <w:spacing w:after="0"/>
              <w:rPr>
                <w:sz w:val="20"/>
                <w:szCs w:val="20"/>
                <w:color w:val="auto"/>
              </w:rPr>
            </w:pPr>
            <w:r>
              <w:rPr>
                <w:rFonts w:ascii="Arial" w:cs="Arial" w:eastAsia="Arial" w:hAnsi="Arial"/>
                <w:sz w:val="18"/>
                <w:szCs w:val="18"/>
                <w:b w:val="1"/>
                <w:bCs w:val="1"/>
                <w:color w:val="auto"/>
                <w:w w:val="87"/>
              </w:rPr>
              <w:t>Average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Contractual</w:t>
            </w:r>
          </w:p>
        </w:tc>
      </w:tr>
      <w:tr>
        <w:trPr>
          <w:trHeight w:val="216"/>
        </w:trPr>
        <w:tc>
          <w:tcPr>
            <w:tcW w:w="5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Underlying</w:t>
            </w:r>
          </w:p>
        </w:tc>
        <w:tc>
          <w:tcPr>
            <w:tcW w:w="1200" w:type="dxa"/>
            <w:vAlign w:val="bottom"/>
          </w:tcPr>
          <w:p>
            <w:pPr>
              <w:jc w:val="center"/>
              <w:ind w:left="270"/>
              <w:spacing w:after="0"/>
              <w:rPr>
                <w:sz w:val="20"/>
                <w:szCs w:val="20"/>
                <w:color w:val="auto"/>
              </w:rPr>
            </w:pPr>
            <w:r>
              <w:rPr>
                <w:rFonts w:ascii="Arial" w:cs="Arial" w:eastAsia="Arial" w:hAnsi="Arial"/>
                <w:sz w:val="18"/>
                <w:szCs w:val="18"/>
                <w:b w:val="1"/>
                <w:bCs w:val="1"/>
                <w:color w:val="auto"/>
                <w:w w:val="86"/>
              </w:rPr>
              <w:t>Exercise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Term</w:t>
            </w:r>
          </w:p>
        </w:tc>
      </w:tr>
      <w:tr>
        <w:trPr>
          <w:trHeight w:val="234"/>
        </w:trPr>
        <w:tc>
          <w:tcPr>
            <w:tcW w:w="58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Options</w:t>
            </w:r>
          </w:p>
        </w:tc>
        <w:tc>
          <w:tcPr>
            <w:tcW w:w="1200" w:type="dxa"/>
            <w:vAlign w:val="bottom"/>
          </w:tcPr>
          <w:p>
            <w:pPr>
              <w:jc w:val="center"/>
              <w:ind w:left="270"/>
              <w:spacing w:after="0"/>
              <w:rPr>
                <w:sz w:val="20"/>
                <w:szCs w:val="20"/>
                <w:color w:val="auto"/>
              </w:rPr>
            </w:pPr>
            <w:r>
              <w:rPr>
                <w:rFonts w:ascii="Arial" w:cs="Arial" w:eastAsia="Arial" w:hAnsi="Arial"/>
                <w:sz w:val="18"/>
                <w:szCs w:val="18"/>
                <w:b w:val="1"/>
                <w:bCs w:val="1"/>
                <w:color w:val="auto"/>
                <w:w w:val="90"/>
              </w:rPr>
              <w:t>Price</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 Years)</w:t>
            </w:r>
          </w:p>
        </w:tc>
      </w:tr>
      <w:tr>
        <w:trPr>
          <w:trHeight w:val="210"/>
        </w:trPr>
        <w:tc>
          <w:tcPr>
            <w:tcW w:w="58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April 30, 2014</w:t>
            </w:r>
          </w:p>
        </w:tc>
        <w:tc>
          <w:tcPr>
            <w:tcW w:w="1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1,472,292</w:t>
            </w:r>
          </w:p>
        </w:tc>
        <w:tc>
          <w:tcPr>
            <w:tcW w:w="20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5.53</w:t>
            </w:r>
          </w:p>
        </w:tc>
        <w:tc>
          <w:tcPr>
            <w:tcW w:w="20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79"/>
              </w:rPr>
              <w:t>5.9</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Forfeited</w:t>
            </w:r>
          </w:p>
        </w:tc>
        <w:tc>
          <w:tcPr>
            <w:tcW w:w="1760" w:type="dxa"/>
            <w:vAlign w:val="bottom"/>
            <w:gridSpan w:val="3"/>
          </w:tcPr>
          <w:p>
            <w:pPr>
              <w:jc w:val="right"/>
              <w:ind w:right="140"/>
              <w:spacing w:after="0"/>
              <w:rPr>
                <w:sz w:val="20"/>
                <w:szCs w:val="20"/>
                <w:color w:val="auto"/>
              </w:rPr>
            </w:pPr>
            <w:r>
              <w:rPr>
                <w:rFonts w:ascii="Arial" w:cs="Arial" w:eastAsia="Arial" w:hAnsi="Arial"/>
                <w:sz w:val="18"/>
                <w:szCs w:val="18"/>
                <w:color w:val="auto"/>
              </w:rPr>
              <w:t>(462,251)</w:t>
            </w:r>
          </w:p>
        </w:tc>
        <w:tc>
          <w:tcPr>
            <w:tcW w:w="12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7.21</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Granted</w:t>
            </w:r>
          </w:p>
        </w:tc>
        <w:tc>
          <w:tcPr>
            <w:tcW w:w="10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July 31, 2014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1,010,041</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4.77</w:t>
            </w:r>
          </w:p>
        </w:tc>
        <w:tc>
          <w:tcPr>
            <w:tcW w:w="1620" w:type="dxa"/>
            <w:vAlign w:val="bottom"/>
            <w:tcBorders>
              <w:bottom w:val="single" w:sz="8" w:color="CCEEFF"/>
            </w:tcBorders>
            <w:gridSpan w:val="2"/>
            <w:shd w:val="clear" w:color="auto" w:fill="CCEEFF"/>
          </w:tcPr>
          <w:p>
            <w:pPr>
              <w:ind w:left="1300"/>
              <w:spacing w:after="0"/>
              <w:rPr>
                <w:sz w:val="20"/>
                <w:szCs w:val="20"/>
                <w:color w:val="auto"/>
              </w:rPr>
            </w:pPr>
            <w:r>
              <w:rPr>
                <w:rFonts w:ascii="Arial" w:cs="Arial" w:eastAsia="Arial" w:hAnsi="Arial"/>
                <w:sz w:val="18"/>
                <w:szCs w:val="18"/>
                <w:color w:val="auto"/>
              </w:rPr>
              <w:t>5.8</w:t>
            </w:r>
          </w:p>
        </w:tc>
      </w:tr>
      <w:tr>
        <w:trPr>
          <w:trHeight w:val="197"/>
        </w:trPr>
        <w:tc>
          <w:tcPr>
            <w:tcW w:w="580" w:type="dxa"/>
            <w:vAlign w:val="bottom"/>
          </w:tcPr>
          <w:p>
            <w:pPr>
              <w:spacing w:after="0"/>
              <w:rPr>
                <w:sz w:val="17"/>
                <w:szCs w:val="17"/>
                <w:color w:val="auto"/>
              </w:rPr>
            </w:pPr>
          </w:p>
        </w:tc>
        <w:tc>
          <w:tcPr>
            <w:tcW w:w="5140" w:type="dxa"/>
            <w:vAlign w:val="bottom"/>
          </w:tcPr>
          <w:p>
            <w:pPr>
              <w:spacing w:after="0" w:line="196" w:lineRule="exact"/>
              <w:rPr>
                <w:sz w:val="20"/>
                <w:szCs w:val="20"/>
                <w:color w:val="auto"/>
              </w:rPr>
            </w:pPr>
            <w:r>
              <w:rPr>
                <w:rFonts w:ascii="Arial" w:cs="Arial" w:eastAsia="Arial" w:hAnsi="Arial"/>
                <w:sz w:val="18"/>
                <w:szCs w:val="18"/>
                <w:color w:val="auto"/>
              </w:rPr>
              <w:t>Exercisable as of July 31, 2014</w:t>
            </w:r>
          </w:p>
        </w:tc>
        <w:tc>
          <w:tcPr>
            <w:tcW w:w="1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676,838</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w w:val="96"/>
              </w:rPr>
              <w:t>6.32</w:t>
            </w:r>
          </w:p>
        </w:tc>
        <w:tc>
          <w:tcPr>
            <w:tcW w:w="1620" w:type="dxa"/>
            <w:vAlign w:val="bottom"/>
            <w:gridSpan w:val="2"/>
          </w:tcPr>
          <w:p>
            <w:pPr>
              <w:ind w:left="1300"/>
              <w:spacing w:after="0" w:line="196" w:lineRule="exact"/>
              <w:rPr>
                <w:sz w:val="20"/>
                <w:szCs w:val="20"/>
                <w:color w:val="auto"/>
              </w:rPr>
            </w:pPr>
            <w:r>
              <w:rPr>
                <w:rFonts w:ascii="Arial" w:cs="Arial" w:eastAsia="Arial" w:hAnsi="Arial"/>
                <w:sz w:val="18"/>
                <w:szCs w:val="18"/>
                <w:color w:val="auto"/>
              </w:rPr>
              <w:t>4.4</w:t>
            </w:r>
          </w:p>
        </w:tc>
      </w:tr>
      <w:tr>
        <w:trPr>
          <w:trHeight w:val="20"/>
        </w:trPr>
        <w:tc>
          <w:tcPr>
            <w:tcW w:w="5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July 31, 2014, the total intrinsic value of outstanding and exercisable options was $0. As of July 31, 2014, approximately 328,000 additional options are expected to vest in the future, which options had no intrinsic value and a weighted average remaining contractual term of 8.7 years. There was approximately $1,000 and $220,000 of total recognized compensation cost related to stock options for the three months ended July 31, 2014 and 2013, respectively. As of July 31, 2014, there was approximately $235,000 of total unrecognized compensation cost related to non-vested stock options granted under the plans. This cost is expected to be recognized over a weighted-average period of 2.5 years. The Company normally issues new shares to satisfy option exercises under these plans. During the three months ended July 31, 2014, there were no stock options granted. Stock options outstanding as of July 31, 2014 included 115,786 stock options subject to performance-based vesting requirements.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Restricted Stock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Compensation expense for non-vested restricted stock was historically recorded based on its market value on the date of grant and recognized over the associated service and performance period. During the three months ended July 31, 2014, there were no shares granted to employees. During the three months ended July 31, 2014, 9,380 shares of non-vested restricted stock subject to performance-based vesting requirements were forfeited in accordance with performance objectives. Restricted stock issued and unvested at July 31, 2014 included 37,329 shares of non-vested restricted stock subject to performance-based vesting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non-vested restricted stock under the plans is as follows:</w:t>
      </w:r>
    </w:p>
    <w:p>
      <w:pPr>
        <w:spacing w:after="0" w:line="275" w:lineRule="exact"/>
        <w:rPr>
          <w:sz w:val="20"/>
          <w:szCs w:val="20"/>
          <w:color w:val="auto"/>
        </w:rPr>
      </w:pPr>
    </w:p>
    <w:tbl>
      <w:tblPr>
        <w:tblLayout w:type="fixed"/>
        <w:tblInd w:w="790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Average Price</w:t>
            </w:r>
          </w:p>
        </w:tc>
      </w:tr>
      <w:tr>
        <w:trPr>
          <w:trHeight w:val="216"/>
        </w:trPr>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per</w:t>
            </w:r>
          </w:p>
        </w:tc>
      </w:tr>
      <w:tr>
        <w:trPr>
          <w:trHeight w:val="234"/>
        </w:trPr>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2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Share</w:t>
            </w: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Issued and unvested at April 30, 2014</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Forfeited</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Vested</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Issued and unvested at July 31, 2014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jc w:val="right"/>
              <w:spacing w:after="0"/>
              <w:rPr>
                <w:sz w:val="20"/>
                <w:szCs w:val="20"/>
                <w:color w:val="auto"/>
              </w:rPr>
            </w:pPr>
            <w:r>
              <w:rPr>
                <w:rFonts w:ascii="Arial" w:cs="Arial" w:eastAsia="Arial" w:hAnsi="Arial"/>
                <w:sz w:val="18"/>
                <w:szCs w:val="18"/>
                <w:color w:val="auto"/>
              </w:rPr>
              <w:t>97,610</w:t>
            </w:r>
          </w:p>
        </w:tc>
        <w:tc>
          <w:tcPr>
            <w:tcW w:w="20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2.23</w:t>
            </w:r>
          </w:p>
        </w:tc>
      </w:tr>
      <w:tr>
        <w:trPr>
          <w:trHeight w:val="216"/>
        </w:trPr>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(9,380)</w:t>
            </w:r>
          </w:p>
        </w:tc>
        <w:tc>
          <w:tcPr>
            <w:tcW w:w="5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r>
      <w:tr>
        <w:trPr>
          <w:trHeight w:val="230"/>
        </w:trPr>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(10,622)</w:t>
            </w:r>
          </w:p>
        </w:tc>
        <w:tc>
          <w:tcPr>
            <w:tcW w:w="5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2.36</w:t>
            </w:r>
          </w:p>
        </w:tc>
      </w:tr>
      <w:tr>
        <w:trPr>
          <w:trHeight w:val="210"/>
        </w:trPr>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77,608</w:t>
            </w:r>
          </w:p>
        </w:tc>
        <w:tc>
          <w:tcPr>
            <w:tcW w:w="200" w:type="dxa"/>
            <w:vAlign w:val="bottom"/>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8"/>
                <w:szCs w:val="18"/>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-4685030</wp:posOffset>
            </wp:positionH>
            <wp:positionV relativeFrom="paragraph">
              <wp:posOffset>-719455</wp:posOffset>
            </wp:positionV>
            <wp:extent cx="65862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86220" cy="137160"/>
                    </a:xfrm>
                    <a:prstGeom prst="rect">
                      <a:avLst/>
                    </a:prstGeom>
                    <a:noFill/>
                  </pic:spPr>
                </pic:pic>
              </a:graphicData>
            </a:graphic>
          </wp:anchor>
        </w:drawing>
        <w:drawing>
          <wp:anchor simplePos="0" relativeHeight="251657728" behindDoc="1" locked="0" layoutInCell="0" allowOverlap="1">
            <wp:simplePos x="0" y="0"/>
            <wp:positionH relativeFrom="column">
              <wp:posOffset>-4685030</wp:posOffset>
            </wp:positionH>
            <wp:positionV relativeFrom="paragraph">
              <wp:posOffset>-445135</wp:posOffset>
            </wp:positionV>
            <wp:extent cx="65862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86220" cy="137160"/>
                    </a:xfrm>
                    <a:prstGeom prst="rect">
                      <a:avLst/>
                    </a:prstGeom>
                    <a:noFill/>
                  </pic:spPr>
                </pic:pic>
              </a:graphicData>
            </a:graphic>
          </wp:anchor>
        </w:drawing>
        <w:drawing>
          <wp:anchor simplePos="0" relativeHeight="251657728" behindDoc="1" locked="0" layoutInCell="0" allowOverlap="1">
            <wp:simplePos x="0" y="0"/>
            <wp:positionH relativeFrom="column">
              <wp:posOffset>-4685030</wp:posOffset>
            </wp:positionH>
            <wp:positionV relativeFrom="paragraph">
              <wp:posOffset>-162560</wp:posOffset>
            </wp:positionV>
            <wp:extent cx="65862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862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80" w:space="720"/>
            <w:col w:w="3520"/>
          </w:cols>
          <w:pgMar w:left="240" w:top="580"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was approximately $12,000 and $10,000 of total recognized compensation cost related to restricted stock for the three months ended July 31, 2014 and 2013, respectively. As of July 31, 2014, there was approximately $63,000 of total unrecognized compensation cost related to non-vested restricted stock granted under the plans. This cost is expected to be recognized over a weighted average period of 1.9 years.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(c)Treasury Stock</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months ended July 31, 2014 and 2013, 806 and 4,081 shares, respectively, of common stock were purchased by the Company from employees to pay taxes related to the vesting of restricted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Litigation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Shareholder Litigation</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The Company is a defendant in four putative securities class actions pending in the United States District Court for the District of New Jersey. </w:t>
      </w:r>
      <w:r>
        <w:rPr>
          <w:rFonts w:ascii="Arial" w:cs="Arial" w:eastAsia="Arial" w:hAnsi="Arial"/>
          <w:sz w:val="16"/>
          <w:szCs w:val="16"/>
          <w:i w:val="1"/>
          <w:iCs w:val="1"/>
          <w:color w:val="auto"/>
        </w:rPr>
        <w:t>See Roby v.</w:t>
      </w:r>
      <w:r>
        <w:rPr>
          <w:rFonts w:ascii="Arial" w:cs="Arial" w:eastAsia="Arial" w:hAnsi="Arial"/>
          <w:sz w:val="16"/>
          <w:szCs w:val="16"/>
          <w:color w:val="auto"/>
        </w:rPr>
        <w:t xml:space="preserve"> </w:t>
      </w:r>
      <w:r>
        <w:rPr>
          <w:rFonts w:ascii="Arial" w:cs="Arial" w:eastAsia="Arial" w:hAnsi="Arial"/>
          <w:sz w:val="16"/>
          <w:szCs w:val="16"/>
          <w:i w:val="1"/>
          <w:iCs w:val="1"/>
          <w:color w:val="auto"/>
        </w:rPr>
        <w:t>Ocean Power Technologies, Inc., et al.</w:t>
      </w:r>
      <w:r>
        <w:rPr>
          <w:rFonts w:ascii="Arial" w:cs="Arial" w:eastAsia="Arial" w:hAnsi="Arial"/>
          <w:sz w:val="16"/>
          <w:szCs w:val="16"/>
          <w:color w:val="auto"/>
        </w:rPr>
        <w:t>, Case No. 3:14-cv-03799-FLW-LHG;</w:t>
      </w:r>
      <w:r>
        <w:rPr>
          <w:rFonts w:ascii="Arial" w:cs="Arial" w:eastAsia="Arial" w:hAnsi="Arial"/>
          <w:sz w:val="16"/>
          <w:szCs w:val="16"/>
          <w:i w:val="1"/>
          <w:iCs w:val="1"/>
          <w:color w:val="auto"/>
        </w:rPr>
        <w:t xml:space="preserve"> Chew, et al. v. Ocean Power Technologies, Inc. et. al.</w:t>
      </w:r>
      <w:r>
        <w:rPr>
          <w:rFonts w:ascii="Arial" w:cs="Arial" w:eastAsia="Arial" w:hAnsi="Arial"/>
          <w:sz w:val="16"/>
          <w:szCs w:val="16"/>
          <w:color w:val="auto"/>
        </w:rPr>
        <w:t xml:space="preserve">, Case No 3:14-cv-03815-MAS-DEA; </w:t>
      </w:r>
      <w:r>
        <w:rPr>
          <w:rFonts w:ascii="Arial" w:cs="Arial" w:eastAsia="Arial" w:hAnsi="Arial"/>
          <w:sz w:val="16"/>
          <w:szCs w:val="16"/>
          <w:i w:val="1"/>
          <w:iCs w:val="1"/>
          <w:color w:val="auto"/>
        </w:rPr>
        <w:t>Konstantinidis v. Ocean Power Technologies, Inc., et al.</w:t>
      </w:r>
      <w:r>
        <w:rPr>
          <w:rFonts w:ascii="Arial" w:cs="Arial" w:eastAsia="Arial" w:hAnsi="Arial"/>
          <w:sz w:val="16"/>
          <w:szCs w:val="16"/>
          <w:color w:val="auto"/>
        </w:rPr>
        <w:t xml:space="preserve">, Case No. 3:14-cv-04015-FLW-DEA; </w:t>
      </w:r>
      <w:r>
        <w:rPr>
          <w:rFonts w:ascii="Arial" w:cs="Arial" w:eastAsia="Arial" w:hAnsi="Arial"/>
          <w:sz w:val="16"/>
          <w:szCs w:val="16"/>
          <w:i w:val="1"/>
          <w:iCs w:val="1"/>
          <w:color w:val="auto"/>
        </w:rPr>
        <w:t>Turner v. Ocean Power Technologies, Inc., et al.</w:t>
      </w:r>
      <w:r>
        <w:rPr>
          <w:rFonts w:ascii="Arial" w:cs="Arial" w:eastAsia="Arial" w:hAnsi="Arial"/>
          <w:sz w:val="16"/>
          <w:szCs w:val="16"/>
          <w:color w:val="auto"/>
        </w:rPr>
        <w:t>, Case No. 3:14-cv-04592. The Company’s former Chief Executive Officer is named as a defendant in each of the lawsuits and the Company’s Chief Financial Officer is named as a defendant in two of the lawsuits. The complaints allege claims for violations of §10(b) and §20(a) of the Securities Exchange Act of 1934 arising out of public statements relating to a now terminated agreement between Victorian Wave Partners Pty. Ltd. and the Australian Renewable Energy Agency for the development of a wave power station (the “VWP Project”). All four complaints seek unspecified monetary damages and other relief. On August 12, 2014, five motions for appointment of lead plaintiff were filed. The motions also seek to consolidate the actions. The Court has not ruled on the motions. The cases are still in their preliminary stages and defendants have not yet responded to the complaints.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10, 2014, the Company received a demand letter (“Demand Letter”) from an attorney claiming to represent a shareholder demanding that the Company’s Board of Directors establish an independent committee to investigate and remedy alleged breaches of fiduciary duties by the Board of Directors and management relating to the VWP Project.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received a letter, dated August 19, 2014, (the “Section 220 Demand”) from another attorney claiming to represent a shareholder demanding, pursuant to 8 Del. C. § 220, to inspect certain books and records of the Company relating to the VWP Project and the termination of Charles Dunleavy as the Company’s Chief Executive Officer. The Company has not yet responded to the Section 220 Demand.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Employment Litigation</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10, 2014, the Company announced that it had terminated Charles Dunleavy as Chief Executive Officer and as an employee of the Company,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To the Company’s knowledge, as of the date of filing of this Quarterly Report on Form 10-Q, Mr. Dunleavy has not filed any claims against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 is involved from time to time in certain legal actions arising in the ordinary course of 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 Spain IVA (sales tax)</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received notice that the Spanish tax authorities are inquiring into its 2010 IVA (value-added tax) filing for which the Company benefitted from the offset of approximately $250,000 of input tax. The Company believes that the inquiry will find that the tax credit was properly claimed and, therefore, no liability has been recorded. The Company issued two letters of credit in the amount of €278,828 ($373,574) at the request of the Spanish tax authorities. This is a customary request during the inquiry period.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did not recognize any consolidated income tax benefit (expense) for the three month periods ended July 31, 2014 and 2013. The Company has recorded a valuation allowance to reduce its net deferred tax asset to an amount that is more likely than not to be realized in future years. Accordingly, the benefit of the net operating loss that would have been recognized was offset by changes in the valuation allowance.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July 31, 2014, the Company had no material changes in uncertain tax positions.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Operating Segments and Geographic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views its business as one segment, which is the development of its PowerBuoy product for wave energy applications. The Company operates on a worldwide basis with one operating company in the US, one operating subsidiary in the UK and one operating subsidiary in Australia, which are categorized below as North America, Europe, and Asia and Australia, respectively. Revenues are generally attributed to the operating unit that bills the customers.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gridSpan w:val="3"/>
          </w:tcPr>
          <w:p>
            <w:pPr>
              <w:spacing w:after="0"/>
              <w:rPr>
                <w:sz w:val="20"/>
                <w:szCs w:val="20"/>
                <w:color w:val="auto"/>
              </w:rPr>
            </w:pPr>
            <w:r>
              <w:rPr>
                <w:rFonts w:ascii="Arial" w:cs="Arial" w:eastAsia="Arial" w:hAnsi="Arial"/>
                <w:sz w:val="18"/>
                <w:szCs w:val="18"/>
                <w:color w:val="auto"/>
              </w:rPr>
              <w:t>Geographic information is as follows:</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North</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Asia and</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0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America</w:t>
            </w:r>
          </w:p>
        </w:tc>
        <w:tc>
          <w:tcPr>
            <w:tcW w:w="20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Europe</w:t>
            </w:r>
          </w:p>
        </w:tc>
        <w:tc>
          <w:tcPr>
            <w:tcW w:w="16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Australia</w:t>
            </w:r>
          </w:p>
        </w:tc>
        <w:tc>
          <w:tcPr>
            <w:tcW w:w="24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10"/>
        </w:trPr>
        <w:tc>
          <w:tcPr>
            <w:tcW w:w="30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Three months ended July 31, 2014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Revenues from external customers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1,540,528</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1,540,528</w:t>
            </w:r>
          </w:p>
        </w:tc>
      </w:tr>
      <w:tr>
        <w:trPr>
          <w:trHeight w:val="216"/>
        </w:trPr>
        <w:tc>
          <w:tcPr>
            <w:tcW w:w="30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(2,582,613)</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(392,868)</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(494,072)</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(3,469,553)</w:t>
            </w:r>
          </w:p>
        </w:tc>
      </w:tr>
      <w:tr>
        <w:trPr>
          <w:trHeight w:val="216"/>
        </w:trPr>
        <w:tc>
          <w:tcPr>
            <w:tcW w:w="300" w:type="dxa"/>
            <w:vAlign w:val="bottom"/>
          </w:tcPr>
          <w:p>
            <w:pPr>
              <w:spacing w:after="0"/>
              <w:rPr>
                <w:sz w:val="18"/>
                <w:szCs w:val="18"/>
                <w:color w:val="auto"/>
              </w:rPr>
            </w:pPr>
          </w:p>
        </w:tc>
        <w:tc>
          <w:tcPr>
            <w:tcW w:w="53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Three months ended July 31, 2013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Revenues from external customers</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287,752</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173,175</w:t>
            </w: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460,927</w:t>
            </w:r>
          </w:p>
        </w:tc>
      </w:tr>
      <w:tr>
        <w:trPr>
          <w:trHeight w:val="216"/>
        </w:trPr>
        <w:tc>
          <w:tcPr>
            <w:tcW w:w="30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(3,122,599)</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(315,402)</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(380,152)</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(3,818,153)</w:t>
            </w:r>
          </w:p>
        </w:tc>
      </w:tr>
      <w:tr>
        <w:trPr>
          <w:trHeight w:val="216"/>
        </w:trPr>
        <w:tc>
          <w:tcPr>
            <w:tcW w:w="300" w:type="dxa"/>
            <w:vAlign w:val="bottom"/>
          </w:tcPr>
          <w:p>
            <w:pPr>
              <w:spacing w:after="0"/>
              <w:rPr>
                <w:sz w:val="18"/>
                <w:szCs w:val="18"/>
                <w:color w:val="auto"/>
              </w:rPr>
            </w:pPr>
          </w:p>
        </w:tc>
        <w:tc>
          <w:tcPr>
            <w:tcW w:w="53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3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July 31, 2014</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5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275,993</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9,457</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285,450</w:t>
            </w:r>
          </w:p>
        </w:tc>
      </w:tr>
      <w:tr>
        <w:trPr>
          <w:trHeight w:val="216"/>
        </w:trPr>
        <w:tc>
          <w:tcPr>
            <w:tcW w:w="30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28,718,561</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769,569</w:t>
            </w: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5,731,395</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35,219,525</w:t>
            </w:r>
          </w:p>
        </w:tc>
      </w:tr>
      <w:tr>
        <w:trPr>
          <w:trHeight w:val="216"/>
        </w:trPr>
        <w:tc>
          <w:tcPr>
            <w:tcW w:w="300" w:type="dxa"/>
            <w:vAlign w:val="bottom"/>
          </w:tcPr>
          <w:p>
            <w:pPr>
              <w:spacing w:after="0"/>
              <w:rPr>
                <w:sz w:val="18"/>
                <w:szCs w:val="18"/>
                <w:color w:val="auto"/>
              </w:rPr>
            </w:pPr>
          </w:p>
        </w:tc>
        <w:tc>
          <w:tcPr>
            <w:tcW w:w="53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April 30, 2014</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5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305,314</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12,024</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317,513</w:t>
            </w:r>
          </w:p>
        </w:tc>
      </w:tr>
      <w:tr>
        <w:trPr>
          <w:trHeight w:val="230"/>
        </w:trPr>
        <w:tc>
          <w:tcPr>
            <w:tcW w:w="300" w:type="dxa"/>
            <w:vAlign w:val="bottom"/>
          </w:tcPr>
          <w:p>
            <w:pPr>
              <w:spacing w:after="0"/>
              <w:rPr>
                <w:sz w:val="20"/>
                <w:szCs w:val="20"/>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31,313,240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1,003,205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5,768,390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38,084,835</w:t>
            </w:r>
          </w:p>
        </w:tc>
      </w:tr>
    </w:tbl>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Subsequent Event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2009, Leighton Contractors Pty. Ltd. (Leighton), formed Victorian Wave Partners Pty Ltd (“VWP”), a special purpose company for the development of a wave power project off the coast of Victoria, Australia. In 2010, VWP and the Commonwealth of Australia entered into an Energy Demonstration Program Funding Deed (“Funding Deed”), wherein VWP was awarded an A$66.5 million (approximately US$62 million) grant for the wave power project; however, receipt of funds under the grant was subject to certain terms, including achievement of future significant external funding milestones. The grant was expected to be used towards the A$232 million proposed cost of building and deploying a wave power station off the coast of Australia (the “Project”). In March 2012, our Australian subsidiary Ocean Power Technologies (Australasia) Pty. Ltd acquired 100% ownership of VWP from Leighton. In January 2014, VWP signed a Deed of Variation with the Australian Renewable Energy Agency (“ARENA”) that amended the Funding Deed, and, in March 2014, received the initial portion of the grant from ARENA in the amount of approximately A$5.6 million (approximately US$5.2 million) (the “Initial Funding”). The Initial Funding was subject to claw-back provisions if certain contractual requirements, including performance criteria, were not satisfied. In light of the claw-back provisions, the Company determined to classify the Initial Funding as an advance payment, hold the funds as restricted cash and defer recognition of the funds as revenue.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Statement of the Special Committee coincident with the completion of its investigation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9, 2014, the Special Committee of the Board of Directors of Ocean Power Technologies, Inc. (OPT) completed its internal investigation into the commercial agreement between Victorian Wave Partners Ltd., an indirect consolidated subsidiary of OPT, and the Australian Renewable Energy Agency, including related public statements concerning a proposed wave power demonstration project off the coast of Victoria, Australia. The findings of the Special Committee are contained in the Form 8-k disclosure made on July 29, 2014, and no additional findings have been made. Therefore, the Special Committee has recommended that the Board of Directors dissolve the Special Committee at its next regular meeting after the Annual General Meeting of Shareholders scheduled for October 2, 2014.</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July 2014, VWP’s Board of Directors concluded that the wave power demonstration project contemplated was no longer commercially viable, and VWP delivered a termination notice to ARENA. In August 2014, the Company and ARENA executed the Deed of Variation and Termination of Funding Deed. Under this agreement the Company returned the initial grant funding received of A$5,595,723 ($5,237,037) and interest of A$109,051 ($102,061).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Shareholder Litigation</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The Company is a defendant in four putative securities class actions pending in the United States District Court for the District of New Jersey. </w:t>
      </w:r>
      <w:r>
        <w:rPr>
          <w:rFonts w:ascii="Arial" w:cs="Arial" w:eastAsia="Arial" w:hAnsi="Arial"/>
          <w:sz w:val="16"/>
          <w:szCs w:val="16"/>
          <w:i w:val="1"/>
          <w:iCs w:val="1"/>
          <w:color w:val="auto"/>
        </w:rPr>
        <w:t>See Roby v.</w:t>
      </w:r>
      <w:r>
        <w:rPr>
          <w:rFonts w:ascii="Arial" w:cs="Arial" w:eastAsia="Arial" w:hAnsi="Arial"/>
          <w:sz w:val="16"/>
          <w:szCs w:val="16"/>
          <w:color w:val="auto"/>
        </w:rPr>
        <w:t xml:space="preserve"> </w:t>
      </w:r>
      <w:r>
        <w:rPr>
          <w:rFonts w:ascii="Arial" w:cs="Arial" w:eastAsia="Arial" w:hAnsi="Arial"/>
          <w:sz w:val="16"/>
          <w:szCs w:val="16"/>
          <w:i w:val="1"/>
          <w:iCs w:val="1"/>
          <w:color w:val="auto"/>
        </w:rPr>
        <w:t>Ocean Power Technologies, Inc., et al.</w:t>
      </w:r>
      <w:r>
        <w:rPr>
          <w:rFonts w:ascii="Arial" w:cs="Arial" w:eastAsia="Arial" w:hAnsi="Arial"/>
          <w:sz w:val="16"/>
          <w:szCs w:val="16"/>
          <w:color w:val="auto"/>
        </w:rPr>
        <w:t>, Case No. 3:14-cv-03799-FLW-LHG;</w:t>
      </w:r>
      <w:r>
        <w:rPr>
          <w:rFonts w:ascii="Arial" w:cs="Arial" w:eastAsia="Arial" w:hAnsi="Arial"/>
          <w:sz w:val="16"/>
          <w:szCs w:val="16"/>
          <w:i w:val="1"/>
          <w:iCs w:val="1"/>
          <w:color w:val="auto"/>
        </w:rPr>
        <w:t xml:space="preserve"> Chew, et al. v. Ocean Power Technologies, Inc. et. al.</w:t>
      </w:r>
      <w:r>
        <w:rPr>
          <w:rFonts w:ascii="Arial" w:cs="Arial" w:eastAsia="Arial" w:hAnsi="Arial"/>
          <w:sz w:val="16"/>
          <w:szCs w:val="16"/>
          <w:color w:val="auto"/>
        </w:rPr>
        <w:t xml:space="preserve">, Case No 3:14-cv-03815-MAS-DEA; </w:t>
      </w:r>
      <w:r>
        <w:rPr>
          <w:rFonts w:ascii="Arial" w:cs="Arial" w:eastAsia="Arial" w:hAnsi="Arial"/>
          <w:sz w:val="16"/>
          <w:szCs w:val="16"/>
          <w:i w:val="1"/>
          <w:iCs w:val="1"/>
          <w:color w:val="auto"/>
        </w:rPr>
        <w:t>Konstantinidis v. Ocean Power Technologies, Inc., et al.</w:t>
      </w:r>
      <w:r>
        <w:rPr>
          <w:rFonts w:ascii="Arial" w:cs="Arial" w:eastAsia="Arial" w:hAnsi="Arial"/>
          <w:sz w:val="16"/>
          <w:szCs w:val="16"/>
          <w:color w:val="auto"/>
        </w:rPr>
        <w:t xml:space="preserve">, Case No. 3:14-cv-04015-FLW-DEA; </w:t>
      </w:r>
      <w:r>
        <w:rPr>
          <w:rFonts w:ascii="Arial" w:cs="Arial" w:eastAsia="Arial" w:hAnsi="Arial"/>
          <w:sz w:val="16"/>
          <w:szCs w:val="16"/>
          <w:i w:val="1"/>
          <w:iCs w:val="1"/>
          <w:color w:val="auto"/>
        </w:rPr>
        <w:t>Turner v. Ocean Power Technologies, Inc., et al.</w:t>
      </w:r>
      <w:r>
        <w:rPr>
          <w:rFonts w:ascii="Arial" w:cs="Arial" w:eastAsia="Arial" w:hAnsi="Arial"/>
          <w:sz w:val="16"/>
          <w:szCs w:val="16"/>
          <w:color w:val="auto"/>
        </w:rPr>
        <w:t>, Case No. 3:14-cv-04592. The Company’s former Chief Executive Officer is named as a defendant in each of the lawsuits and the Company’s Chief Financial Officer is named as a defendant in two of the lawsuits. The complaints allege claims for violations of §10(b) and §20(a) of the Securities Exchange Act of 1934 arising out of public statements relating to a now terminated agreement between Victorian Wave Partners Pty. Ltd. and the Australian Renewable Energy Agency for the development of a wave power station (the “VWP Project”). All four complaints seek unspecified monetary damages and other relief. On August 12, 2014, five motions for appointment of lead plaintiff were filed. The motions also seek to consolidate the actions. The Court has not ruled on the motions. The cases are still in their preliminary stages and defendants have not yet responded to the complaints.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10, 2014, the Company received a demand letter (“Demand Letter”) from an attorney claiming to represent a shareholder demanding that the Company’s Board of Directors establish an independent committee to investigate and remedy alleged breaches of fiduciary duties by the Board of Directors and management relating to the VWP Project.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received a letter, dated August 19, 2014, (the “Section 220 Demand”) from another attorney claiming to represent a shareholder demanding, pursuant to 8 Del. C. § 220, to inspect certain books and records of the Company relating to the VWP Project and the termination of Charles Dunleavy as the Company’s Chief Executive Officer. The Company has not yet responded to the Section 220 Demand.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FINRA Inquiry</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August 2014, the Company provided documents to the Financial Industry Regulatory Authority (FINRA) in response to a July 9, 2014 request under NASDAQ Listing Rule 5250(a)(1) seeking information related to the internal investigation of the Special Committee of the Board of Directors. There are no outstanding requests to the Company from FINRA or any other regulators at this time.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9" w:name="page20"/>
    <w:bookmarkEnd w:id="19"/>
    <w:p>
      <w:pPr>
        <w:spacing w:after="0"/>
        <w:tabs>
          <w:tab w:leader="none" w:pos="7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following discussion and analysis should be read in conjunction with the accompanying unaudited consolidated financial statements and related notes included in this Quarterly Report on Form 10-Q. Some of the information contained in this discussion and analysis or set forth elsewhere in this Form 10-Q, including information with respect to our plans and strategy for our business, includes forward-looking statements that involve risks and uncertainties. You should review the "Risk Factors" section of our Annual Report on Form 10-K for fiscal 2014 for a discussion of important factors that could cause actual results to differ materially from the results described in or implied by the forward-looking statements contained in the following discussion and analysis. References to a fiscal year in this Form 10-Q refer to the year ended April 30 of that year (e.g., fiscal 2014 refers to the year ended April 30, 2014).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We are developing and are seeking to commercialize proprietary systems that generate electricity by harnessing the renewable energy of ocean waves. Our PowerBuoy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systems use proprietary technologies that convert the mechanical energy created by the rising and falling of ocean waves into electricity. We currently have and are continuing to develop two prototype PowerBuoy product lines: our utility scale PowerBuoy and our autonomous PowerBuoy. Since fiscal 2002, government agencies have accounted for a significant portion of our revenues. These revenues were largely for the support of our product development efforts. Our goal is that an increased portion of our revenues will be from the sale of products and services, as compared to revenue from grants to support our product development efforts. As we continue to advance our proprietary technologies, we expect to have a net use of cash from operating activities unless and until we achieve positive cash flow from the planned commercialization of our products and services.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PowerBuoy system is based on modular, ocean-going buoys, which we have been periodically ocean testing since 1997. The rising and falling of the waves moves the buoy-like structure, creating mechanical energy that our proprietary technologies convert into electricity. We have tested and developed wave power generation and control technology in novel applications and have deployed and maintained our systems in the ocean for testing. We are developing PowerBuoy technology that has the unique, patented capability to electronically "tune" its performance as wave characteristics change. We expect this will enable the PowerBuoy to optimize its efficiency and resulting power output in dynamic ocean wave conditions. Our two PowerBuoy prototype products are designed for the following applications:</w:t>
      </w:r>
    </w:p>
    <w:p>
      <w:pPr>
        <w:spacing w:after="0" w:line="193" w:lineRule="exact"/>
        <w:rPr>
          <w:sz w:val="20"/>
          <w:szCs w:val="20"/>
          <w:color w:val="auto"/>
        </w:rPr>
      </w:pPr>
    </w:p>
    <w:p>
      <w:pPr>
        <w:jc w:val="both"/>
        <w:ind w:left="660" w:hanging="328"/>
        <w:spacing w:after="0" w:line="285"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utility scale prototype PowerBuoy product is designed to supply electricity to a local or regional electric power grid and/or stand-alone power user. Wave power stations may be comprised of a single PowerBuoy system or an integrated array of PowerBuoy systems, plus the remaining components required to deliver electricity to a power grid or directly to large sources of demand that are not grid-connected. We intend to sell our utility PowerBuoy system to utilities and other electrical power producers seeking to add electricity generated by wave energy to their existing electricity supply as well as to select non-grid power users. In July 2007, our PowerBuoy interface with the electrical utility power grid was certified as compliant with international standards. Intertek, an independent laboratory, provided testing and evaluation services to certify that our grid connection systems comply with designated national and international standards. The PowerBuoy grid interface bears the Electrical Testing Laboratories (ETL) listing mark, and can be connected to the utility grid. In September 2010, working in conjunction with the US Navy and Hawaii Electric Company, our 40 kilowatt (kW)-rated PowerBuoy, located at Marine Corps Base Hawaii, became the first-ever grid connected wave energy device in the United States. In January 2011, our utility scale PowerBuoy design (the “150kW PowerBuoy” or “PB150”) structure and mooring system achieved independent certification from Lloyd’s Register. This certification confirmed that the PB150B1 design complies with certain international standards promulgated for floating offshore installations. The Lloyd’s Register (1999 Rules and Regulations for the classification of Floating Offshore Installation at Fixed Locations) process included detailed design analysis and appraisals, addressing the PB150B1 structure, hydrodynamics, mooring and anchoring. This PowerBuoy was deployed off the coast of Scotland from April 2011 through October 2011. While the PowerBuoy did not produce significant or anticipated power during its deployment period, learning from the deployment was incorporated into subsequent PowerBuoy designs. Best practices from the certification have been incorporated into ongoing design improvements.</w:t>
      </w:r>
    </w:p>
    <w:p>
      <w:pPr>
        <w:spacing w:after="0" w:line="177" w:lineRule="exact"/>
        <w:rPr>
          <w:rFonts w:ascii="Arial" w:cs="Arial" w:eastAsia="Arial" w:hAnsi="Arial"/>
          <w:sz w:val="16"/>
          <w:szCs w:val="16"/>
          <w:color w:val="auto"/>
        </w:rPr>
      </w:pPr>
    </w:p>
    <w:p>
      <w:pPr>
        <w:jc w:val="both"/>
        <w:ind w:left="660" w:hanging="328"/>
        <w:spacing w:after="0" w:line="269"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autonomous prototype PowerBuoy system is designed to generate power for use independent of an existing power grid in remote locations. In 2011, we deployed and operated off the coast of New Jersey an autonomous prototype PowerBuoy (the “APB-350”), which we designed and manufactured for the US Navy’s Littoral Expeditionary Autonomous PowerBuoy (LEAP) contract for coastal security and maritime surveillance. The prototype APB-350 PowerBuoy structure, incorporating a unique power take-off and onboard system for energy storage and management, is significantly smaller than our utility scale PowerBuoy. With the partial funding from the US Navy, we were able to continue to improve our prototype PowerBuoy system. The prototype APB-350 Autonomous PowerBuoy aims at potentially providing persistent, off-grid clean energy in remote ocean locations. We believe there are a variety of potential applications for this system, including homeland security, offshore oil and gas platforms, aquaculture and ocean-based communication and data gathering such as for tsunami warnings and seismic surveys. Within the Homeland Security market sector, in 2012, we executed a Cooperative Research and Development Agreement, or CRADA, with the U.S. Department of Homeland Security, which utilized the same prototype APB-350 Autonomous PowerBuoy. An additional 2013 deployment provided critical data to inform the next design iteration of the prototype APB-350, which will incorporate major modifications to address critical operations and reliability improvements.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Our product development and engineering efforts are focused primarily on technologies that aim to increase energy output, reliability and scalability of the design of our PowerBuoy system, with the goal of generating electricity at a competitive levelized cost of energy.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achieve economies of scale for our prototype PowerBuoy systems and improve energy conversion efficiencies, we expect them to be able to provide a renewable electricity solution that competes in certain local markets where wave energy resources are very strong, where the current retail price of electricity is relatively high, and/or where sufficient subsidies are available.</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fiscal 2014, we worked on projects with the US Department of Energy (“DOE”), our WavePort project in Spain, our project with Mitsui Engineering &amp; Shipbuilding (“MES”) and continued our efforts to increase the power output and reliability of our utility and autonomous PowerBuoy systems.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July 31, 2014, we continued work on our projects with MES and the DOE. We also completed our contract with the European Union (EC) for our WavePort project in Spain. The next step in this project will be partially funded by a grant that we received from Ente Vasco de la Energia (“EVE”) a Basque regional energy agency. The grant is up to Euro 1.13 million ($1.56 million) and funding will depend on the amount of eligible project spending incurred as well as amounts received from the EC related to the project. The performance period for the EVE grant runs to December 31, 2015. It is anticipated that the PowerBuoy will be deployed at a site off the north coast of Spain, along with other components of the project to be provided by members of the consortium under the EC contract.</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our Reedsport project in Oregon, we had obtained a permit from the Federal Energy Regulatory Commission (“FERC”) for a multi-stage wave power project off the coast of Reedsport, Oregon. In addition, we received two cost-sharing contracts with the (DOE) for approximately $4.4 million to construct and deploy a single PowerBuoy off the coast of Reedsport. We subsequently obtained a license from FERC in August 2012 that authorized installation and operation of a 10-buoy grid connected wave energy array (the “License”). Due to the complexity of the FERC regulations for the single buoy, higher than anticipated project costs, unanticipated technical risks, and uncertainty surrounding permitting, we made the decision not to proceed with the project. Accordingly, we announced in March 2014 our surrender of the permit for one phase of the project and announced in April 2014 that we are taking the steps necessary to close out this project with the DOE. In May 2014, we filed an application to surrender the FERC permit for the remaining phases. In August we completed the removal of the anchoring and mooring equipment from the seabed off the coast of Oregon. We are in the process of completing the site survey and clearance, and submittal and acceptance of final reports to FERC.</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continued our efforts to increase the output and reliability of our utility and autonomous PowerBuoy systems. Our development efforts also remain focused on further optimization of our modular and optimized power takeoff technology.</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At July 31, 2014, our total negotiated backlog was $4.3 million compared with $3.5 million at July 31, 2013. Most of our backlog at July 31, 2014 and 2013 consisted of cost-sharing contracts as described in the Financial Operations Overview section of Management’s Discussion and Analysis in this Quarterly Report on Form 10-Q. Our backlog can include both funded amounts, which are unfilled firm orders for our products and services for which funding has been both authorized and appropriated by the customer (Congress, in the case of US Government agencies), and unfunded amounts, which are unfilled firm orders from the DOE for which funding has not been appropriated. If any of our contracts were to be terminated, our backlog would be reduced by the expected value of the remaining terms of such contracts. Our backlog was fully funded at July 31, 2014 and 2013. Further, in September 2013, we were selected for a $1.0 million award from the DOE to enhance the commercial viability of our PowerBuoy system through mechanical component design changes. As of July 31, 2014, the receipt of funds under this award is pending further negotiations, and this award is not included in our negotiated backlog.</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July 31, 2014, we generated revenues of $1.5 million and incurred a net loss attributable to Ocean Power Technologies, Inc. of $3.3 million, and for the three months ended July 31, 2013, we generated revenues of $0.5 million and incurred a net loss attributable to Ocean Power Technologies, Inc. of $3.7 million. As of July 31, 2014, our accumulated deficit was $154.9 million. We have not been profitable since inception, and we do not know whether or when we will become profitable because of the significant uncertainties with respect to our ability to successfully commercialize our PowerBuoy systems in the emerging renewable energy market.</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Currently, the cost of electricity generated from wave energy, without the benefit of subsidies or other economic incentives, substantially exceeds the prevailing price of electricity in all significant markets in the world. As a result, the near-term growth of the market opportunity for our utility PowerBuoy systems, which are designed with the capability to feed electricity into a local or regional power grid, depends significantly on the availability and magnitude of government incentives and subsidies for wave energy. Federal, state and local governmental bodies in many countries have provided subsidies in the form of tariff subsidies, rebates, tax credits and other incentives to utilities, power generators and distributors using renewable energy. However, these incentives and subsidies generally decline over time. Many incentive and subsidy programs have specific expiration dates, and there can be no assurance that our technology will qualify for current or future subsidies. The timing, scope and size of new government programs for renewable energy are uncertain, and there can be no assurances that we or our customers will be successful in obtaining any additional government funding or that projects will be profitable even with available funding.</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8"/>
          <w:szCs w:val="18"/>
          <w:color w:val="auto"/>
        </w:rPr>
        <w:t>The amount of contract backlog is not necessarily indicative of future revenue because modifications to or terminations of present contracts and production delays can provide additional revenue or reduce anticipated revenue. A substantial portion of our revenue is recognized using the percentage-of-completion method, and changes in estimates from time to time may have a significant effect on revenue and backlog. Our backlog is also typically subject to large variations from time to time due to the timing of new awards.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2009, Leighton Contractors Pty. Ltd. (Leighton) formed Victorian Wave Partners Pty Ltd (“VWP”), a special purpose company for the development of a wave power project off the coast of Victoria, Australia. In 2010, VWP and the Commonwealth of Australia entered into an Energy Demonstration Program Funding Deed (“Funding Deed”), wherein VWP was awarded an A$66.5 million (approximately US$62 million) grant for the wave power project; however, receipt of funds under the grant was subject to certain terms, including achievement of future significant external funding milestones. The grant was expected to be used towards the A$232 million proposed cost of building and deploying a wave power station off the coast of Australia (the “Project”). In March 2012, our Australian subsidiary Ocean Power Technologies (Australasia) Pty. Ltd acquired 100% ownership of VWP from Leighton. In January 2014, VWP signed a Deed of Variation with the Australian Renewable Energy Agency (“ARENA”) that amended the Funding Deed, and, in March 2014, received the initial portion of the grant from ARENA in the amount of approximately A$5.6 million (approximately US$5.2 million) (the “Initial Funding”). The Initial Funding was subject to claw-back provisions if certain contractual requirements, including performance criteria, were not satisfied. In light of the claw-back provisions, the Company determined to classify the Initial Funding as an advance payment, hold the funds as restricted cash and defer recognition of the funds as revenue.</w:t>
      </w:r>
    </w:p>
    <w:p>
      <w:pPr>
        <w:spacing w:after="0" w:line="18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July 2014, VWP’s Board of Directors concluded that the wave power demonstration project contemplated was no longer commercially viable, and VWP delivered a termination notice to ARENA. In August 2014, the Company and ARENA executed the Deed of Variation and Termination of Funding Deed. Under this agreement the Company returned the initial grant funding received of A$5,595,723 ($5,237,037) and interest of A$109,051 ($102,061).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certain line items in our consolidated statements of operations and some of the factors that affect our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our customer acknowledges that such criteria have been satisfied. In addition, recognition of revenue (and the related costs) may be deferred for fixed-price contracts until contract completion if we are unable to reasonably estimate the total costs of the project prior to completion. Some revenue contracts may contain complex criteria or uncertainty surrounding the terms of performance and customer acceptance. These contracts are subject to interpretation, and management may make a judgment as to the amount of revenue earned and recorded. Because we have a small number of contracts, revisions to the percentage-of-completion determination, management interpretation or delays in meeting performance and contractual criteria or in completing projects may have a significant effect on our revenue for the periods involved. Upon anticipating a loss on a contract, we recognize the full amount of the anticipated loss in the current period.</w:t>
      </w:r>
    </w:p>
    <w:p>
      <w:pPr>
        <w:spacing w:after="0" w:line="2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Generally, our contracts are either cost plus or fixed price contracts. Under cost plus contracts, we bill the customer for actual expenses incurred plus an agreed-upon fee. Revenue is typically recorded using the percentage-of-completion method based on the maximum awarded contract amount. In certain cases, we may choose to incur costs in excess of the maximum awarded contract amounts resulting in a loss on the contract. Currently, we have two types of fixed price contracts, firm fixed price and cost-sharing. Under firm fixed price contracts, we receive an agreed-upon amount for providing products and services that are specified in the contract. Revenue is typically recorded using the percentage-of-completion method based on the contract amount. Depending on whether actual costs are more or less than the agreed-upon amount, there is a profit or loss on the project. Under cost-sharing contracts, the fixed amount agreed upon with the customer is only intended to fund a portion of the costs on a specific project. We fund the remainder of the costs as part of our product development efforts. Revenue is typically recorded using the percentage-of-completion method based on the amount agreed upon with the customer. An amount corresponding to the revenue is recorded in cost of revenues resulting in gross profit on these contracts of zero. Our share of the costs is recorded as product development expense. The majority of our revenue for the three months ended July 31, 2014 and 2013 was from cost-sharing contracts, however, in the three months ended July 31, 2014 our firm fixed price contract with MES recorded under the percentage-of-completion method had an increase in estimated total costs of the project. This increase in estimated project costs resulted in a gross loss and we recorded an accrual for the future anticipated loss on the contract.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auto"/>
        </w:rPr>
        <w:t>The following table provides information regarding the breakdown of our revenues by customer for the three months ended July 31, 2014 and 2013:</w:t>
      </w:r>
    </w:p>
    <w:p>
      <w:pPr>
        <w:spacing w:after="0" w:line="233" w:lineRule="exact"/>
        <w:rPr>
          <w:sz w:val="20"/>
          <w:szCs w:val="20"/>
          <w:color w:val="auto"/>
        </w:rPr>
      </w:pPr>
    </w:p>
    <w:tbl>
      <w:tblPr>
        <w:tblLayout w:type="fixed"/>
        <w:tblInd w:w="1460" w:type="dxa"/>
        <w:tblCellMar>
          <w:top w:w="0" w:type="dxa"/>
          <w:left w:w="0" w:type="dxa"/>
          <w:bottom w:w="0" w:type="dxa"/>
          <w:right w:w="0" w:type="dxa"/>
        </w:tblCellMar>
      </w:tblPr>
      <w:tr>
        <w:trPr>
          <w:trHeight w:val="234"/>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Customer</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6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 July 31,</w:t>
            </w:r>
          </w:p>
        </w:tc>
        <w:tc>
          <w:tcPr>
            <w:tcW w:w="0" w:type="dxa"/>
            <w:vAlign w:val="bottom"/>
          </w:tcPr>
          <w:p>
            <w:pPr>
              <w:spacing w:after="0"/>
              <w:rPr>
                <w:sz w:val="1"/>
                <w:szCs w:val="1"/>
                <w:color w:val="auto"/>
              </w:rPr>
            </w:pPr>
          </w:p>
        </w:tc>
      </w:tr>
      <w:tr>
        <w:trPr>
          <w:trHeight w:val="210"/>
        </w:trPr>
        <w:tc>
          <w:tcPr>
            <w:tcW w:w="56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 millions)</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European Union (WavePort project)</w:t>
            </w:r>
          </w:p>
        </w:tc>
        <w:tc>
          <w:tcPr>
            <w:tcW w:w="4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5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Mitsui Engineering &amp; Shipbuilding (MES)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US Department of Energy (DOE)</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UK Government's Technology Strategy Board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currently focus our sales and marketing efforts on the west coast of North America, the west coast of Europe, Australia and the east coast of Japan. The following table shows the percentage of our revenues by geographical location of our customers for the three months ended July 31, 2014 and 2013:</w:t>
      </w:r>
    </w:p>
    <w:p>
      <w:pPr>
        <w:spacing w:after="0" w:line="120" w:lineRule="exact"/>
        <w:rPr>
          <w:sz w:val="20"/>
          <w:szCs w:val="20"/>
          <w:color w:val="auto"/>
        </w:rPr>
      </w:pPr>
    </w:p>
    <w:tbl>
      <w:tblPr>
        <w:tblLayout w:type="fixed"/>
        <w:tblInd w:w="1460" w:type="dxa"/>
        <w:tblCellMar>
          <w:top w:w="0" w:type="dxa"/>
          <w:left w:w="0" w:type="dxa"/>
          <w:bottom w:w="0" w:type="dxa"/>
          <w:right w:w="0" w:type="dxa"/>
        </w:tblCellMar>
      </w:tblPr>
      <w:tr>
        <w:trPr>
          <w:trHeight w:val="234"/>
        </w:trPr>
        <w:tc>
          <w:tcPr>
            <w:tcW w:w="56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Customer Location</w:t>
            </w:r>
          </w:p>
        </w:tc>
        <w:tc>
          <w:tcPr>
            <w:tcW w:w="346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Three months ended July 31,</w:t>
            </w:r>
          </w:p>
        </w:tc>
        <w:tc>
          <w:tcPr>
            <w:tcW w:w="0" w:type="dxa"/>
            <w:vAlign w:val="bottom"/>
          </w:tcPr>
          <w:p>
            <w:pPr>
              <w:spacing w:after="0"/>
              <w:rPr>
                <w:sz w:val="1"/>
                <w:szCs w:val="1"/>
                <w:color w:val="auto"/>
              </w:rPr>
            </w:pPr>
          </w:p>
        </w:tc>
      </w:tr>
      <w:tr>
        <w:trPr>
          <w:trHeight w:val="210"/>
        </w:trPr>
        <w:tc>
          <w:tcPr>
            <w:tcW w:w="5680" w:type="dxa"/>
            <w:vAlign w:val="bottom"/>
            <w:gridSpan w:val="3"/>
            <w:vMerge w:val="continue"/>
          </w:tcPr>
          <w:p>
            <w:pPr>
              <w:spacing w:after="0"/>
              <w:rPr>
                <w:sz w:val="18"/>
                <w:szCs w:val="18"/>
                <w:color w:val="auto"/>
              </w:rPr>
            </w:pPr>
          </w:p>
        </w:tc>
        <w:tc>
          <w:tcPr>
            <w:tcW w:w="152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2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and Australia</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cost of revenues consists primarily of incurred material, labor and manufacturing overhead expenses, such as engineering expense, equipment depreciation and maintenance and facility related expenses, and includes the cost of PowerBuoy parts and services supplied by third-party suppliers. Cost of revenues also includes PowerBuoy system delivery and deployment expenses and may include anticipated losses at completion on certain contracts.</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Most of our revenue recorded for the three months ended July 31, 2014 and 2013 was generated from cost-sharing contracts, which result in zero gross profit, however, in the three months ended July 31, 2014 our firm fixed price contract with MES recorded under the percentage-of-completion method had an increase in estimated total costs of the project. This increase in estimated project costs resulted in a gross loss and we recorded an accrual for the future anticipated loss on the contract.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ability to generate a gross profit will depend on the nature of future contracts, our success at increasing sales of our PowerBuoy systems and our ability to manage costs incurred on fixed price commercial contracts.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costs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power output and reliability of our utility PowerBuoy system, and to our research and development of new products, product applications and complementary technologies. We expense all of our product development costs as incurred. Over the next several years, it is our intent to fund the majority of our research and development expenses, including cost-sharing arrangements, with sources of external funding. If we are unable to obtain external funding, we may curtail our research and development expenses and scope as necessary.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selling, general and administrative costs consist primarily of professional fees, salaries and other personnel-related costs for employees and consultants engaged in sales and marketing and support of our PowerBuoy systems and costs for executive, accounting and administrative personnel, professional fees and other general corporate expenses.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Interest income (expense), net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income consists of interest received on cash and cash equivalents, investments in commercial bank-issued certificates of deposit and US Treasury bills and notes and interest expense paid on certain obligations to third parties. Total cash, cash equivalents, restricted cash, and marketable securities were $32.5 million as of July 31, 2014, compared to $18.6 million as of July 31, 2013.</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anticipate that our interest income reported in fiscal 2015 will continue to be lower than the comparable periods of the prior fiscal year as a result of the decrease in invested cash.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 (loss)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 Due to the macroeconomic pressures in certain European countries, foreign exchange rates may become more volatile in the future.</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invest in certificates of deposit and maintain cash accounts that are denominated in British pounds sterling, Euros and Australian dollars. These foreign-denominated certificates of deposit and cash accounts had a balance of $6.6 million as of July 31, 2014 and $2.7 million as of July 31, 2013, compared to our total cash, cash equivalents, restricted cash, and marketable securities balances of $32.5 million as of July 31, 2014 and $18.6 million as of July 31, 2013. These foreign currency balances are translated at each month end to our functional currency, the US dollar, and any resulting gain or loss is recognized in our results of operations.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All of our international revenues for the three months ended July 31, 2014 and 2013 were recorded in Euros or British pounds sterling.</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cash equivalents and marketable securities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July 31, 2014 Compared to Three Months Ended July 31, 2013</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three months ended July 31, 2014 and 2013:</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40" w:type="dxa"/>
            <w:vAlign w:val="bottom"/>
            <w:gridSpan w:val="6"/>
            <w:vMerge w:val="restart"/>
          </w:tcPr>
          <w:p>
            <w:pPr>
              <w:jc w:val="right"/>
              <w:ind w:right="700"/>
              <w:spacing w:after="0"/>
              <w:rPr>
                <w:sz w:val="20"/>
                <w:szCs w:val="20"/>
                <w:color w:val="auto"/>
              </w:rPr>
            </w:pPr>
            <w:r>
              <w:rPr>
                <w:rFonts w:ascii="Arial" w:cs="Arial" w:eastAsia="Arial" w:hAnsi="Arial"/>
                <w:sz w:val="18"/>
                <w:szCs w:val="18"/>
                <w:b w:val="1"/>
                <w:bCs w:val="1"/>
                <w:color w:val="auto"/>
                <w:w w:val="97"/>
              </w:rPr>
              <w:t>Three Months ended July 31,</w:t>
            </w: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 Change</w:t>
            </w:r>
          </w:p>
        </w:tc>
        <w:tc>
          <w:tcPr>
            <w:tcW w:w="0" w:type="dxa"/>
            <w:vAlign w:val="bottom"/>
          </w:tcPr>
          <w:p>
            <w:pPr>
              <w:spacing w:after="0"/>
              <w:rPr>
                <w:sz w:val="1"/>
                <w:szCs w:val="1"/>
                <w:color w:val="auto"/>
              </w:rPr>
            </w:pPr>
          </w:p>
        </w:tc>
      </w:tr>
      <w:tr>
        <w:trPr>
          <w:trHeight w:val="221"/>
        </w:trPr>
        <w:tc>
          <w:tcPr>
            <w:tcW w:w="5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40" w:type="dxa"/>
            <w:vAlign w:val="bottom"/>
            <w:gridSpan w:val="6"/>
            <w:vMerge w:val="continue"/>
          </w:tcPr>
          <w:p>
            <w:pPr>
              <w:spacing w:after="0"/>
              <w:rPr>
                <w:sz w:val="19"/>
                <w:szCs w:val="19"/>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2014 Period to</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2013 Period</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1,540,528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460,927</w:t>
            </w: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6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1,967,164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460,376</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Gross (loss) profit</w:t>
            </w:r>
          </w:p>
        </w:tc>
        <w:tc>
          <w:tcPr>
            <w:tcW w:w="3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(426,636)</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551</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(77,529)</w:t>
            </w: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5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6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development (recoveries) costs</w:t>
            </w:r>
          </w:p>
        </w:tc>
        <w:tc>
          <w:tcPr>
            <w:tcW w:w="3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(80,055)</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1,270,945</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5140" w:type="dxa"/>
            <w:vAlign w:val="bottom"/>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3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3,122,972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2,547,759</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gridSpan w:val="2"/>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3,042,917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3,818,704</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gridSpan w:val="2"/>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Operating loss</w:t>
            </w:r>
          </w:p>
        </w:tc>
        <w:tc>
          <w:tcPr>
            <w:tcW w:w="300" w:type="dxa"/>
            <w:vAlign w:val="bottom"/>
          </w:tcPr>
          <w:p>
            <w:pPr>
              <w:spacing w:after="0"/>
              <w:rPr>
                <w:sz w:val="18"/>
                <w:szCs w:val="18"/>
                <w:color w:val="auto"/>
              </w:rPr>
            </w:pPr>
          </w:p>
        </w:tc>
        <w:tc>
          <w:tcPr>
            <w:tcW w:w="1420" w:type="dxa"/>
            <w:vAlign w:val="bottom"/>
            <w:gridSpan w:val="3"/>
          </w:tcPr>
          <w:p>
            <w:pPr>
              <w:jc w:val="right"/>
              <w:ind w:right="120"/>
              <w:spacing w:after="0"/>
              <w:rPr>
                <w:sz w:val="20"/>
                <w:szCs w:val="20"/>
                <w:color w:val="auto"/>
              </w:rPr>
            </w:pPr>
            <w:r>
              <w:rPr>
                <w:rFonts w:ascii="Arial" w:cs="Arial" w:eastAsia="Arial" w:hAnsi="Arial"/>
                <w:sz w:val="18"/>
                <w:szCs w:val="18"/>
                <w:color w:val="auto"/>
              </w:rPr>
              <w:t>(3,469,553)</w:t>
            </w:r>
          </w:p>
        </w:tc>
        <w:tc>
          <w:tcPr>
            <w:tcW w:w="3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(3,818,153)</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300" w:type="dxa"/>
            <w:vAlign w:val="bottom"/>
          </w:tcPr>
          <w:p>
            <w:pPr>
              <w:spacing w:after="0"/>
              <w:rPr>
                <w:sz w:val="18"/>
                <w:szCs w:val="18"/>
                <w:color w:val="auto"/>
              </w:rPr>
            </w:pPr>
          </w:p>
        </w:tc>
        <w:tc>
          <w:tcPr>
            <w:tcW w:w="1420" w:type="dxa"/>
            <w:vAlign w:val="bottom"/>
            <w:gridSpan w:val="3"/>
          </w:tcPr>
          <w:p>
            <w:pPr>
              <w:jc w:val="right"/>
              <w:ind w:right="120"/>
              <w:spacing w:after="0"/>
              <w:rPr>
                <w:sz w:val="20"/>
                <w:szCs w:val="20"/>
                <w:color w:val="auto"/>
              </w:rPr>
            </w:pPr>
            <w:r>
              <w:rPr>
                <w:rFonts w:ascii="Arial" w:cs="Arial" w:eastAsia="Arial" w:hAnsi="Arial"/>
                <w:sz w:val="18"/>
                <w:szCs w:val="18"/>
                <w:color w:val="auto"/>
              </w:rPr>
              <w:t>(58,620)</w:t>
            </w: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358</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(16,474)</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185,000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Foreign exchange (loss) gain</w:t>
            </w:r>
          </w:p>
        </w:tc>
        <w:tc>
          <w:tcPr>
            <w:tcW w:w="300" w:type="dxa"/>
            <w:vAlign w:val="bottom"/>
          </w:tcPr>
          <w:p>
            <w:pPr>
              <w:spacing w:after="0"/>
              <w:rPr>
                <w:sz w:val="18"/>
                <w:szCs w:val="18"/>
                <w:color w:val="auto"/>
              </w:rPr>
            </w:pPr>
          </w:p>
        </w:tc>
        <w:tc>
          <w:tcPr>
            <w:tcW w:w="1420" w:type="dxa"/>
            <w:vAlign w:val="bottom"/>
            <w:gridSpan w:val="3"/>
          </w:tcPr>
          <w:p>
            <w:pPr>
              <w:jc w:val="right"/>
              <w:ind w:right="120"/>
              <w:spacing w:after="0"/>
              <w:rPr>
                <w:sz w:val="20"/>
                <w:szCs w:val="20"/>
                <w:color w:val="auto"/>
              </w:rPr>
            </w:pPr>
            <w:r>
              <w:rPr>
                <w:rFonts w:ascii="Arial" w:cs="Arial" w:eastAsia="Arial" w:hAnsi="Arial"/>
                <w:sz w:val="18"/>
                <w:szCs w:val="18"/>
                <w:color w:val="auto"/>
              </w:rPr>
              <w:t>(5,658)</w:t>
            </w: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21,770</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18"/>
                <w:szCs w:val="18"/>
                <w:color w:val="auto"/>
              </w:rPr>
            </w:pPr>
          </w:p>
        </w:tc>
        <w:tc>
          <w:tcPr>
            <w:tcW w:w="1420" w:type="dxa"/>
            <w:vAlign w:val="bottom"/>
            <w:gridSpan w:val="3"/>
          </w:tcPr>
          <w:p>
            <w:pPr>
              <w:jc w:val="right"/>
              <w:ind w:right="120"/>
              <w:spacing w:after="0"/>
              <w:rPr>
                <w:sz w:val="20"/>
                <w:szCs w:val="20"/>
                <w:color w:val="auto"/>
              </w:rPr>
            </w:pPr>
            <w:r>
              <w:rPr>
                <w:rFonts w:ascii="Arial" w:cs="Arial" w:eastAsia="Arial" w:hAnsi="Arial"/>
                <w:sz w:val="18"/>
                <w:szCs w:val="18"/>
                <w:color w:val="auto"/>
              </w:rPr>
              <w:t>(3,348,831)</w:t>
            </w:r>
          </w:p>
        </w:tc>
        <w:tc>
          <w:tcPr>
            <w:tcW w:w="3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(3,796,025)</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40" w:type="dxa"/>
            <w:vAlign w:val="bottom"/>
          </w:tcPr>
          <w:p>
            <w:pPr>
              <w:ind w:left="160"/>
              <w:spacing w:after="0" w:line="201" w:lineRule="exact"/>
              <w:rPr>
                <w:sz w:val="20"/>
                <w:szCs w:val="20"/>
                <w:color w:val="auto"/>
              </w:rPr>
            </w:pPr>
            <w:r>
              <w:rPr>
                <w:rFonts w:ascii="Arial" w:cs="Arial" w:eastAsia="Arial" w:hAnsi="Arial"/>
                <w:sz w:val="18"/>
                <w:szCs w:val="18"/>
                <w:color w:val="auto"/>
                <w:w w:val="96"/>
              </w:rPr>
              <w:t>Less: Net loss attributable to the noncontrolling interest in Ocean</w:t>
            </w:r>
          </w:p>
        </w:tc>
        <w:tc>
          <w:tcPr>
            <w:tcW w:w="300" w:type="dxa"/>
            <w:vAlign w:val="bottom"/>
          </w:tcPr>
          <w:p>
            <w:pPr>
              <w:spacing w:after="0"/>
              <w:rPr>
                <w:sz w:val="17"/>
                <w:szCs w:val="17"/>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66,079</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46,055</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140" w:type="dxa"/>
            <w:vAlign w:val="bottom"/>
          </w:tcPr>
          <w:p>
            <w:pPr>
              <w:ind w:left="320"/>
              <w:spacing w:after="0"/>
              <w:rPr>
                <w:sz w:val="20"/>
                <w:szCs w:val="20"/>
                <w:color w:val="auto"/>
              </w:rPr>
            </w:pPr>
            <w:r>
              <w:rPr>
                <w:rFonts w:ascii="Arial" w:cs="Arial" w:eastAsia="Arial" w:hAnsi="Arial"/>
                <w:sz w:val="18"/>
                <w:szCs w:val="18"/>
                <w:color w:val="auto"/>
              </w:rPr>
              <w:t>Power Technologies (Australasia) Pty Ltd</w:t>
            </w:r>
          </w:p>
        </w:tc>
        <w:tc>
          <w:tcPr>
            <w:tcW w:w="3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gridSpan w:val="2"/>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Net loss attributable to Ocean Power Technologies, Inc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gridSpan w:val="3"/>
          </w:tcPr>
          <w:p>
            <w:pPr>
              <w:jc w:val="right"/>
              <w:ind w:right="120"/>
              <w:spacing w:after="0"/>
              <w:rPr>
                <w:sz w:val="20"/>
                <w:szCs w:val="20"/>
                <w:color w:val="auto"/>
              </w:rPr>
            </w:pPr>
            <w:r>
              <w:rPr>
                <w:rFonts w:ascii="Arial" w:cs="Arial" w:eastAsia="Arial" w:hAnsi="Arial"/>
                <w:sz w:val="18"/>
                <w:szCs w:val="18"/>
                <w:color w:val="auto"/>
              </w:rPr>
              <w:t>(3,282,752)</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(3,749,970)</w:t>
            </w:r>
          </w:p>
        </w:tc>
        <w:tc>
          <w:tcPr>
            <w:tcW w:w="1680" w:type="dxa"/>
            <w:vAlign w:val="bottom"/>
            <w:gridSpan w:val="2"/>
          </w:tcPr>
          <w:p>
            <w:pPr>
              <w:jc w:val="right"/>
              <w:spacing w:after="0" w:line="216" w:lineRule="exact"/>
              <w:rPr>
                <w:sz w:val="20"/>
                <w:szCs w:val="20"/>
                <w:color w:val="auto"/>
              </w:rPr>
            </w:pPr>
            <w:r>
              <w:rPr>
                <w:rFonts w:ascii="Arial" w:cs="Arial" w:eastAsia="Arial" w:hAnsi="Arial"/>
                <w:sz w:val="14"/>
                <w:szCs w:val="14"/>
                <w:color w:val="auto"/>
              </w:rPr>
              <w:t>12</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Revenues increased by $1.1 million, or 234%, to $1.5 million in the three months ended July 31, 2014, as compared to $0.5 million in the three months ended July 31, 2013. The increase in revenue related to the expiration of the WavePort contract with EU which resulted in recognition of the remaining estimated amount of contract revenue to be earned related to the project in Spain and increased billable work under the current phase of our project with MES. These increases were offset by decreased revenues on our development project for our modular power take-off technology.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Cost of revenues increased by $1.5 million, or 327%, to $2.0 million in the three months ended July 31, 2014, as compared to $0.5 million in the three months ended July 31, 2013. The increase in cost of revenue related to the expiration of the WavePort contract with EU which resulted in recognition of the remaining estimated amount of contract revenue to be earned related to the project in Spain and increased billable work under the current phase of our project with MES. Our firm fixed price contract with MES recorded under the percentage-of-completion method had an increase in estimated total costs of the project. This increase in estimated project costs resulted in a gross loss and we recorded an accrual for the future anticipated loss on the contract. These increases were offset by decreased cost of revenues on our development project for our modular power take-off technology.</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Most of our projects in the three month period ended July 31, 2013 were under cost-sharing contracts. Under cost-sharing contracts, we receive a fixed amount agreed upon with the customer that is only intended to fund a portion of the costs on a specific project. We fund the remainder of the costs primarily as part of our product development efforts. Revenue is typically recorded using the percentage-of-completion method applied to the contractual amount agreed upon with the customer. An equal amount corresponding to the revenue is recorded in cost of revenues resulting in gross profit on these contracts of zero. Our share of the costs is considered to be product development expense. Our ability to generate a gross profit will depend on the nature of future contracts, our success at increasing sales of our PowerBuoy systems and on our ability to manage costs incurred on our fixed price contracts.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Product development costs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Product development costs decreased by $1.4 million, or (106)%, to $(0.1) million in the three months ended July 31, 2014, as compared to $1.3 million in the three months ended July 31, 2013. The decrease in product development costs was related primarily to the completion of our cost-sharing contract with the European Union for our WavePort project in Spain. This is a result of the decreased cost-sharing portion of the contract which we recorded under product development in prior periods and was recovered during the three months ended July 31, 2014. Over the next several years, it is our intent to fund the majority of our research and development expenses, including cost-sharing arrangements, with sources of external funding. If we are unable to obtain external funding, we may curtail product development expenses and/or scope as necessary.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costs increased by approximately $0.6 million, or 23%, to $3.1 million for the three months ended July 31, 2014 as compared to $2.6 million for the three months ended July 31, 2013. The increase was related primarily to legal fees due to outside counsel retained by the Special Committee of the Board of Directors to conduct an internal investigation into the agreement between VWP and ARENA. In addition, costs increased related to third party consultant fees and patent costs due to shortening the estimated useful lives for recording amortization expense. These increases were offset by decreased accounting fees and decreased employee related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income, net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(expense) decreased to ($59,000) for the three months ended July 31, 2014, as compared to $358 in the three months ended July 31, 2013.</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This decrease was related primarily to interest expense recorded for the repayment of funds received in March 2014 from ARENA of $5.2 million.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 gain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Foreign exchange loss was $6,000 for the three months ended July 31, 2014, compared to a foreign exchange gain of $22,000 for the three months ended July 31, 2013. The difference was attributable primarily to the relative change in value of the British pound sterling, Euro and Australian dollar compared to the US dollar during the two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July 31, 2014, we reached a favorable settlement with a vendor regarding a disputed transaction, which comprises the amount of $185,000 recorded within Other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Since our inception, the cash flows from customer revenues have not been sufficient to fund our operations and provide the capital resources for the planned growth of our business. For the two years ended April 30, 2014, our net losses were $26.0 million and our net cash used in operating activities was $17.3 million.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Cash flows for the three months ended July 31, 2014 and 2013 were as follows: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(3,348,831)</w:t>
            </w:r>
          </w:p>
        </w:tc>
        <w:tc>
          <w:tcPr>
            <w:tcW w:w="1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(3,796,025)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 noncash operating items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261,969</w:t>
            </w:r>
          </w:p>
        </w:tc>
        <w:tc>
          <w:tcPr>
            <w:tcW w:w="1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320,514</w:t>
            </w: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576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cash operating loss</w:t>
            </w:r>
          </w:p>
        </w:tc>
        <w:tc>
          <w:tcPr>
            <w:tcW w:w="36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(3,086,862)</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(3,475,511)</w:t>
            </w: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operating assets and liabilities</w:t>
            </w:r>
          </w:p>
        </w:tc>
        <w:tc>
          <w:tcPr>
            <w:tcW w:w="36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(80,678)</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397,981</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(3,167,540)</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(3,077,530)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74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980" w:type="dxa"/>
            <w:vAlign w:val="bottom"/>
          </w:tcPr>
          <w:p>
            <w:pPr>
              <w:spacing w:after="0"/>
              <w:rPr>
                <w:sz w:val="22"/>
                <w:szCs w:val="22"/>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(3,006,517)</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4,080,542</w:t>
            </w:r>
          </w:p>
        </w:tc>
        <w:tc>
          <w:tcPr>
            <w:tcW w:w="0" w:type="dxa"/>
            <w:vAlign w:val="bottom"/>
          </w:tcPr>
          <w:p>
            <w:pPr>
              <w:spacing w:after="0"/>
              <w:rPr>
                <w:sz w:val="1"/>
                <w:szCs w:val="1"/>
                <w:color w:val="auto"/>
              </w:rPr>
            </w:pPr>
          </w:p>
        </w:tc>
      </w:tr>
      <w:tr>
        <w:trPr>
          <w:trHeight w:val="197"/>
        </w:trPr>
        <w:tc>
          <w:tcPr>
            <w:tcW w:w="980" w:type="dxa"/>
            <w:vAlign w:val="bottom"/>
          </w:tcPr>
          <w:p>
            <w:pPr>
              <w:spacing w:after="0"/>
              <w:rPr>
                <w:sz w:val="17"/>
                <w:szCs w:val="17"/>
                <w:color w:val="auto"/>
              </w:rPr>
            </w:pPr>
          </w:p>
        </w:tc>
        <w:tc>
          <w:tcPr>
            <w:tcW w:w="576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980" w:type="dxa"/>
            <w:vAlign w:val="bottom"/>
          </w:tcPr>
          <w:p>
            <w:pPr>
              <w:spacing w:after="0"/>
              <w:rPr>
                <w:sz w:val="22"/>
                <w:szCs w:val="22"/>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(25,668)</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(31,814)</w:t>
            </w:r>
          </w:p>
        </w:tc>
        <w:tc>
          <w:tcPr>
            <w:tcW w:w="0" w:type="dxa"/>
            <w:vAlign w:val="bottom"/>
          </w:tcPr>
          <w:p>
            <w:pPr>
              <w:spacing w:after="0"/>
              <w:rPr>
                <w:sz w:val="1"/>
                <w:szCs w:val="1"/>
                <w:color w:val="auto"/>
              </w:rPr>
            </w:pPr>
          </w:p>
        </w:tc>
      </w:tr>
      <w:tr>
        <w:trPr>
          <w:trHeight w:val="197"/>
        </w:trPr>
        <w:tc>
          <w:tcPr>
            <w:tcW w:w="980" w:type="dxa"/>
            <w:vAlign w:val="bottom"/>
          </w:tcPr>
          <w:p>
            <w:pPr>
              <w:spacing w:after="0"/>
              <w:rPr>
                <w:sz w:val="17"/>
                <w:szCs w:val="17"/>
                <w:color w:val="auto"/>
              </w:rPr>
            </w:pPr>
          </w:p>
        </w:tc>
        <w:tc>
          <w:tcPr>
            <w:tcW w:w="576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(31,284)</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(6,335)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7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Net cash used in operating activities was $3.2 million and $3.1 million for the three months ended July 31, 2014 and 2013, respectively. The change was the result of a decrease in net loss of $0.4 million offset by a decrease in cash provided by the net change in operating assets and liabilities of $0.5 million.</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decrease in net loss for the three months ended July 31, 2014 compared to the three months ended July 31, 2013 reflects a decrease in product development costs of $1.4 million relating primarily to a decrease in our cost-sharing portion of our contract with the European Union for our WavePort project in Spain, offset by increased estimated costs to complete for our project with MES and increased SG&amp;A costs.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noncash operating items reflects a decrease in equity compensation of $0.2 million offset by a net increase in amortization expense for patents and foreign exchange losses of $0.2 million.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operating assets and liabilities reflects the collection of $0.3 million in accounts receivable, a net increase in accounts payable and accrued expenses of $1.0 million, an increase of $0.5 million in advanced payments received from customers offset by an increase of $0.5 million for unbilled receivables, a net decrease of $1.0 million in unearned revenues and an increase of $0.4 million in other current assets, during the three months ended July 31,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provided by investing activities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investing activities was $3.0 million for the three months ended July 31, 2014 and net cash provided by investing activities was $4.1 million for the three months ended July 31, 2013. The change was primarily the result of a net decrease in maturities of marketable securities during the three months ended July 31,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financing activities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used in financing activities was $26,000 and $32,000 for the three months ended July 31, 2014 and 2013, respectively. The net cash used was primarily for repayment of long-term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rates on cash and cash equivalents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 of exchange rates on cash and cash equivalents was a decrease of $31,000 and $6,000 in the three months ended July 31, 2014 and 2013, respectively. The effect of exchange rates on cash and cash equivalents results primarily from gains or losses on consolidation of foreign subsidiaries and foreign denominated cash and cash equivalents.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Liquidity Outlook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to devote substantial resources to continue our development efforts for our PowerBuoy systems and to expand our sales, marketing and manufacturing programs associated with the planned commercialization of the PowerBuoy systems. Our future capital requirements will depend on a number of factors, including:</w:t>
      </w:r>
    </w:p>
    <w:p>
      <w:pPr>
        <w:spacing w:after="0" w:line="235" w:lineRule="exact"/>
        <w:rPr>
          <w:sz w:val="20"/>
          <w:szCs w:val="20"/>
          <w:color w:val="auto"/>
        </w:rPr>
      </w:pPr>
    </w:p>
    <w:p>
      <w:pPr>
        <w:ind w:left="700" w:hanging="379"/>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of development efforts for our PowerBuoy systems;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in developing commercial relationships with major customers;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obtain project-specific financing, grants, subsidies and other sources of funding for some of our projects;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of manufacturing activities;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and success rate of commercialization activities, including demonstration projects, product marketing and sales;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customer relationships;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implementation of our expansion plans, including the hiring of new employees as our business increases;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of potential acquisitions of other products or technologies;</w:t>
      </w:r>
    </w:p>
    <w:p>
      <w:pPr>
        <w:spacing w:after="0" w:line="225" w:lineRule="exact"/>
        <w:rPr>
          <w:rFonts w:ascii="Arial" w:cs="Arial" w:eastAsia="Arial" w:hAnsi="Arial"/>
          <w:sz w:val="18"/>
          <w:szCs w:val="18"/>
          <w:color w:val="auto"/>
        </w:rPr>
      </w:pPr>
    </w:p>
    <w:p>
      <w:pPr>
        <w:ind w:left="700" w:right="1900" w:hanging="379"/>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and enforcing patent claims and other patent-related costs; and</w:t>
      </w:r>
    </w:p>
    <w:p>
      <w:pPr>
        <w:spacing w:after="0" w:line="170" w:lineRule="exact"/>
        <w:rPr>
          <w:rFonts w:ascii="Arial" w:cs="Arial" w:eastAsia="Arial" w:hAnsi="Arial"/>
          <w:sz w:val="18"/>
          <w:szCs w:val="18"/>
          <w:color w:val="auto"/>
        </w:rPr>
      </w:pPr>
    </w:p>
    <w:p>
      <w:pPr>
        <w:ind w:left="700" w:hanging="379"/>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of shareholder litigation and regulatory inquiries.</w:t>
      </w:r>
    </w:p>
    <w:p>
      <w:pPr>
        <w:spacing w:after="0" w:line="200" w:lineRule="exact"/>
        <w:rPr>
          <w:sz w:val="20"/>
          <w:szCs w:val="20"/>
          <w:color w:val="auto"/>
        </w:rPr>
      </w:pPr>
    </w:p>
    <w:p>
      <w:pPr>
        <w:spacing w:after="0" w:line="29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incurred negative operating cash flows since our inception. As of July 31, 2014, our cash and cash equivalents and marketable securities balance was approximately $24.9 million. Based upon our cash and cash equivalents and marketable securities balance as of July 31, 2014, we believe that we will be able to finance our capital requirements and operations through at least the fourth calendar quarter of 2015. In addition, as of July 31, 2014, our restricted cash balance was approximately $7.6 million, which included $5.2 million that was subsequently paid to ARENA in August 2014. See Note 2(f).</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fiscal 2014 and 2013, we have continued to make investments in ongoing product development efforts in anticipation of future growth. Our future results of operations involve significant risks and uncertainties. Factors that could adversely affect our future operating results and cause actual results to vary materially from expectations include, but are not limited to, risks from competition, new products, technological change, recent economic activity and dependence on key personnel. In order to complete our future growth strategy, we will require additional equity and/or debt financing. There is no assurance that additional equity and/or debt financing will be available to us as needed. If sufficient financing is not obtained, we may be required to further curtail or limit certain product development costs, and/or selling, general and administrative activities in order to reduce our cash expenditures.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 January 2013, we filed an S-3 Shelf. The S-3 Shelf was declared effective in February 2013.</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Under the S-3 Shelf, we established the ATM Facility with Ascendiant Capital Markets, LLC via the ATM Agreement in June 2013. Under the ATM Agreement, we offered and sold shares of our common stock from time to time through the Manager, acting as sales agent, in ordinary brokerage transactions at prevailing market prices. Under the ATM Facility, we issued 3,306,334 shares for net proceeds of approximately $9,698,000 during fiscal 2014.</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entered into an Underwriting Agreement with Roth Capital Partners, LLC on April 4, 2014, with respect to an underwritten Public Offering of an aggregate of 3,800,000 shares of our common stock. The Underwriting Agreement contained customary representations, warranties and agreements by us, customary conditions to closing, indemnification obligations, and a 90 day lock-up period that limited transactions in our common stock by us. Net proceeds from the Public Offering were approximately $10,828,000.</w:t>
      </w:r>
    </w:p>
    <w:p>
      <w:pPr>
        <w:spacing w:after="0" w:line="18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Form S-3 limits the aggregate market value of securities that we are permitted to offer in any 12-month period under Form S-3, whether under the Offering Agreement or otherwise, to one third of our public float. Given the fiscal 2014 share sales, we fully utilized the ATM Agreement and reached the applicable limit under Form S-3. Of the $40 million authorized under the S-3 shelf, approximately $18.2 million remains available for issuance. During the three months ended July 31, 2014 there were no proceeds from the sale of stock under the S-3 Shelf.</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8" w:name="page29"/>
    <w:bookmarkEnd w:id="28"/>
    <w:p>
      <w:pPr>
        <w:jc w:val="both"/>
        <w:spacing w:after="0" w:line="302" w:lineRule="auto"/>
        <w:rPr>
          <w:sz w:val="20"/>
          <w:szCs w:val="20"/>
          <w:color w:val="auto"/>
        </w:rPr>
      </w:pPr>
      <w:r>
        <w:rPr>
          <w:rFonts w:ascii="Arial" w:cs="Arial" w:eastAsia="Arial" w:hAnsi="Arial"/>
          <w:sz w:val="16"/>
          <w:szCs w:val="16"/>
          <w:color w:val="auto"/>
        </w:rPr>
        <w:t>The sale of additional equity or convertible securities could result in dilution to our stockholders. If additional funds are raised through the issuance of debt securities, these securities could have rights senior to those associated with our common stock and could contain covenants that would restrict our operations. Financing may not be available in amounts or on terms acceptable to us, or at all. If we are unable to obtain required financing, we may be required to reduce the scope of our current projects, planned product development and marketing efforts, which could harm our financial condition and operating results.</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three months ended April 30, 2014, our subsidiary VWP received approximately A$5.2 million in initial grant funding from ARENA. The Company recorded this payment as an advance payment within the consolidated balance sheet. We classified the initial grant funding received from ARENA, of A$5,595,723 ($5,237,037), which includes GST, as restricted cash. In July 2014, the VWP Board of Directors determined that the project contemplated by the grant was no longer commercially viable and tendered a notice of its intent to terminate the Funding Deed and return to ARENA the grant funds received.</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months ended July 31, 2014, the Company remitted the GST in the amount of A$508,702 ($476,094) to the Australian Tax Office (ATO) in accordance with local tax laws. This amount will be reclaimed from the ATO and is recorded in other current assets as of July 31, 2014. Subsequent to July 31, 2014, the Company returned the initial grant funding received of A$5,595,723 ($5,237,037) and interest of A$109,051 ($102,061) to ARENA in accordance with the Deed Of Variation and Termination of Funding Deed executed between the parties in August 2014.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Since inception, we have not engaged in any off-balance sheet financing activities.</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Management, under the supervision and with the participation of our Interim Chief Executive Officer and Chief Financial Officer, evaluated the effectiveness of the design and operation of our disclosure controls and procedures as of July 31, 2014 pursuant to Rules 13a-15(b) or 15d-15(b) of the Securities Exchange Act of 1934, as amended (the “Exchange Act”). Disclosure controls and procedures (as defined in Exchange Act Rules 13a-15(e) and 15d-15(e)) are controls and other procedures that are designed to ensure that information required to be disclosed by us in the reports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under the Exchange Act is accumulated and communicated to our management, as appropriate, to timely allow decisions regarding required disclosure. Based on such evaluation, management concluded that our disclosure controls and procedures were not effective as of July 31, 2014 to ensure that non-financial statement and related disclosure information required to be disclosed by us in the reports that we file or submit under the Exchange Act is recorded, processed, summarized and reported within the time periods specified in the SEC’s rules and forms. The deficiencies that caused our disclosure controls and procedures to not be effective do not relate to financial statement and related disclosure information or adversely affect the Company’s internal control over financial reporting.</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previously reported in our most recent Form 10-K, in order to rectify our ineffective disclosure controls and procedures, we have developed a process to ensure that all information will be recorded, processed, summarized and reported accurately, and as of the date of this report, we have taken the following steps to address our ineffective disclosure controls and procedures:</w:t>
      </w:r>
    </w:p>
    <w:p>
      <w:pPr>
        <w:spacing w:after="0" w:line="181" w:lineRule="exact"/>
        <w:rPr>
          <w:sz w:val="20"/>
          <w:szCs w:val="20"/>
          <w:color w:val="auto"/>
        </w:rPr>
      </w:pPr>
    </w:p>
    <w:p>
      <w:pPr>
        <w:ind w:left="1300" w:right="30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expanded the review of the information contained in this report to include additional senior personnel with operational and technical knowledge, and intend to continue this process with future periodic reports;</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utilized additional external review from legal and disclosure controls subject matter experts in preparation of this report;</w:t>
      </w:r>
    </w:p>
    <w:p>
      <w:pPr>
        <w:spacing w:after="0" w:line="9" w:lineRule="exact"/>
        <w:rPr>
          <w:rFonts w:ascii="Arial" w:cs="Arial" w:eastAsia="Arial" w:hAnsi="Arial"/>
          <w:sz w:val="18"/>
          <w:szCs w:val="18"/>
          <w:color w:val="auto"/>
        </w:rPr>
      </w:pPr>
    </w:p>
    <w:p>
      <w:pPr>
        <w:ind w:left="1300" w:right="220" w:hanging="644"/>
        <w:spacing w:after="0" w:line="261"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established a Disclosure Committee with a charter that includes the responsibility to expand our current controls and procedures and report to the senior officers with a liaison to the Audit Committee; and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continue to educate our management personnel in order to ensure compliance with applicable disclosure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fiscal quarter ended July 31, 2014 that has materially affected, or is reasonably likely to materially affect, our internal control over financial reporting.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9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Shareholder Litigation</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The Company is a defendant in four putative securities class actions pending in the United States District Court for the District of New Jersey. </w:t>
      </w:r>
      <w:r>
        <w:rPr>
          <w:rFonts w:ascii="Arial" w:cs="Arial" w:eastAsia="Arial" w:hAnsi="Arial"/>
          <w:sz w:val="16"/>
          <w:szCs w:val="16"/>
          <w:i w:val="1"/>
          <w:iCs w:val="1"/>
          <w:color w:val="auto"/>
        </w:rPr>
        <w:t>See Roby v.</w:t>
      </w:r>
      <w:r>
        <w:rPr>
          <w:rFonts w:ascii="Arial" w:cs="Arial" w:eastAsia="Arial" w:hAnsi="Arial"/>
          <w:sz w:val="16"/>
          <w:szCs w:val="16"/>
          <w:color w:val="auto"/>
        </w:rPr>
        <w:t xml:space="preserve"> </w:t>
      </w:r>
      <w:r>
        <w:rPr>
          <w:rFonts w:ascii="Arial" w:cs="Arial" w:eastAsia="Arial" w:hAnsi="Arial"/>
          <w:sz w:val="16"/>
          <w:szCs w:val="16"/>
          <w:i w:val="1"/>
          <w:iCs w:val="1"/>
          <w:color w:val="auto"/>
        </w:rPr>
        <w:t>Ocean Power Technologies, Inc., et al.</w:t>
      </w:r>
      <w:r>
        <w:rPr>
          <w:rFonts w:ascii="Arial" w:cs="Arial" w:eastAsia="Arial" w:hAnsi="Arial"/>
          <w:sz w:val="16"/>
          <w:szCs w:val="16"/>
          <w:color w:val="auto"/>
        </w:rPr>
        <w:t>, Case No. 3:14-cv-03799-FLW-LHG;</w:t>
      </w:r>
      <w:r>
        <w:rPr>
          <w:rFonts w:ascii="Arial" w:cs="Arial" w:eastAsia="Arial" w:hAnsi="Arial"/>
          <w:sz w:val="16"/>
          <w:szCs w:val="16"/>
          <w:i w:val="1"/>
          <w:iCs w:val="1"/>
          <w:color w:val="auto"/>
        </w:rPr>
        <w:t xml:space="preserve"> Chew, et al. v. Ocean Power Technologies, Inc. et. al.</w:t>
      </w:r>
      <w:r>
        <w:rPr>
          <w:rFonts w:ascii="Arial" w:cs="Arial" w:eastAsia="Arial" w:hAnsi="Arial"/>
          <w:sz w:val="16"/>
          <w:szCs w:val="16"/>
          <w:color w:val="auto"/>
        </w:rPr>
        <w:t xml:space="preserve">, Case No 3:14-cv-03815-MAS-DEA; </w:t>
      </w:r>
      <w:r>
        <w:rPr>
          <w:rFonts w:ascii="Arial" w:cs="Arial" w:eastAsia="Arial" w:hAnsi="Arial"/>
          <w:sz w:val="16"/>
          <w:szCs w:val="16"/>
          <w:i w:val="1"/>
          <w:iCs w:val="1"/>
          <w:color w:val="auto"/>
        </w:rPr>
        <w:t>Konstantinidis v. Ocean Power Technologies, Inc., et al.</w:t>
      </w:r>
      <w:r>
        <w:rPr>
          <w:rFonts w:ascii="Arial" w:cs="Arial" w:eastAsia="Arial" w:hAnsi="Arial"/>
          <w:sz w:val="16"/>
          <w:szCs w:val="16"/>
          <w:color w:val="auto"/>
        </w:rPr>
        <w:t xml:space="preserve">, Case No. 3:14-cv-04015-FLW-DEA; </w:t>
      </w:r>
      <w:r>
        <w:rPr>
          <w:rFonts w:ascii="Arial" w:cs="Arial" w:eastAsia="Arial" w:hAnsi="Arial"/>
          <w:sz w:val="16"/>
          <w:szCs w:val="16"/>
          <w:i w:val="1"/>
          <w:iCs w:val="1"/>
          <w:color w:val="auto"/>
        </w:rPr>
        <w:t>Turner v. Ocean Power Technologies, Inc., et al.</w:t>
      </w:r>
      <w:r>
        <w:rPr>
          <w:rFonts w:ascii="Arial" w:cs="Arial" w:eastAsia="Arial" w:hAnsi="Arial"/>
          <w:sz w:val="16"/>
          <w:szCs w:val="16"/>
          <w:color w:val="auto"/>
        </w:rPr>
        <w:t>, Case No. 3:14-cv-04592. The Company’s former Chief Executive Officer is named as a defendant in each of the lawsuits and the Company’s Chief Financial Officer is named as a defendant in two of the lawsuits. The complaints allege claims for violations of §10(b) and §20(a) of the Securities Exchange Act of 1934 arising out of public statements relating to a now terminated agreement between Victorian Wave Partners Pty. Ltd. and the Australian Renewable Energy Agency for the development of a wave power station (the “VWP Project”). All four complaints seek unspecified monetary damages and other relief. On August 12, 2014, five motions for appointment of lead plaintiff were filed. The motions also seek to consolidate the actions. The Court has not ruled on the motions. The cases are still in their preliminary stages and defendants have not yet responded to the complaints.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10, 2014, the Company received a demand letter (“Demand Letter”) from an attorney claiming to represent a shareholder demanding that the Company’s Board of Directors establish an independent committee to investigate and remedy alleged breaches of fiduciary duties by the Board of Directors and management relating to the VWP Project.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received a letter, dated August 19, 2014, (the “Section 220 Demand”) from another attorney claiming to represent a shareholder demanding, pursuant to 8 Del. C. § 220, to inspect certain books and records of the Company relating to the VWP Project and the termination of Charles Dunleavy as the Company’s Chief Executive Officer. The Company has not yet responded to the Section 220 Demand.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Employment Litigation</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10, 2014, the Company announced that it had terminated Charles Dunleavy as Chief Executive Officer and as an employee of the Company,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To the Company’s knowledge, as of the date of filing of this Quarterly Report on Form 10-Q, Mr. Dunleavy has not filed any claims against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FINRA Investigation</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August 2014, the Company provided documents to the Financial Industry Regulatory Authority (FINRA) in response to a July 9, 2014 request under NASDAQ Listing Rule 5250(a)(1) seeking information related to the internal investigation of the Special Committee of the Board of Directors. There are no outstanding requests to the Company from FINRA or any other regulators at this time.</w:t>
      </w:r>
    </w:p>
    <w:p>
      <w:pPr>
        <w:spacing w:after="0"/>
        <w:rPr>
          <w:sz w:val="20"/>
          <w:szCs w:val="20"/>
          <w:color w:val="auto"/>
        </w:rPr>
      </w:pPr>
      <w:r>
        <w:rPr>
          <w:rFonts w:ascii="Arial" w:cs="Arial" w:eastAsia="Arial" w:hAnsi="Arial"/>
          <w:sz w:val="18"/>
          <w:szCs w:val="18"/>
          <w:color w:val="auto"/>
        </w:rPr>
        <w:t>In addition, the Company is involved from time to time in certain legal actions arising in the ordinary course of business.</w:t>
      </w:r>
    </w:p>
    <w:p>
      <w:pPr>
        <w:spacing w:after="0" w:line="20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discussion of our business and operations should be read together with the risk factors contained in Item 1A of our Annual Report on Form 10-K for the year ended April 30, 2014.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There have been no material changes in our risk factors from those disclosed in our Annual Report on Form 10-K filed with the SEC on July 29, 2014.</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0" w:name="page31"/>
    <w:bookmarkEnd w:id="30"/>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Company’s share repurchases during the quarter:</w:t>
      </w:r>
    </w:p>
    <w:p>
      <w:pPr>
        <w:spacing w:after="0" w:line="200" w:lineRule="exact"/>
        <w:rPr>
          <w:sz w:val="20"/>
          <w:szCs w:val="20"/>
          <w:color w:val="auto"/>
        </w:rPr>
      </w:pPr>
    </w:p>
    <w:p>
      <w:pPr>
        <w:spacing w:after="0" w:line="345"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2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Approximate</w:t>
            </w:r>
          </w:p>
        </w:tc>
      </w:tr>
      <w:tr>
        <w:trPr>
          <w:trHeight w:val="216"/>
        </w:trPr>
        <w:tc>
          <w:tcPr>
            <w:tcW w:w="4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3"/>
              </w:rPr>
              <w:t>of</w:t>
            </w:r>
          </w:p>
        </w:tc>
        <w:tc>
          <w:tcPr>
            <w:tcW w:w="2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Dollar</w:t>
            </w:r>
          </w:p>
        </w:tc>
      </w:tr>
      <w:tr>
        <w:trPr>
          <w:trHeight w:val="216"/>
        </w:trPr>
        <w:tc>
          <w:tcPr>
            <w:tcW w:w="4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Value of Shares</w:t>
            </w:r>
          </w:p>
        </w:tc>
      </w:tr>
      <w:tr>
        <w:trPr>
          <w:trHeight w:val="216"/>
        </w:trPr>
        <w:tc>
          <w:tcPr>
            <w:tcW w:w="4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Total Number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 as</w:t>
            </w:r>
          </w:p>
        </w:tc>
        <w:tc>
          <w:tcPr>
            <w:tcW w:w="2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that</w:t>
            </w:r>
          </w:p>
        </w:tc>
      </w:tr>
      <w:tr>
        <w:trPr>
          <w:trHeight w:val="216"/>
        </w:trPr>
        <w:tc>
          <w:tcPr>
            <w:tcW w:w="4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2"/>
              </w:rPr>
              <w:t>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1"/>
              </w:rPr>
              <w:t>Part of Publicly</w:t>
            </w:r>
          </w:p>
        </w:tc>
        <w:tc>
          <w:tcPr>
            <w:tcW w:w="2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4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Price Paid</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2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Purchased</w:t>
            </w:r>
          </w:p>
        </w:tc>
      </w:tr>
      <w:tr>
        <w:trPr>
          <w:trHeight w:val="234"/>
        </w:trPr>
        <w:tc>
          <w:tcPr>
            <w:tcW w:w="4420" w:type="dxa"/>
            <w:vAlign w:val="bottom"/>
            <w:tcBorders>
              <w:bottom w:val="single" w:sz="8" w:color="auto"/>
            </w:tcBorders>
          </w:tcPr>
          <w:p>
            <w:pPr>
              <w:ind w:left="1960"/>
              <w:spacing w:after="0"/>
              <w:rPr>
                <w:sz w:val="20"/>
                <w:szCs w:val="20"/>
                <w:color w:val="auto"/>
              </w:rPr>
            </w:pPr>
            <w:r>
              <w:rPr>
                <w:rFonts w:ascii="Arial" w:cs="Arial" w:eastAsia="Arial" w:hAnsi="Arial"/>
                <w:sz w:val="18"/>
                <w:szCs w:val="18"/>
                <w:b w:val="1"/>
                <w:bCs w:val="1"/>
                <w:color w:val="auto"/>
              </w:rPr>
              <w:t>Period</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 (1)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per Share</w:t>
            </w:r>
          </w:p>
        </w:tc>
        <w:tc>
          <w:tcPr>
            <w:tcW w:w="20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Plans</w:t>
            </w:r>
          </w:p>
        </w:tc>
        <w:tc>
          <w:tcPr>
            <w:tcW w:w="20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Under the Plan</w:t>
            </w:r>
          </w:p>
        </w:tc>
        <w:tc>
          <w:tcPr>
            <w:tcW w:w="100" w:type="dxa"/>
            <w:vAlign w:val="bottom"/>
          </w:tcPr>
          <w:p>
            <w:pPr>
              <w:spacing w:after="0"/>
              <w:rPr>
                <w:sz w:val="20"/>
                <w:szCs w:val="20"/>
                <w:color w:val="auto"/>
              </w:rPr>
            </w:pPr>
          </w:p>
        </w:tc>
      </w:tr>
      <w:tr>
        <w:trPr>
          <w:trHeight w:val="210"/>
        </w:trPr>
        <w:tc>
          <w:tcPr>
            <w:tcW w:w="4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May 1-31, 2014</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June 1-30, 2014</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806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1.62</w:t>
            </w:r>
          </w:p>
        </w:tc>
        <w:tc>
          <w:tcPr>
            <w:tcW w:w="1220" w:type="dxa"/>
            <w:vAlign w:val="bottom"/>
          </w:tcPr>
          <w:p>
            <w:pPr>
              <w:ind w:left="104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300" w:type="dxa"/>
            <w:vAlign w:val="bottom"/>
            <w:gridSpan w:val="2"/>
          </w:tcPr>
          <w:p>
            <w:pPr>
              <w:ind w:left="1020"/>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July 1-31, 2014</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(1)Represents shares delivered back to the Company by employees to pay taxes related to the vesting of restricted shares.</w:t>
      </w:r>
    </w:p>
    <w:p>
      <w:pPr>
        <w:spacing w:after="0" w:line="200" w:lineRule="exact"/>
        <w:rPr>
          <w:sz w:val="20"/>
          <w:szCs w:val="20"/>
          <w:color w:val="auto"/>
        </w:rPr>
      </w:pPr>
    </w:p>
    <w:p>
      <w:pPr>
        <w:spacing w:after="0" w:line="23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Statement of the Special Committee coincident with the completion of its investigation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9, 2014, the Special Committee of the Board of Directors of Ocean Power Technologies, Inc. (OPT) completed its internal investigation into the commercial agreement between Victorian Wave Partners Ltd., an indirect consolidated subsidiary of OPT, and the Australian Renewable Energy Agency, including related public statements concerning a proposed wave power demonstration project off the coast of Victoria, Australia. The findings of the Special Committee are contained in the Form 8-k disclosure made on July 29, 2014, and no additional findings have been made. Therefore, the Special Committee has recommended that the Board of Directors dissolve the Special Committee at its next regular meeting after the Annual General Meeting of Shareholders scheduled for October 2, 2014.</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1" w:name="page32"/>
    <w:bookmarkEnd w:id="31"/>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Interim Chief Executive Officer pursuant to Section 302 of the Sarbanes-Oxley Act of 2002</w:t>
      </w:r>
    </w:p>
    <w:p>
      <w:pPr>
        <w:spacing w:after="0" w:line="225"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25"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Interim Chief Executive Officer pursuant to Section 906 of the Sarbanes-Oxley Act of 2002</w:t>
      </w:r>
    </w:p>
    <w:p>
      <w:pPr>
        <w:spacing w:after="0" w:line="225"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25" w:lineRule="exact"/>
        <w:rPr>
          <w:sz w:val="20"/>
          <w:szCs w:val="20"/>
          <w:color w:val="auto"/>
        </w:rPr>
      </w:pPr>
    </w:p>
    <w:p>
      <w:pPr>
        <w:jc w:val="both"/>
        <w:ind w:left="1400" w:hanging="743"/>
        <w:spacing w:after="0" w:line="255" w:lineRule="auto"/>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materials formatted in eXtensible Business Reporting Language (XBRL) from Ocean Power Technologies, Inc Quarterly Report on Form 10-Q for the quarter ended July 31, 2014, filed September 12, 2014: (i) Consolidated Balance Sheets – July 31, 2014 (unaudited) and April 30, 2014, (ii) Consolidated Statements of Operations (unaudited) – Three Months Ended July 31, 2014 and 2013, (iii) Consolidated Statements of Comprehensive Loss (unaudited) – Three Months Ended July 31, 2014 and 2013, (iv) Consolidated Statements of Cash Flows (unaudited) – Three Months Ended July 31, 2014 and 2013, (v) Consolidated Statements of Stockholders’ Equity (unaudited) – Three Months Ended July 31, 2014 and 2013 and (vi) Notes to Consolidated Financial Statements.*</w:t>
      </w:r>
    </w:p>
    <w:p>
      <w:pPr>
        <w:spacing w:after="0" w:line="189" w:lineRule="exact"/>
        <w:rPr>
          <w:rFonts w:ascii="Arial" w:cs="Arial" w:eastAsia="Arial" w:hAnsi="Arial"/>
          <w:sz w:val="18"/>
          <w:szCs w:val="18"/>
          <w:color w:val="auto"/>
        </w:rPr>
      </w:pPr>
    </w:p>
    <w:p>
      <w:pPr>
        <w:jc w:val="both"/>
        <w:ind w:left="1400"/>
        <w:spacing w:after="0" w:line="286" w:lineRule="auto"/>
        <w:rPr>
          <w:rFonts w:ascii="Arial" w:cs="Arial" w:eastAsia="Arial" w:hAnsi="Arial"/>
          <w:sz w:val="18"/>
          <w:szCs w:val="18"/>
          <w:color w:val="auto"/>
        </w:rPr>
      </w:pPr>
      <w:r>
        <w:rPr>
          <w:rFonts w:ascii="Arial" w:cs="Arial" w:eastAsia="Arial" w:hAnsi="Arial"/>
          <w:sz w:val="17"/>
          <w:szCs w:val="17"/>
          <w:color w:val="auto"/>
        </w:rPr>
        <w:t>* 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00"/>
          </w:cols>
          <w:pgMar w:left="240" w:top="796" w:right="55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L. Keller</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26327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Interim 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A. Featherstone</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A. Featherstone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26327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12, 2014</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3" w:name="page34"/>
    <w:bookmarkEnd w:id="33"/>
    <w:p>
      <w:pPr>
        <w:jc w:val="center"/>
        <w:ind w:right="440"/>
        <w:spacing w:after="0"/>
        <w:rPr>
          <w:sz w:val="20"/>
          <w:szCs w:val="20"/>
          <w:color w:val="auto"/>
        </w:rPr>
      </w:pPr>
      <w:r>
        <w:rPr>
          <w:rFonts w:ascii="Arial" w:cs="Arial" w:eastAsia="Arial" w:hAnsi="Arial"/>
          <w:sz w:val="18"/>
          <w:szCs w:val="18"/>
          <w:b w:val="1"/>
          <w:bCs w:val="1"/>
          <w:color w:val="auto"/>
        </w:rPr>
        <w:t>EXHIBITS INDEX</w:t>
      </w:r>
    </w:p>
    <w:p>
      <w:pPr>
        <w:spacing w:after="0" w:line="2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Interim Chief Executive Officer pursuant to Section 302 of the Sarbanes-Oxley Act of 2002</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Interim Chief Executive Officer pursuant to Section 302 of the Sarbanes-Oxley Act of 2002</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25" w:lineRule="exact"/>
        <w:rPr>
          <w:sz w:val="20"/>
          <w:szCs w:val="20"/>
          <w:color w:val="auto"/>
        </w:rPr>
      </w:pPr>
    </w:p>
    <w:p>
      <w:pPr>
        <w:jc w:val="both"/>
        <w:ind w:left="720" w:right="20" w:hanging="669"/>
        <w:spacing w:after="0" w:line="288" w:lineRule="auto"/>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following materials formatted in eXtensible Business Reporting Language (XBRL) from Ocean Power Technologies, Inc Quarterly Report on Form 10-Q for the quarter ended July 31, 2014, filed September 12, 2014: (i) Consolidated Balance Sheets – July 31, 2014 (unaudited) and April 30, 2014, (ii) Consolidated Statements of Operations (unaudited) – Three Months Ended July 31, 2014 and 2013,</w:t>
      </w:r>
    </w:p>
    <w:p>
      <w:pPr>
        <w:jc w:val="both"/>
        <w:ind w:left="720" w:right="20" w:hanging="8"/>
        <w:spacing w:after="0" w:line="302" w:lineRule="auto"/>
        <w:tabs>
          <w:tab w:leader="none" w:pos="1053" w:val="left"/>
        </w:tabs>
        <w:numPr>
          <w:ilvl w:val="1"/>
          <w:numId w:val="9"/>
        </w:numPr>
        <w:rPr>
          <w:rFonts w:ascii="Arial" w:cs="Arial" w:eastAsia="Arial" w:hAnsi="Arial"/>
          <w:sz w:val="16"/>
          <w:szCs w:val="16"/>
          <w:color w:val="auto"/>
        </w:rPr>
      </w:pPr>
      <w:r>
        <w:rPr>
          <w:rFonts w:ascii="Arial" w:cs="Arial" w:eastAsia="Arial" w:hAnsi="Arial"/>
          <w:sz w:val="16"/>
          <w:szCs w:val="16"/>
          <w:color w:val="auto"/>
        </w:rPr>
        <w:t>Consolidated Statements of Comprehensive Loss (unaudited) – Three Months Ended July 31, 2014 and 2013, (iv) Consolidated Statements of Cash Flows (unaudited) – Three Months Ended July 31, 2014 and 2013, (v) Consolidated Statements of Stockholders’ Equity (unaudited) – Three Months Ended July 31, 2014 and 2013 and (vi) Notes to Consolidated Financial Statements.*</w:t>
      </w:r>
    </w:p>
    <w:p>
      <w:pPr>
        <w:spacing w:after="0" w:line="155" w:lineRule="exact"/>
        <w:rPr>
          <w:sz w:val="20"/>
          <w:szCs w:val="20"/>
          <w:color w:val="auto"/>
        </w:rPr>
      </w:pPr>
    </w:p>
    <w:p>
      <w:pPr>
        <w:jc w:val="both"/>
        <w:ind w:left="720" w:hanging="8"/>
        <w:spacing w:after="0" w:line="264" w:lineRule="auto"/>
        <w:tabs>
          <w:tab w:leader="none" w:pos="89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0540"/>
          </w:cols>
          <w:pgMar w:left="900" w:top="580" w:right="45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L. Keller, certify that:</w:t>
      </w:r>
    </w:p>
    <w:p>
      <w:pPr>
        <w:spacing w:after="0" w:line="22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left="340" w:hanging="332"/>
        <w:spacing w:after="0" w:line="26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34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7" w:lineRule="exact"/>
        <w:rPr>
          <w:sz w:val="20"/>
          <w:szCs w:val="20"/>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David L. Keller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David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473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12, 2014</w:t>
      </w:r>
    </w:p>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Featherstone,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left="34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34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7" w:lineRule="exact"/>
        <w:rPr>
          <w:sz w:val="20"/>
          <w:szCs w:val="20"/>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Mark A. Featherstone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Mark A. Featherstone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473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12, 2014</w:t>
      </w:r>
    </w:p>
    <w:p>
      <w:pPr>
        <w:sectPr>
          <w:pgSz w:w="11900" w:h="16838" w:orient="portrait"/>
          <w:cols w:equalWidth="0" w:num="1">
            <w:col w:w="11420"/>
          </w:cols>
          <w:pgMar w:left="240" w:top="337"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July 31, 2014, as filed with the Securities and Exchange Commission on the date hereof (the "Report"), the undersigned, David L. Keller, Interim Chief Executive Officer of the Company, hereby certifies, pursuant to 18 U.S.C. Section 1350, as adopted pursuant to Section 906 of the Sarbanes-Oxley Act of 2002, that, to the best of my knowledge:</w:t>
      </w:r>
    </w:p>
    <w:p>
      <w:pPr>
        <w:spacing w:after="0" w:line="187"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David L. Keller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David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473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12, 2014</w:t>
      </w:r>
    </w:p>
    <w:p>
      <w:pPr>
        <w:spacing w:after="0" w:line="200" w:lineRule="exact"/>
        <w:rPr>
          <w:sz w:val="20"/>
          <w:szCs w:val="20"/>
          <w:color w:val="auto"/>
        </w:rPr>
      </w:pPr>
    </w:p>
    <w:p>
      <w:pPr>
        <w:spacing w:after="0" w:line="24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420"/>
          </w:cols>
          <w:pgMar w:left="240" w:top="337"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July 31, 2014, as filed with the Securities and Exchange Commission on the date hereof (the "Report"), the undersigned, Mark A. Featherstone, Chief Financial Officer of the Company, hereby certifies, pursuant to 18 U.S.C. Section 1350, as adopted pursuant to Section 906 of the Sarbanes-Oxley Act of 2002, that, to the best of my knowledge:</w:t>
      </w:r>
    </w:p>
    <w:p>
      <w:pPr>
        <w:spacing w:after="0" w:line="187"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Mark A. Featherstone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Mark A. Featherstone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473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12, 2014</w:t>
      </w:r>
    </w:p>
    <w:p>
      <w:pPr>
        <w:spacing w:after="0" w:line="200" w:lineRule="exact"/>
        <w:rPr>
          <w:sz w:val="20"/>
          <w:szCs w:val="20"/>
          <w:color w:val="auto"/>
        </w:rPr>
      </w:pPr>
    </w:p>
    <w:p>
      <w:pPr>
        <w:spacing w:after="0" w:line="24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lowerLetter"/>
      <w:start w:val="3"/>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101"/>
    </w:lvl>
    <w:lvl w:ilvl="1">
      <w:lvlJc w:val="left"/>
      <w:lvlText w:val="*"/>
      <w:numFmt w:val="bullet"/>
      <w:start w:val="1"/>
    </w:lvl>
  </w:abstractNum>
  <w:abstractNum w:abstractNumId="8">
    <w:nsid w:val="7FDCC233"/>
    <w:multiLevelType w:val="hybridMultilevel"/>
    <w:lvl w:ilvl="0">
      <w:lvlJc w:val="left"/>
      <w:lvlText w:val="%1"/>
      <w:numFmt w:val="decimal"/>
      <w:start w:val="101"/>
    </w:lvl>
    <w:lvl w:ilvl="1">
      <w:lvlJc w:val="left"/>
      <w:lvlText w:val="(%2)"/>
      <w:numFmt w:val="lowerRoman"/>
      <w:start w:val="3"/>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decimal"/>
      <w:start w:val="5"/>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5"/>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2019-12-07T14:21:28Z</dcterms:created>
  <dcterms:modified xsi:type="dcterms:W3CDTF">2019-12-07T14:21:28Z</dcterms:modified>
</cp:coreProperties>
</file>