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1100" w:hanging="832"/>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rFonts w:ascii="Arial" w:cs="Arial" w:eastAsia="Arial" w:hAnsi="Arial"/>
          <w:sz w:val="18"/>
          <w:szCs w:val="18"/>
          <w:color w:val="auto"/>
        </w:rPr>
      </w:pPr>
    </w:p>
    <w:p>
      <w:pPr>
        <w:ind w:left="394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July 31,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15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25" w:lineRule="exact"/>
        <w:rPr>
          <w:sz w:val="24"/>
          <w:szCs w:val="24"/>
          <w:color w:val="auto"/>
        </w:rPr>
      </w:pPr>
    </w:p>
    <w:p>
      <w:pPr>
        <w:ind w:left="352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3782060</wp:posOffset>
            </wp:positionH>
            <wp:positionV relativeFrom="paragraph">
              <wp:posOffset>-7620</wp:posOffset>
            </wp:positionV>
            <wp:extent cx="1238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OCEAN POWER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28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20" w:type="dxa"/>
            <w:vAlign w:val="bottom"/>
          </w:tcPr>
          <w:p>
            <w:pPr>
              <w:jc w:val="center"/>
              <w:ind w:left="1910"/>
              <w:spacing w:after="0"/>
              <w:rPr>
                <w:sz w:val="20"/>
                <w:szCs w:val="20"/>
                <w:color w:val="auto"/>
              </w:rPr>
            </w:pPr>
            <w:r>
              <w:rPr>
                <w:rFonts w:ascii="Arial" w:cs="Arial" w:eastAsia="Arial" w:hAnsi="Arial"/>
                <w:sz w:val="18"/>
                <w:szCs w:val="18"/>
                <w:b w:val="1"/>
                <w:bCs w:val="1"/>
                <w:color w:val="auto"/>
                <w:w w:val="91"/>
              </w:rPr>
              <w:t>22-2535818</w:t>
            </w:r>
          </w:p>
        </w:tc>
      </w:tr>
      <w:tr>
        <w:trPr>
          <w:trHeight w:val="216"/>
        </w:trPr>
        <w:tc>
          <w:tcPr>
            <w:tcW w:w="4280" w:type="dxa"/>
            <w:vAlign w:val="bottom"/>
          </w:tcPr>
          <w:p>
            <w:pPr>
              <w:jc w:val="center"/>
              <w:ind w:right="1930"/>
              <w:spacing w:after="0"/>
              <w:rPr>
                <w:sz w:val="20"/>
                <w:szCs w:val="20"/>
                <w:color w:val="auto"/>
              </w:rPr>
            </w:pPr>
            <w:r>
              <w:rPr>
                <w:rFonts w:ascii="Arial" w:cs="Arial" w:eastAsia="Arial" w:hAnsi="Arial"/>
                <w:sz w:val="18"/>
                <w:szCs w:val="18"/>
                <w:i w:val="1"/>
                <w:iCs w:val="1"/>
                <w:color w:val="auto"/>
                <w:w w:val="93"/>
              </w:rPr>
              <w:t>(State or Other Jurisdiction of</w:t>
            </w:r>
          </w:p>
        </w:tc>
        <w:tc>
          <w:tcPr>
            <w:tcW w:w="3320" w:type="dxa"/>
            <w:vAlign w:val="bottom"/>
          </w:tcPr>
          <w:p>
            <w:pPr>
              <w:jc w:val="center"/>
              <w:ind w:left="191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280" w:type="dxa"/>
            <w:vAlign w:val="bottom"/>
          </w:tcPr>
          <w:p>
            <w:pPr>
              <w:jc w:val="center"/>
              <w:ind w:right="1930"/>
              <w:spacing w:after="0"/>
              <w:rPr>
                <w:sz w:val="20"/>
                <w:szCs w:val="20"/>
                <w:color w:val="auto"/>
              </w:rPr>
            </w:pPr>
            <w:r>
              <w:rPr>
                <w:rFonts w:ascii="Arial" w:cs="Arial" w:eastAsia="Arial" w:hAnsi="Arial"/>
                <w:sz w:val="18"/>
                <w:szCs w:val="18"/>
                <w:i w:val="1"/>
                <w:iCs w:val="1"/>
                <w:color w:val="auto"/>
                <w:w w:val="94"/>
              </w:rPr>
              <w:t>Incorporation or Organization)</w:t>
            </w:r>
          </w:p>
        </w:tc>
        <w:tc>
          <w:tcPr>
            <w:tcW w:w="3320" w:type="dxa"/>
            <w:vAlign w:val="bottom"/>
          </w:tcPr>
          <w:p>
            <w:pPr>
              <w:jc w:val="center"/>
              <w:ind w:left="191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198"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28 ENGELHARD DRIVE, MONROE TOWNSHIP, NJ 08831</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47" w:right="239" w:bottom="1440" w:gutter="0" w:footer="0" w:header="0"/>
        </w:sectPr>
      </w:pPr>
    </w:p>
    <w:p>
      <w:pPr>
        <w:spacing w:after="0" w:line="147" w:lineRule="exact"/>
        <w:rPr>
          <w:sz w:val="24"/>
          <w:szCs w:val="24"/>
          <w:color w:val="auto"/>
        </w:rPr>
      </w:pPr>
    </w:p>
    <w:p>
      <w:pPr>
        <w:ind w:left="440"/>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680" w:lineRule="exact"/>
        <w:rPr>
          <w:sz w:val="24"/>
          <w:szCs w:val="24"/>
          <w:color w:val="auto"/>
        </w:rPr>
      </w:pPr>
    </w:p>
    <w:p>
      <w:pPr>
        <w:sectPr>
          <w:pgSz w:w="11900" w:h="16838" w:orient="portrait"/>
          <w:cols w:equalWidth="0" w:num="4">
            <w:col w:w="2620" w:space="720"/>
            <w:col w:w="1460" w:space="720"/>
            <w:col w:w="2580" w:space="600"/>
            <w:col w:w="2720"/>
          </w:cols>
          <w:pgMar w:left="240" w:top="747" w:right="239" w:bottom="1440" w:gutter="0" w:footer="0" w:header="0"/>
          <w:type w:val="continuous"/>
        </w:sectPr>
      </w:pPr>
    </w:p>
    <w:p>
      <w:pPr>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747" w:right="239" w:bottom="1440" w:gutter="0" w:footer="0" w:header="0"/>
          <w:type w:val="continuous"/>
        </w:sect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September 6, 2018, the number of outstanding shares of common stock of the registrant was 18,796,856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61"/>
        </w:trPr>
        <w:tc>
          <w:tcPr>
            <w:tcW w:w="20" w:type="dxa"/>
            <w:vAlign w:val="bottom"/>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2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90"/>
        </w:trPr>
        <w:tc>
          <w:tcPr>
            <w:tcW w:w="20" w:type="dxa"/>
            <w:vAlign w:val="bottom"/>
          </w:tcPr>
          <w:p>
            <w:pPr>
              <w:spacing w:after="0"/>
              <w:rPr>
                <w:sz w:val="16"/>
                <w:szCs w:val="16"/>
                <w:color w:val="auto"/>
              </w:rPr>
            </w:pPr>
          </w:p>
        </w:tc>
        <w:tc>
          <w:tcPr>
            <w:tcW w:w="3240" w:type="dxa"/>
            <w:vAlign w:val="bottom"/>
            <w:tcBorders>
              <w:bottom w:val="single" w:sz="8" w:color="0000EE"/>
            </w:tcBorders>
            <w:gridSpan w:val="11"/>
            <w:shd w:val="clear" w:color="auto" w:fill="CCEEFF"/>
          </w:tcPr>
          <w:p>
            <w:pPr>
              <w:spacing w:after="0" w:line="15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7260" w:type="dxa"/>
            <w:vAlign w:val="bottom"/>
            <w:tcBorders>
              <w:bottom w:val="single" w:sz="8" w:color="CCEEFF"/>
            </w:tcBorders>
            <w:gridSpan w:val="9"/>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10500" w:type="dxa"/>
            <w:vAlign w:val="bottom"/>
            <w:gridSpan w:val="20"/>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 Financial Statements:</w:t>
              </w:r>
            </w:hyperlink>
          </w:p>
        </w:tc>
        <w:tc>
          <w:tcPr>
            <w:tcW w:w="9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16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July 31, 2018 (unaudited) and April 30, 2018</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60" w:type="dxa"/>
            <w:vAlign w:val="bottom"/>
            <w:gridSpan w:val="1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Operations for the three months ended July 31, 2018 and 2017</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16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Comprehensive Loss for the three months ended July 31, 2018 and 2017</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Consolidated Statement of Stockholders’ Equity for the three months ended July 31, 2018</w:t>
              </w:r>
            </w:hyperlink>
          </w:p>
        </w:tc>
        <w:tc>
          <w:tcPr>
            <w:tcW w:w="21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3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Unaudited Consolidated Statements of Cash Flows for the three months ended July 31, 2018 and 2017</w:t>
              </w:r>
            </w:hyperlink>
          </w:p>
        </w:tc>
        <w:tc>
          <w:tcPr>
            <w:tcW w:w="278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340" w:type="dxa"/>
            <w:vAlign w:val="bottom"/>
            <w:gridSpan w:val="19"/>
          </w:tcPr>
          <w:p>
            <w:pPr>
              <w:ind w:left="18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Unaudited Consolidated Financial Statements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3. Quantitative and Qualitative Disclosures About Market Risk</w:t>
              </w:r>
            </w:hyperlink>
          </w:p>
        </w:tc>
        <w:tc>
          <w:tcPr>
            <w:tcW w:w="3320" w:type="dxa"/>
            <w:vAlign w:val="bottom"/>
            <w:tcBorders>
              <w:top w:val="single" w:sz="8" w:color="CCEEFF"/>
            </w:tcBorders>
            <w:gridSpan w:val="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Item 4. Controls and Procedures</w:t>
              </w:r>
            </w:hyperlink>
          </w:p>
        </w:tc>
        <w:tc>
          <w:tcPr>
            <w:tcW w:w="800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176"/>
        </w:trPr>
        <w:tc>
          <w:tcPr>
            <w:tcW w:w="20" w:type="dxa"/>
            <w:vAlign w:val="bottom"/>
          </w:tcPr>
          <w:p>
            <w:pPr>
              <w:spacing w:after="0"/>
              <w:rPr>
                <w:sz w:val="15"/>
                <w:szCs w:val="15"/>
                <w:color w:val="auto"/>
              </w:rPr>
            </w:pPr>
          </w:p>
        </w:tc>
        <w:tc>
          <w:tcPr>
            <w:tcW w:w="10500" w:type="dxa"/>
            <w:vAlign w:val="bottom"/>
            <w:gridSpan w:val="20"/>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 OTHER INFORMATION</w:t>
              </w:r>
            </w:hyperlink>
          </w:p>
        </w:tc>
        <w:tc>
          <w:tcPr>
            <w:tcW w:w="9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Item 1. Legal Proceedings</w:t>
              </w:r>
            </w:hyperlink>
          </w:p>
        </w:tc>
        <w:tc>
          <w:tcPr>
            <w:tcW w:w="8440" w:type="dxa"/>
            <w:vAlign w:val="bottom"/>
            <w:tcBorders>
              <w:bottom w:val="single" w:sz="8" w:color="CCEEFF"/>
            </w:tcBorders>
            <w:gridSpan w:val="1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176"/>
        </w:trPr>
        <w:tc>
          <w:tcPr>
            <w:tcW w:w="20" w:type="dxa"/>
            <w:vAlign w:val="bottom"/>
          </w:tcPr>
          <w:p>
            <w:pPr>
              <w:spacing w:after="0"/>
              <w:rPr>
                <w:sz w:val="15"/>
                <w:szCs w:val="15"/>
                <w:color w:val="auto"/>
              </w:rPr>
            </w:pPr>
          </w:p>
        </w:tc>
        <w:tc>
          <w:tcPr>
            <w:tcW w:w="10500" w:type="dxa"/>
            <w:vAlign w:val="bottom"/>
            <w:gridSpan w:val="20"/>
          </w:tcPr>
          <w:p>
            <w:pPr>
              <w:ind w:left="1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1A. Risk Factors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Item 2. Unregistered Sales of Equity Securities and Use of Proceeds</w:t>
              </w:r>
            </w:hyperlink>
          </w:p>
        </w:tc>
        <w:tc>
          <w:tcPr>
            <w:tcW w:w="542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176"/>
        </w:trPr>
        <w:tc>
          <w:tcPr>
            <w:tcW w:w="20" w:type="dxa"/>
            <w:vAlign w:val="bottom"/>
          </w:tcPr>
          <w:p>
            <w:pPr>
              <w:spacing w:after="0"/>
              <w:rPr>
                <w:sz w:val="15"/>
                <w:szCs w:val="15"/>
                <w:color w:val="auto"/>
              </w:rPr>
            </w:pPr>
          </w:p>
        </w:tc>
        <w:tc>
          <w:tcPr>
            <w:tcW w:w="10500" w:type="dxa"/>
            <w:vAlign w:val="bottom"/>
            <w:gridSpan w:val="20"/>
          </w:tcPr>
          <w:p>
            <w:pPr>
              <w:ind w:left="16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3. Defaults Upon Senior Securities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Item 4. Mine Safety Disclosures</w:t>
              </w:r>
            </w:hyperlink>
          </w:p>
        </w:tc>
        <w:tc>
          <w:tcPr>
            <w:tcW w:w="800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176"/>
        </w:trPr>
        <w:tc>
          <w:tcPr>
            <w:tcW w:w="20" w:type="dxa"/>
            <w:vAlign w:val="bottom"/>
          </w:tcPr>
          <w:p>
            <w:pPr>
              <w:spacing w:after="0"/>
              <w:rPr>
                <w:sz w:val="15"/>
                <w:szCs w:val="15"/>
                <w:color w:val="auto"/>
              </w:rPr>
            </w:pPr>
          </w:p>
        </w:tc>
        <w:tc>
          <w:tcPr>
            <w:tcW w:w="10500" w:type="dxa"/>
            <w:vAlign w:val="bottom"/>
            <w:gridSpan w:val="20"/>
          </w:tcPr>
          <w:p>
            <w:pPr>
              <w:ind w:left="16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5. Other Information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6. 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7" w:lineRule="exact"/>
        <w:rPr>
          <w:sz w:val="20"/>
          <w:szCs w:val="20"/>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2018,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78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rPr>
              <w:t>PART I — FINANCIAL INFORMATION</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78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8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87"/>
              </w:rPr>
              <w:t>Consolidated Balance Sheets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8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88"/>
              </w:rPr>
              <w:t>(in $000’s, except share data)</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July 31, 2018</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April 30, 2018</w:t>
            </w:r>
          </w:p>
        </w:tc>
      </w:tr>
      <w:tr>
        <w:trPr>
          <w:trHeight w:val="216"/>
        </w:trPr>
        <w:tc>
          <w:tcPr>
            <w:tcW w:w="48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ASSETS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Current assets: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11,499</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short-term</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receivable</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r>
      <w:tr>
        <w:trPr>
          <w:trHeight w:val="216"/>
        </w:trPr>
        <w:tc>
          <w:tcPr>
            <w:tcW w:w="48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r>
      <w:tr>
        <w:trPr>
          <w:trHeight w:val="25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long-term</w:t>
            </w:r>
          </w:p>
        </w:tc>
        <w:tc>
          <w:tcPr>
            <w:tcW w:w="2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57"/>
        </w:trPr>
        <w:tc>
          <w:tcPr>
            <w:tcW w:w="48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70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9,784</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7540" w:type="dxa"/>
            <w:vAlign w:val="bottom"/>
            <w:gridSpan w:val="2"/>
            <w:shd w:val="clear" w:color="auto" w:fill="CCEEFF"/>
          </w:tcPr>
          <w:p>
            <w:pPr>
              <w:ind w:left="1820"/>
              <w:spacing w:after="0" w:line="196" w:lineRule="exact"/>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Current liabilities: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2,261</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payable</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Unearned revenue</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Deferred credits payable current</w:t>
            </w: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48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Deferred rent</w:t>
            </w: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36"/>
        </w:trPr>
        <w:tc>
          <w:tcPr>
            <w:tcW w:w="4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7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84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w w:val="91"/>
              </w:rPr>
              <w:t>Preferred stock, $0.001 par value; authorized 5,000,000 shares,</w:t>
            </w:r>
          </w:p>
        </w:tc>
        <w:tc>
          <w:tcPr>
            <w:tcW w:w="2940" w:type="dxa"/>
            <w:vAlign w:val="bottom"/>
            <w:gridSpan w:val="2"/>
          </w:tcPr>
          <w:p>
            <w:pPr>
              <w:jc w:val="right"/>
              <w:ind w:right="890"/>
              <w:spacing w:after="0"/>
              <w:rPr>
                <w:sz w:val="20"/>
                <w:szCs w:val="20"/>
                <w:color w:val="auto"/>
              </w:rPr>
            </w:pPr>
            <w:r>
              <w:rPr>
                <w:rFonts w:ascii="Arial" w:cs="Arial" w:eastAsia="Arial" w:hAnsi="Arial"/>
                <w:sz w:val="18"/>
                <w:szCs w:val="18"/>
                <w:color w:val="auto"/>
                <w:w w:val="89"/>
              </w:rPr>
              <w:t>none issued or outstanding</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Common stock, $0.001 par value; authorized 50,000,000 shares,</w:t>
            </w:r>
          </w:p>
        </w:tc>
        <w:tc>
          <w:tcPr>
            <w:tcW w:w="2940" w:type="dxa"/>
            <w:vAlign w:val="bottom"/>
            <w:gridSpan w:val="2"/>
            <w:shd w:val="clear" w:color="auto" w:fill="CCEEFF"/>
          </w:tcPr>
          <w:p>
            <w:pPr>
              <w:jc w:val="center"/>
              <w:ind w:right="1090"/>
              <w:spacing w:after="0" w:line="201" w:lineRule="exact"/>
              <w:rPr>
                <w:sz w:val="20"/>
                <w:szCs w:val="20"/>
                <w:color w:val="auto"/>
              </w:rPr>
            </w:pPr>
            <w:r>
              <w:rPr>
                <w:rFonts w:ascii="Arial" w:cs="Arial" w:eastAsia="Arial" w:hAnsi="Arial"/>
                <w:sz w:val="18"/>
                <w:szCs w:val="18"/>
                <w:color w:val="auto"/>
                <w:w w:val="87"/>
              </w:rPr>
              <w:t>issued 18,442,298 and</w:t>
            </w: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18,424,939 shares, respectively</w:t>
            </w:r>
          </w:p>
        </w:tc>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w w:val="91"/>
              </w:rPr>
              <w:t>Treasury stock, at cost; 74,012 and 74,012 shares, respectively</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208,216</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(200,778)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(197,538)</w:t>
            </w:r>
          </w:p>
        </w:tc>
      </w:tr>
      <w:tr>
        <w:trPr>
          <w:trHeight w:val="25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10"/>
        </w:trPr>
        <w:tc>
          <w:tcPr>
            <w:tcW w:w="48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27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10,236</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7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8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loss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Engineering and product development costs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3,201</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income, net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4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w:t>
            </w: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18,153,863</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12,268,683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ind w:left="390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(in $000’s)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20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8"/>
                <w:szCs w:val="18"/>
                <w:b w:val="1"/>
                <w:bCs w:val="1"/>
                <w:color w:val="auto"/>
              </w:rPr>
              <w:t>Three months ended July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(3,240)</w:t>
            </w:r>
          </w:p>
        </w:tc>
        <w:tc>
          <w:tcPr>
            <w:tcW w:w="1260" w:type="dxa"/>
            <w:vAlign w:val="bottom"/>
            <w:gridSpan w:val="2"/>
            <w:shd w:val="clear" w:color="auto" w:fill="CCEEFF"/>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9"/>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 Shares</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Treasury Shares</w:t>
            </w:r>
          </w:p>
        </w:tc>
        <w:tc>
          <w:tcPr>
            <w:tcW w:w="10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Accumulated</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8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Balances, April 30, 2018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18,424,939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(74,012)</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208,216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(197,538)</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(3,240)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Issuance of restricted stock, net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17,359</w:t>
            </w:r>
          </w:p>
        </w:tc>
        <w:tc>
          <w:tcPr>
            <w:tcW w:w="5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July 31, 2018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18,442,298</w:t>
            </w: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w:t>
            </w: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(74,012</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208,296</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(200,778</w:t>
            </w:r>
          </w:p>
        </w:tc>
        <w:tc>
          <w:tcPr>
            <w:tcW w:w="20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top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6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Ocean Power Technologies, Inc. and Subsidiaries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ind w:left="5300"/>
              <w:spacing w:after="0"/>
              <w:rPr>
                <w:sz w:val="20"/>
                <w:szCs w:val="20"/>
                <w:color w:val="auto"/>
              </w:rPr>
            </w:pPr>
            <w:r>
              <w:rPr>
                <w:rFonts w:ascii="Arial" w:cs="Arial" w:eastAsia="Arial" w:hAnsi="Arial"/>
                <w:sz w:val="18"/>
                <w:szCs w:val="18"/>
                <w:b w:val="1"/>
                <w:bCs w:val="1"/>
                <w:color w:val="auto"/>
              </w:rPr>
              <w:t>(in $000’s)</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20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8"/>
                <w:szCs w:val="18"/>
                <w:b w:val="1"/>
                <w:bCs w:val="1"/>
                <w:color w:val="auto"/>
              </w:rPr>
              <w:t>Three months ended July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(3,240)</w:t>
            </w:r>
          </w:p>
        </w:tc>
        <w:tc>
          <w:tcPr>
            <w:tcW w:w="1260" w:type="dxa"/>
            <w:vAlign w:val="bottom"/>
            <w:gridSpan w:val="2"/>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Foreign exchange loss/(gain)</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Gain due to the change in fair value of warrant liabilities</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Unbilled receivables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Contract assets</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Deferred rent</w:t>
            </w:r>
          </w:p>
        </w:tc>
        <w:tc>
          <w:tcPr>
            <w:tcW w:w="1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credit payable</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Unearned revenue</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Contract liabilities</w:t>
            </w:r>
          </w:p>
        </w:tc>
        <w:tc>
          <w:tcPr>
            <w:tcW w:w="1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used in operating activities</w:t>
            </w:r>
          </w:p>
        </w:tc>
        <w:tc>
          <w:tcPr>
            <w:tcW w:w="1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(3,793</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(4,238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marketable securities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Leasehold improvements and purchase of equipment</w:t>
            </w:r>
          </w:p>
        </w:tc>
        <w:tc>
          <w:tcPr>
            <w:tcW w:w="1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net of costs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Payment of capital lease obligations</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1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700"/>
              <w:spacing w:after="0" w:line="203" w:lineRule="exact"/>
              <w:rPr>
                <w:sz w:val="20"/>
                <w:szCs w:val="20"/>
                <w:color w:val="auto"/>
              </w:rPr>
            </w:pPr>
            <w:r>
              <w:rPr>
                <w:rFonts w:ascii="Arial" w:cs="Arial" w:eastAsia="Arial" w:hAnsi="Arial"/>
                <w:sz w:val="18"/>
                <w:szCs w:val="18"/>
                <w:color w:val="auto"/>
              </w:rPr>
              <w:t>Net (decrease)/increase in cash, cash equivalents and restricted cash</w:t>
            </w:r>
          </w:p>
        </w:tc>
        <w:tc>
          <w:tcPr>
            <w:tcW w:w="114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(3,863)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3,020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12,225</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9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11,929</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Supplemental schedule of cash flows information:</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Acquisition of leasehold improvements and equipment through accrued expenses</w:t>
            </w: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ind w:left="38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Background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relating to our technology. Today our goal is to generate the majority our revenue from the sale or lease of products, and sales of services to support our business operations. As we continue to develop and commercialize our products and services, we expect to have a net loss of cash from operating activities unless and until we achieve positive cash flow from the commercialization of products and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2018 filed with the Securities and Exchange Commission (“SEC”) and elsewhere in this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Liquidity/Going Concern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have been prepared assuming the Company will continue as a going concern. The Company has experienced substantial and recurring losses from operations, which have contributed to an accumulated deficit of $200.8 million as of July 31, 2018. As of July 31, 2018, the Company had approximately $8.4 million in cash, cash equivalents, restricted cash and marketable securities on hand. The Company generated revenues of $31,000 and $0.2 million during each of the three months ended July 31, 2018 and 2017. Based on the Company’s cash, cash equivalents, restricted cash and marketable securities as of July 31, 2018, the Company believes that it will be able to finance its capital requirements and operations into at least the quarter ending April 30, 2019. The Company will require additional equity and/or debt financing to continue its operations.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evaluating different strategies to obtain the required additional funding for future operations. These strategies may include, but are not limited to, continued pursuit of business opportunities, additional funding from current or new investors, officers and directors; borrowings of debt; a public offering of the Company’s equity or debt securities; partnerships and/or collaborations. There can be no assurance that any of these future-funding efforts will be successful.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6"/>
          <w:szCs w:val="16"/>
          <w:color w:val="auto"/>
        </w:rPr>
        <w:t>In fiscal 2018 and the three months ended July 31, 2018,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closed five equity financing arrangements during the 27-month period ended July 31, 2018. The Company does currently have committed sources of equity financing, but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$6.08 per share, became exercisable on December 3, 2016 (“Initial Exercise Date”), and will expire five years following the Initial Exercise Date. The Company paid the placement agents approximately $0.1 million as placement agent fees in connection with the sale of securities in the offering. The Company also reimbursed the placement agents $35,000 for their out of pocket and legal expenses in connection with the offering.</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underwriter fees and offering expenses payable by the Company.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fair value of warrant liabilities,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 invests excess cash in a money market account.</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31, 2018</w:t>
            </w:r>
          </w:p>
        </w:tc>
        <w:tc>
          <w:tcPr>
            <w:tcW w:w="16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gridSpan w:val="4"/>
          </w:tcPr>
          <w:p>
            <w:pPr>
              <w:jc w:val="right"/>
              <w:ind w:right="1110"/>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Money market account</w:t>
            </w:r>
          </w:p>
        </w:tc>
        <w:tc>
          <w:tcPr>
            <w:tcW w:w="2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6,679</w:t>
            </w:r>
          </w:p>
        </w:tc>
        <w:tc>
          <w:tcPr>
            <w:tcW w:w="16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three security agreements.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($0.4 million) and carries a fee of 1% per annum of the amount of any such obligations issued by Barclays Bank. The credit facility does not have an expiration date but is cancelable at the discretion of the bank. As of July 31, 2018, there was €0.3 million ($0.4 million) in letters of credit outstanding under this agreement.</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other two agreements are between the Company and Santander Bank. Under the first agreement, the cash is on deposit at Santander Bank and serves as security for letter of credit issued by Santander Bank for the lease of new warehouse/office space in Monroe Township, New Jersey. The agreement cannot be extended beyond January 31, 2025 and is cancelable at the discretion of the bank. Under the second agreement, the cash is on deposit at Santander Bank and serves as security for a performance bond issued by Santander Bank as a requirement of the Eni contract. Restricted cash includes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July 31, 2018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April 30, 2018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700" w:type="dxa"/>
            <w:vAlign w:val="bottom"/>
            <w:tcBorders>
              <w:top w:val="single" w:sz="8" w:color="auto"/>
            </w:tcBorders>
            <w:gridSpan w:val="4"/>
          </w:tcPr>
          <w:p>
            <w:pPr>
              <w:jc w:val="right"/>
              <w:ind w:right="380"/>
              <w:spacing w:after="0"/>
              <w:rPr>
                <w:sz w:val="20"/>
                <w:szCs w:val="20"/>
                <w:color w:val="auto"/>
              </w:rPr>
            </w:pPr>
            <w:r>
              <w:rPr>
                <w:rFonts w:ascii="Arial" w:cs="Arial" w:eastAsia="Arial" w:hAnsi="Arial"/>
                <w:sz w:val="18"/>
                <w:szCs w:val="18"/>
                <w:color w:val="auto"/>
              </w:rPr>
              <w:t>(in thousands)</w:t>
            </w:r>
          </w:p>
        </w:tc>
        <w:tc>
          <w:tcPr>
            <w:tcW w:w="800" w:type="dxa"/>
            <w:vAlign w:val="bottom"/>
            <w:tcBorders>
              <w:top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vMerge w:val="restart"/>
          </w:tcPr>
          <w:p>
            <w:pPr>
              <w:spacing w:after="0"/>
              <w:rPr>
                <w:sz w:val="17"/>
                <w:szCs w:val="17"/>
                <w:color w:val="auto"/>
              </w:rPr>
            </w:pPr>
          </w:p>
        </w:tc>
        <w:tc>
          <w:tcPr>
            <w:tcW w:w="2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286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362</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Santander Bank</w:t>
            </w:r>
          </w:p>
        </w:tc>
        <w:tc>
          <w:tcPr>
            <w:tcW w:w="1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356</w:t>
            </w:r>
          </w:p>
        </w:tc>
        <w:tc>
          <w:tcPr>
            <w:tcW w:w="8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40" w:type="dxa"/>
            <w:vAlign w:val="bottom"/>
            <w:vMerge w:val="restart"/>
          </w:tcPr>
          <w:p>
            <w:pPr>
              <w:jc w:val="right"/>
              <w:ind w:right="29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7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31, 2018</w:t>
            </w:r>
          </w:p>
        </w:tc>
        <w:tc>
          <w:tcPr>
            <w:tcW w:w="160" w:type="dxa"/>
            <w:vAlign w:val="bottom"/>
          </w:tcPr>
          <w:p>
            <w:pPr>
              <w:spacing w:after="0"/>
              <w:rPr>
                <w:sz w:val="20"/>
                <w:szCs w:val="20"/>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gridSpan w:val="4"/>
          </w:tcPr>
          <w:p>
            <w:pPr>
              <w:jc w:val="right"/>
              <w:ind w:right="1110"/>
              <w:spacing w:after="0"/>
              <w:rPr>
                <w:sz w:val="20"/>
                <w:szCs w:val="20"/>
                <w:color w:val="auto"/>
              </w:rPr>
            </w:pPr>
            <w:r>
              <w:rPr>
                <w:rFonts w:ascii="Arial" w:cs="Arial" w:eastAsia="Arial" w:hAnsi="Arial"/>
                <w:sz w:val="18"/>
                <w:szCs w:val="18"/>
                <w:color w:val="auto"/>
              </w:rPr>
              <w:t>(in thousands)</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2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Marketable Securities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July 31, 2018, and April 30, 2018, all of the Company’s investments were classified as held-to-maturity.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Foreign Exchange Gains and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are included in “Foreign exchange gain/(loss)” in the accompanying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Concentration of Credit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38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 July 31,</w:t>
            </w:r>
          </w:p>
        </w:tc>
      </w:tr>
      <w:tr>
        <w:trPr>
          <w:trHeight w:val="237"/>
        </w:trPr>
        <w:tc>
          <w:tcPr>
            <w:tcW w:w="4680" w:type="dxa"/>
            <w:vAlign w:val="bottom"/>
          </w:tcPr>
          <w:p>
            <w:pPr>
              <w:spacing w:after="0"/>
              <w:rPr>
                <w:sz w:val="20"/>
                <w:szCs w:val="20"/>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r>
      <w:tr>
        <w:trPr>
          <w:trHeight w:val="216"/>
        </w:trPr>
        <w:tc>
          <w:tcPr>
            <w:tcW w:w="4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2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Mitsui Engineering &amp; Shipbuilding</w:t>
            </w:r>
          </w:p>
        </w:tc>
        <w:tc>
          <w:tcPr>
            <w:tcW w:w="202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Premier Oil UK Limited</w:t>
            </w:r>
          </w:p>
        </w:tc>
        <w:tc>
          <w:tcPr>
            <w:tcW w:w="2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U.S. Department of Defense Office of Naval Research</w:t>
            </w:r>
          </w:p>
        </w:tc>
        <w:tc>
          <w:tcPr>
            <w:tcW w:w="202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468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Warrant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warrants to purchase shares of its common stock are classified as warrant liabilities and are recorded at fair value. The warrant liabilities are subject to re-measurement at each balance sheet date and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warrants on common stock and non-vested restricted stock issued to employees and non-employee directors, totaling 898,829 for the three months ended July 31, 2018 and 701,977 for the three months ended July 31, 2017, were excluded from each of the computations as the effect would be anti-dilutive due to the Company’s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Share-Based Compensation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months ended July 31, 2018 and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Three months ended July 31,</w:t>
            </w:r>
          </w:p>
        </w:tc>
        <w:tc>
          <w:tcPr>
            <w:tcW w:w="46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w w:val="98"/>
              </w:rPr>
              <w:t>(in thousands)</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1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00" w:type="dxa"/>
            <w:vAlign w:val="bottom"/>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0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60" w:type="dxa"/>
            <w:vAlign w:val="bottom"/>
            <w:vMerge w:val="restart"/>
          </w:tcPr>
          <w:p>
            <w:pPr>
              <w:jc w:val="right"/>
              <w:ind w:right="290"/>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7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(k) Deferred Rent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31, 2017, the Company signed a new 7-year lease for approximately 56,000 square feet in Monroe Township, New Jersey that will be used as warehouse/production space and the Company’s principal offices and corporate headquarters. The lease was classified as an operating lease. Rent payments relating to the Monroe premises are subject to annual increases. The minimum monthly payments will vary over the 7-year term of the lease. The Company will record rent expense on a straight-line basis over the 7-year term of the lease. The difference between rent expense and the monthly lease payment will go to a deferred rent/prepaid rent account. The Landlord has provided the Company a tenant improvement allowance in an amount up to, but not exceeding, $137,563 to be applied to the cost of tenant improvement work. The Company recorded lease incentive liability to deferred rent. The Company will release the lease incentive liability on a straight-line basis over the 7-year term to rent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Revenue Recognition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classifies leases as either operating or capital lease arrangements in accordance with the authoritative accounting guidance contained within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inception of the contract, the Company evaluates the lease against the four lease classification criteria within ASC Topic 840. In general, if one of the four criteria is met, then the lease is accounted for as a capital lease. All others are treated as an operating lease. For operating leases, lessee payments are recorded to revenue on a straight-line basis over the term of the lease.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spacing w:after="0" w:line="297" w:lineRule="auto"/>
        <w:rPr>
          <w:sz w:val="20"/>
          <w:szCs w:val="20"/>
          <w:color w:val="auto"/>
        </w:rPr>
      </w:pPr>
      <w:r>
        <w:rPr>
          <w:rFonts w:ascii="Arial" w:cs="Arial" w:eastAsia="Arial" w:hAnsi="Arial"/>
          <w:sz w:val="16"/>
          <w:szCs w:val="16"/>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following are percentages of revenues by contract type;</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6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9"/>
              </w:rPr>
              <w:t>Three months ended July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360" w:type="dxa"/>
            <w:vAlign w:val="bottom"/>
            <w:gridSpan w:val="3"/>
          </w:tcPr>
          <w:p>
            <w:pPr>
              <w:jc w:val="center"/>
              <w:ind w:left="990"/>
              <w:spacing w:after="0"/>
              <w:rPr>
                <w:sz w:val="20"/>
                <w:szCs w:val="20"/>
                <w:color w:val="auto"/>
              </w:rPr>
            </w:pPr>
            <w:r>
              <w:rPr>
                <w:rFonts w:ascii="Arial" w:cs="Arial" w:eastAsia="Arial" w:hAnsi="Arial"/>
                <w:sz w:val="18"/>
                <w:szCs w:val="18"/>
                <w:color w:val="auto"/>
                <w:w w:val="91"/>
              </w:rPr>
              <w:t>(in thousands)</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1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Firm fixed price</w:t>
            </w: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1880" w:type="dxa"/>
            <w:vAlign w:val="bottom"/>
            <w:gridSpan w:val="2"/>
          </w:tcPr>
          <w:p>
            <w:pPr>
              <w:jc w:val="right"/>
              <w:ind w:right="70"/>
              <w:spacing w:after="0" w:line="203" w:lineRule="exact"/>
              <w:rPr>
                <w:sz w:val="20"/>
                <w:szCs w:val="20"/>
                <w:color w:val="auto"/>
              </w:rPr>
            </w:pPr>
            <w:r>
              <w:rPr>
                <w:rFonts w:ascii="Arial" w:cs="Arial" w:eastAsia="Arial" w:hAnsi="Arial"/>
                <w:sz w:val="18"/>
                <w:szCs w:val="18"/>
                <w:color w:val="auto"/>
              </w:rPr>
              <w:t>100%</w:t>
            </w:r>
          </w:p>
        </w:tc>
        <w:tc>
          <w:tcPr>
            <w:tcW w:w="480" w:type="dxa"/>
            <w:vAlign w:val="bottom"/>
          </w:tcPr>
          <w:p>
            <w:pPr>
              <w:spacing w:after="0"/>
              <w:rPr>
                <w:sz w:val="17"/>
                <w:szCs w:val="17"/>
                <w:color w:val="auto"/>
              </w:rPr>
            </w:pPr>
          </w:p>
        </w:tc>
        <w:tc>
          <w:tcPr>
            <w:tcW w:w="12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sharing</w:t>
            </w:r>
          </w:p>
        </w:tc>
        <w:tc>
          <w:tcPr>
            <w:tcW w:w="1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plus</w:t>
            </w:r>
          </w:p>
        </w:tc>
        <w:tc>
          <w:tcPr>
            <w:tcW w:w="1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87"/>
              </w:rPr>
              <w:t>%</w:t>
            </w: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July 31, 2018, the Company’s total remaining performance obligations, also referred to as backlog, totaled $1.0 million. The Company expects to recognize approximately 63%, or $0.6 million, of the remaining performance obligations as revenue over the next twelve months, an additional 37% the following twelve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Recently Issued Accounting Standards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Under the full retrospective method, the standard would be applied to each prior reporting period presented and the cumulative effect of applying the standard would be recognized at the earliest period shown. Under the modified retrospective method, the cumulative effect of applying the standard would be recognized at the date of application. Effective May 1, 2018, the Company adopted the requirements of ASU 2014-09 using the modified retrospective method. As a practical expedient, the Company adopted the new standard only for existing contracts as of May 1, 2018, the date of adoption. Any contracts that had expired prior to May 1, 2018 were not evaluated against the new standard. The Company adopted ASU 2014-09 and the adoption did not have a material impact on the Company’s consolidated financial position, results of operations or cash flows.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In July 2018, the FASB issued ASU No. 2018-11,</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w:t>
      </w:r>
      <w:r>
        <w:rPr>
          <w:rFonts w:ascii="Arial" w:cs="Arial" w:eastAsia="Arial" w:hAnsi="Arial"/>
          <w:sz w:val="16"/>
          <w:szCs w:val="16"/>
          <w:color w:val="auto"/>
        </w:rPr>
        <w:t>ASU 2018-11 provides companies another transition method in addition to the existing transition method by allowing entities to initially</w:t>
      </w:r>
      <w:r>
        <w:rPr>
          <w:rFonts w:ascii="Arial" w:cs="Arial" w:eastAsia="Arial" w:hAnsi="Arial"/>
          <w:sz w:val="16"/>
          <w:szCs w:val="16"/>
          <w:i w:val="1"/>
          <w:iCs w:val="1"/>
          <w:color w:val="auto"/>
        </w:rPr>
        <w:t xml:space="preserve"> </w:t>
      </w:r>
      <w:r>
        <w:rPr>
          <w:rFonts w:ascii="Arial" w:cs="Arial" w:eastAsia="Arial" w:hAnsi="Arial"/>
          <w:sz w:val="16"/>
          <w:szCs w:val="16"/>
          <w:color w:val="auto"/>
        </w:rPr>
        <w:t>apply the new leases standard at the adoption date and recognize a cumulative-effect adjustment to the opening balance of retained earnings in the period of adoption. The consideration in the contract is allocated to the lease and nonlease components on a relative standalone price basis (for lessees) or in accordance with the allocation guidance in the new revenue standard (for lessors). ASU 2018-11 also provides lessees with a practical expedient, by class of underlying asset, to not separate nonlease components from the associated lease component. If a lessee makes that accounting policy election, it is required to account for the nonlease components together with the associated lease component as a single lease component and to provide certain disclosures. Lessors are not afforded a similar practical expedient. The Company is evaluating the effect ASU 2016-02 will have on its consolidated financial statements and disclosures and has not yet determined the effect of the standard on its ongoing financial reporting at this time.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2016-13 will have on its consolidated financial statements and disclosures and has determined the standard will have no impact on its ongoing financial reporting at this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 Receivable, Contract Assets, and Contract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 Accounts receivable consisted of the following at July 31, 2018 and April 30, 2018.</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July 31, 2018</w:t>
            </w:r>
          </w:p>
        </w:tc>
        <w:tc>
          <w:tcPr>
            <w:tcW w:w="160" w:type="dxa"/>
            <w:vAlign w:val="bottom"/>
          </w:tcPr>
          <w:p>
            <w:pPr>
              <w:spacing w:after="0"/>
              <w:rPr>
                <w:sz w:val="20"/>
                <w:szCs w:val="20"/>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9"/>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gridSpan w:val="4"/>
          </w:tcPr>
          <w:p>
            <w:pPr>
              <w:jc w:val="right"/>
              <w:ind w:right="1110"/>
              <w:spacing w:after="0"/>
              <w:rPr>
                <w:sz w:val="20"/>
                <w:szCs w:val="20"/>
                <w:color w:val="auto"/>
              </w:rPr>
            </w:pPr>
            <w:r>
              <w:rPr>
                <w:rFonts w:ascii="Arial" w:cs="Arial" w:eastAsia="Arial" w:hAnsi="Arial"/>
                <w:sz w:val="18"/>
                <w:szCs w:val="18"/>
                <w:color w:val="auto"/>
              </w:rPr>
              <w:t>(in thousands)</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Amount invoiced to customer</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Collections</w:t>
            </w:r>
          </w:p>
        </w:tc>
        <w:tc>
          <w:tcPr>
            <w:tcW w:w="2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Contract assets (previously referred to as unbilled receivables). </w:t>
      </w:r>
      <w:r>
        <w:rPr>
          <w:rFonts w:ascii="Arial" w:cs="Arial" w:eastAsia="Arial" w:hAnsi="Arial"/>
          <w:sz w:val="18"/>
          <w:szCs w:val="18"/>
          <w:color w:val="auto"/>
        </w:rPr>
        <w:t>Contract assets include unbilled amounts typically resulting from arrangements whereby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payment is conditioned on completing additional tasks or services for a performance obligation. On May 1, 2018, the day of adoption of ASC 2014-09, the Company reclassified $71,000 of unbilled receivables to contract assets.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Contract liabilities (previously referred to as unearned revenue). </w:t>
      </w:r>
      <w:r>
        <w:rPr>
          <w:rFonts w:ascii="Arial" w:cs="Arial" w:eastAsia="Arial" w:hAnsi="Arial"/>
          <w:sz w:val="17"/>
          <w:szCs w:val="17"/>
          <w:color w:val="auto"/>
        </w:rPr>
        <w:t>Contract liabilities consist of amounts invoiced to customers in excess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On May 1, 2018, the day of adoption of ASC 2014-09, the Company reclassified $18,000 of unearned revenue to contract liabilities.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A summary of the contract assets and contract liabilities is as follows:</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7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31, 2018</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April 30, 2018</w:t>
            </w:r>
          </w:p>
        </w:tc>
        <w:tc>
          <w:tcPr>
            <w:tcW w:w="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280" w:type="dxa"/>
            <w:vAlign w:val="bottom"/>
            <w:gridSpan w:val="4"/>
          </w:tcPr>
          <w:p>
            <w:pPr>
              <w:jc w:val="right"/>
              <w:ind w:right="92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40" w:type="dxa"/>
            <w:vAlign w:val="bottom"/>
            <w:shd w:val="clear" w:color="auto" w:fill="CCEEFF"/>
          </w:tcPr>
          <w:p>
            <w:pPr>
              <w:jc w:val="right"/>
              <w:ind w:right="12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liabilities</w:t>
            </w: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(liability)/assets, net</w:t>
            </w: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40" w:type="dxa"/>
            <w:vAlign w:val="bottom"/>
            <w:tcBorders>
              <w:bottom w:val="single" w:sz="8" w:color="auto"/>
            </w:tcBorders>
            <w:shd w:val="clear" w:color="auto" w:fill="CCEEFF"/>
          </w:tcPr>
          <w:p>
            <w:pPr>
              <w:jc w:val="right"/>
              <w:ind w:right="128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contract assets is primarily a result of services performed during the three months ended July 31, 2018 and billed under the related contracts. The increase in contract liabilities is primarily a result of an additional amount invoiced to customers in excess of revenue recognized during the three months ended July 31, 2018. During the three months ended July 31, 2018, the Company recognized $18,000 of revenue that was included in contract liabilities at May 1, 2018. During the three months ended July 31, 2018, the Company recognized revenue of $31,000 related to performance obligations that were partially satisfied in previous periods.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with initial maturities greater than three months but that mature within one year from the balance sheet date are classified as current assets. For the periods ended July 31, 2018 and April 30, 2018 the Company had $25,000 in certificates of deposit.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(5) Accrued Expenses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color w:val="auto"/>
                <w:w w:val="99"/>
              </w:rPr>
              <w:t>Accrued expenses consist of the following at July 31, 2018 and April 30, 2018.</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7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31, 2018</w:t>
            </w:r>
          </w:p>
        </w:tc>
        <w:tc>
          <w:tcPr>
            <w:tcW w:w="160" w:type="dxa"/>
            <w:vAlign w:val="bottom"/>
          </w:tcPr>
          <w:p>
            <w:pPr>
              <w:spacing w:after="0"/>
              <w:rPr>
                <w:sz w:val="24"/>
                <w:szCs w:val="24"/>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gridSpan w:val="4"/>
          </w:tcPr>
          <w:p>
            <w:pPr>
              <w:jc w:val="right"/>
              <w:ind w:right="1110"/>
              <w:spacing w:after="0"/>
              <w:rPr>
                <w:sz w:val="20"/>
                <w:szCs w:val="20"/>
                <w:color w:val="auto"/>
              </w:rPr>
            </w:pPr>
            <w:r>
              <w:rPr>
                <w:rFonts w:ascii="Arial" w:cs="Arial" w:eastAsia="Arial" w:hAnsi="Arial"/>
                <w:sz w:val="18"/>
                <w:szCs w:val="18"/>
                <w:color w:val="auto"/>
              </w:rPr>
              <w:t>(in thousands)</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Contract loss reserve</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Accrued taxes payable</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Credits Payable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$0.6 million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$0.6 million, less the aggregate discount on any emission credits sold to the investor prior to such date. In December 2012, the Company and the investor agreed to extend the period for the sale of emission credits until December 31, 2017. As of July 31, 2018, the Company did not generate any emissions credits eligible for purchase under the agreement. It has been agreed by the investor and the Company that the Company will return the option fee of $0.6 million. As of July 31, 2018, the Company has made payments of $0.4 million of the $0.6 million option fee. Therefore, $0.2 million and $0.6 million is reflected in the consolidated balance sheets within “Deferred credits payable current” as of July 31, 2018 and April 30, 2018, respectively. The Company made the final payment and has completely paid the balance on August 23, 2018. As a result, this matter is completely resolved and no additional amounts are owed by the Company to the investor.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warrants have an exercise price of $6.08 per share, became exercisable on December 3, 2016 (“Initial Exercise Date”), and will expire five years following the Initial Exercise Date.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spacing w:after="0" w:line="297" w:lineRule="auto"/>
        <w:rPr>
          <w:sz w:val="20"/>
          <w:szCs w:val="20"/>
          <w:color w:val="auto"/>
        </w:rPr>
      </w:pPr>
      <w:r>
        <w:rPr>
          <w:rFonts w:ascii="Arial" w:cs="Arial" w:eastAsia="Arial" w:hAnsi="Arial"/>
          <w:sz w:val="16"/>
          <w:szCs w:val="16"/>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Warrants were exercisable immediately at an exercise price of $9.36 per share. The Warrants will expire on the fifth (5th) anniversary of the initial date of issuance.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sets of warrants contain a feature whereby they could require the transfer of assets and therefore are classified as a liability in accordance with ASC 480. As such, the warrants had a value of $0.1 million and $0.2 million at July 31, 2018 and April 30, 2018, respectively, as reflected within “Warrant liabilities” in the unaudited consolidated balance sheets.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unrealized gain of approximately $85,000 and $37,000 for the three months ended July 31, 2018 and 2017, respectively, was included within “Gain due to change in fair value of warrant liability” in the consolidated statements of operations. The Company determined the fair value using the Black-Scholes option pricing model with the following assumptions: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July 31, 2018</w:t>
            </w:r>
          </w:p>
        </w:tc>
        <w:tc>
          <w:tcPr>
            <w:tcW w:w="17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July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Risk-free rate</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3.0 - 3.4</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4.0 - 4.4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Expected volatility</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140.5%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2007, the Company’s 2006 Stock Incentive Plan (the “2006 Plan”) became effective. A total of 80,321 shares were authorized for issuance under the 2006 Plan. In 2009, an amendment to the 2006 Plan was approved by the Company’s stockholders, increasing the aggregate number of shares authorized for issuance by 85,000 shares to 165,321. On October 2, 2013, a further amendment to the 2006 Plan was approved by the Company’s stockholders, increasing the aggregate number of shares authorized for issuance by an additional 80,000 shares to 245,321. The Company’s employees, officers, directors, consultants and advisors were eligible to receive awards under the 2006 Plan. The 2006 Plan was administered by the Company’s board of directors, who were authorized to delegate authority to one or more committees or subcommittees of the board of directors or to the Company’s officers. The 2006 Plan was terminated in December 2015 and unused shares in that plan were transferred to the 2015 Omnibus Incentive Plan.</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2015, upon approval by the Company’s stockholders, the Company’s 2015 Omnibus Incentive Plan (the “2015 Plan”) became effective. A total of 240,703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On October 21, 2016 upon approval by the Company’s stockholders the Company increased the number of shares authorized for issuance to 640,703.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July 31, 2018, the Company has 119,606 shares available for future issuance under the 2015 Plan.</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18, 2018, the Company’s Board of Directors adopted the Company’s Employment Inducement Incentive Award Plan (the “2018 Inducement Plan”) pursuant to which the Company reserved 500,000 shares of common stock for issuance under the Inducement Plan. In accordance with Rule 5635(c)</w:t>
      </w:r>
    </w:p>
    <w:p>
      <w:pPr>
        <w:jc w:val="both"/>
        <w:ind w:firstLine="8"/>
        <w:spacing w:after="0" w:line="253" w:lineRule="auto"/>
        <w:tabs>
          <w:tab w:leader="none" w:pos="267"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July 31, 2018, there were 116,156 shares outstanding and 383,844 shares available for grant under the 2018 Inducement Plan.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estimates the fair value of each stock option granted, for both service-based and performance-based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over the expected life of the stock option granted. There were no shares granted in the three months ended July 31, 2018 and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Weighted</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2018</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Cancelled/forfeited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(28,575)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43.06</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July 31, 2018</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359,954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vMerge w:val="restart"/>
          </w:tcPr>
          <w:p>
            <w:pPr>
              <w:spacing w:after="0"/>
              <w:rPr>
                <w:sz w:val="20"/>
                <w:szCs w:val="20"/>
                <w:color w:val="auto"/>
              </w:rPr>
            </w:pPr>
            <w:r>
              <w:rPr>
                <w:rFonts w:ascii="Arial" w:cs="Arial" w:eastAsia="Arial" w:hAnsi="Arial"/>
                <w:sz w:val="18"/>
                <w:szCs w:val="18"/>
                <w:color w:val="auto"/>
              </w:rPr>
              <w:t>Exercisable as of July 31, 2018</w:t>
            </w: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vMerge w:val="restart"/>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4.91</w:t>
            </w:r>
          </w:p>
        </w:tc>
        <w:tc>
          <w:tcPr>
            <w:tcW w:w="260" w:type="dxa"/>
            <w:vAlign w:val="bottom"/>
            <w:vMerge w:val="restart"/>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189,224</w:t>
            </w:r>
          </w:p>
        </w:tc>
        <w:tc>
          <w:tcPr>
            <w:tcW w:w="16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July 31, 2018, the total intrinsic value of both outstanding and exercisable options was approximately zero. As of July 31, 2018, approximately 145,121 additional options were unvested, which had no intrinsic value and a weighted average remaining contractual term of 9.2 years. There was approximately $51,000 and $69,000 of total recognized compensation cost related to stock options during each of the three months ended July 31, 2018 and 2017, respectively. As of July 31, 2018, there was approximately $45,000 of total unrecognized compensation cost related to non-vested stock options granted under the plans. This cost is expected to be recognized over a weighted-average period of 0.23 years. The Company typically issues newly authorized but unissued shares to satisfy option exercises under these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for non-vested restricted stock is generally recorded based on its market value on the date of grant and recognized ratably over the associated service and performance period. During the three months ended July 31, 2018, the Company granted 18,859 shares subject to service-based vesting requirements.</w:t>
      </w:r>
    </w:p>
    <w:p>
      <w:pPr>
        <w:sectPr>
          <w:pgSz w:w="11900" w:h="16838" w:orient="portrait"/>
          <w:cols w:equalWidth="0" w:num="1">
            <w:col w:w="11420"/>
          </w:cols>
          <w:pgMar w:left="240" w:top="665"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Issued and unvested at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Issued and unvested at 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r>
      <w:tr>
        <w:trPr>
          <w:trHeight w:val="230"/>
        </w:trPr>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Average Price per</w:t>
            </w:r>
          </w:p>
        </w:tc>
      </w:tr>
      <w:tr>
        <w:trPr>
          <w:trHeight w:val="241"/>
        </w:trPr>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w w:val="82"/>
              </w:rPr>
              <w:t>of Shares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Share</w:t>
            </w:r>
          </w:p>
        </w:tc>
      </w:tr>
      <w:tr>
        <w:trPr>
          <w:trHeight w:val="418"/>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197,064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18,859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57"/>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214,423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9175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-874395</wp:posOffset>
            </wp:positionV>
            <wp:extent cx="9175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75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00" w:space="280"/>
            <w:col w:w="4840"/>
          </w:cols>
          <w:pgMar w:left="240" w:top="665" w:right="239" w:bottom="1440" w:gutter="0" w:footer="0" w:header="0"/>
          <w:type w:val="continuous"/>
        </w:sectPr>
      </w:pPr>
    </w:p>
    <w:p>
      <w:pPr>
        <w:spacing w:after="0" w:line="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approximately $29,000 and $22,000 of total recognized compensation cost related to restricted stock for the three months ended July 31, 2018 and 2017, respectively. As of July 31, 2018, there was approximately $177,000 of total unrecognized compensation cost related to unvested restricted stock granted under our plans. This cost is expected to be recognized over a weighted average period of 1.9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(c)Treasury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July 31, 2018 and 2017, zero and 22,016 shares, respectively, of common stock was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58" w:lineRule="exact"/>
        <w:rPr>
          <w:sz w:val="20"/>
          <w:szCs w:val="20"/>
          <w:color w:val="auto"/>
        </w:rPr>
      </w:pPr>
    </w:p>
    <w:p>
      <w:pPr>
        <w:jc w:val="both"/>
        <w:ind w:left="1040" w:right="20" w:hanging="1039"/>
        <w:spacing w:after="0" w:line="264" w:lineRule="auto"/>
        <w:tabs>
          <w:tab w:leader="none" w:pos="10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81" w:lineRule="exact"/>
        <w:rPr>
          <w:sz w:val="20"/>
          <w:szCs w:val="20"/>
          <w:color w:val="auto"/>
        </w:rPr>
      </w:pPr>
    </w:p>
    <w:p>
      <w:pPr>
        <w:jc w:val="both"/>
        <w:ind w:left="1040" w:hanging="1039"/>
        <w:spacing w:after="0" w:line="264" w:lineRule="auto"/>
        <w:tabs>
          <w:tab w:leader="none" w:pos="10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81" w:lineRule="exact"/>
        <w:rPr>
          <w:sz w:val="20"/>
          <w:szCs w:val="20"/>
          <w:color w:val="auto"/>
        </w:rPr>
      </w:pPr>
    </w:p>
    <w:p>
      <w:pPr>
        <w:jc w:val="both"/>
        <w:ind w:left="1040" w:hanging="1039"/>
        <w:spacing w:after="0" w:line="264" w:lineRule="auto"/>
        <w:tabs>
          <w:tab w:leader="none" w:pos="10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levels during each of the three months ended July 31, 2018 and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the Company’s warrant liabilities (refer to Note 7)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July 31, 2018.</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Quoted prices in</w:t>
            </w:r>
          </w:p>
        </w:tc>
        <w:tc>
          <w:tcPr>
            <w:tcW w:w="380" w:type="dxa"/>
            <w:vAlign w:val="bottom"/>
          </w:tcPr>
          <w:p>
            <w:pPr>
              <w:spacing w:after="0"/>
              <w:rPr>
                <w:sz w:val="18"/>
                <w:szCs w:val="18"/>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Significant</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Total Carrying</w:t>
            </w:r>
          </w:p>
        </w:tc>
        <w:tc>
          <w:tcPr>
            <w:tcW w:w="380" w:type="dxa"/>
            <w:vAlign w:val="bottom"/>
          </w:tcPr>
          <w:p>
            <w:pPr>
              <w:spacing w:after="0"/>
              <w:rPr>
                <w:sz w:val="18"/>
                <w:szCs w:val="18"/>
                <w:color w:val="auto"/>
              </w:rPr>
            </w:pPr>
          </w:p>
        </w:tc>
        <w:tc>
          <w:tcPr>
            <w:tcW w:w="20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active markets for</w:t>
            </w:r>
          </w:p>
        </w:tc>
        <w:tc>
          <w:tcPr>
            <w:tcW w:w="380" w:type="dxa"/>
            <w:vAlign w:val="bottom"/>
          </w:tcPr>
          <w:p>
            <w:pPr>
              <w:spacing w:after="0"/>
              <w:rPr>
                <w:sz w:val="18"/>
                <w:szCs w:val="18"/>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other</w:t>
            </w:r>
          </w:p>
        </w:tc>
        <w:tc>
          <w:tcPr>
            <w:tcW w:w="3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Value in</w:t>
            </w:r>
          </w:p>
        </w:tc>
        <w:tc>
          <w:tcPr>
            <w:tcW w:w="380" w:type="dxa"/>
            <w:vAlign w:val="bottom"/>
          </w:tcPr>
          <w:p>
            <w:pPr>
              <w:spacing w:after="0"/>
              <w:rPr>
                <w:sz w:val="18"/>
                <w:szCs w:val="18"/>
                <w:color w:val="auto"/>
              </w:rPr>
            </w:pPr>
          </w:p>
        </w:tc>
        <w:tc>
          <w:tcPr>
            <w:tcW w:w="200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identical assets or</w:t>
            </w:r>
          </w:p>
        </w:tc>
        <w:tc>
          <w:tcPr>
            <w:tcW w:w="380" w:type="dxa"/>
            <w:vAlign w:val="bottom"/>
          </w:tcPr>
          <w:p>
            <w:pPr>
              <w:spacing w:after="0"/>
              <w:rPr>
                <w:sz w:val="18"/>
                <w:szCs w:val="18"/>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observable</w:t>
            </w:r>
          </w:p>
        </w:tc>
        <w:tc>
          <w:tcPr>
            <w:tcW w:w="3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unobservable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Consolidated</w:t>
            </w:r>
          </w:p>
        </w:tc>
        <w:tc>
          <w:tcPr>
            <w:tcW w:w="380" w:type="dxa"/>
            <w:vAlign w:val="bottom"/>
          </w:tcPr>
          <w:p>
            <w:pPr>
              <w:spacing w:after="0"/>
              <w:rPr>
                <w:sz w:val="18"/>
                <w:szCs w:val="18"/>
                <w:color w:val="auto"/>
              </w:rPr>
            </w:pPr>
          </w:p>
        </w:tc>
        <w:tc>
          <w:tcPr>
            <w:tcW w:w="2000" w:type="dxa"/>
            <w:vAlign w:val="bottom"/>
          </w:tcPr>
          <w:p>
            <w:pPr>
              <w:jc w:val="right"/>
              <w:ind w:right="77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8"/>
                <w:szCs w:val="18"/>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inputs</w:t>
            </w:r>
          </w:p>
        </w:tc>
        <w:tc>
          <w:tcPr>
            <w:tcW w:w="36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inputs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Balance Sheet</w:t>
            </w:r>
          </w:p>
        </w:tc>
        <w:tc>
          <w:tcPr>
            <w:tcW w:w="380" w:type="dxa"/>
            <w:vAlign w:val="bottom"/>
          </w:tcPr>
          <w:p>
            <w:pPr>
              <w:spacing w:after="0"/>
              <w:rPr>
                <w:sz w:val="20"/>
                <w:szCs w:val="20"/>
                <w:color w:val="auto"/>
              </w:rPr>
            </w:pPr>
          </w:p>
        </w:tc>
        <w:tc>
          <w:tcPr>
            <w:tcW w:w="200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(Level 1)</w:t>
            </w:r>
          </w:p>
        </w:tc>
        <w:tc>
          <w:tcPr>
            <w:tcW w:w="380" w:type="dxa"/>
            <w:vAlign w:val="bottom"/>
          </w:tcPr>
          <w:p>
            <w:pPr>
              <w:spacing w:after="0"/>
              <w:rPr>
                <w:sz w:val="20"/>
                <w:szCs w:val="20"/>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(Level 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(in thousands)</w:t>
            </w:r>
          </w:p>
        </w:tc>
        <w:tc>
          <w:tcPr>
            <w:tcW w:w="14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April 30, 2018.</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Quoted prices in</w:t>
            </w:r>
          </w:p>
        </w:tc>
        <w:tc>
          <w:tcPr>
            <w:tcW w:w="380" w:type="dxa"/>
            <w:vAlign w:val="bottom"/>
          </w:tcPr>
          <w:p>
            <w:pPr>
              <w:spacing w:after="0"/>
              <w:rPr>
                <w:sz w:val="18"/>
                <w:szCs w:val="18"/>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Significant</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Total Carrying</w:t>
            </w:r>
          </w:p>
        </w:tc>
        <w:tc>
          <w:tcPr>
            <w:tcW w:w="380" w:type="dxa"/>
            <w:vAlign w:val="bottom"/>
          </w:tcPr>
          <w:p>
            <w:pPr>
              <w:spacing w:after="0"/>
              <w:rPr>
                <w:sz w:val="18"/>
                <w:szCs w:val="18"/>
                <w:color w:val="auto"/>
              </w:rPr>
            </w:pPr>
          </w:p>
        </w:tc>
        <w:tc>
          <w:tcPr>
            <w:tcW w:w="20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active markets for</w:t>
            </w:r>
          </w:p>
        </w:tc>
        <w:tc>
          <w:tcPr>
            <w:tcW w:w="380" w:type="dxa"/>
            <w:vAlign w:val="bottom"/>
          </w:tcPr>
          <w:p>
            <w:pPr>
              <w:spacing w:after="0"/>
              <w:rPr>
                <w:sz w:val="18"/>
                <w:szCs w:val="18"/>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other</w:t>
            </w:r>
          </w:p>
        </w:tc>
        <w:tc>
          <w:tcPr>
            <w:tcW w:w="3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Value in</w:t>
            </w:r>
          </w:p>
        </w:tc>
        <w:tc>
          <w:tcPr>
            <w:tcW w:w="380" w:type="dxa"/>
            <w:vAlign w:val="bottom"/>
          </w:tcPr>
          <w:p>
            <w:pPr>
              <w:spacing w:after="0"/>
              <w:rPr>
                <w:sz w:val="18"/>
                <w:szCs w:val="18"/>
                <w:color w:val="auto"/>
              </w:rPr>
            </w:pPr>
          </w:p>
        </w:tc>
        <w:tc>
          <w:tcPr>
            <w:tcW w:w="200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identical assets or</w:t>
            </w:r>
          </w:p>
        </w:tc>
        <w:tc>
          <w:tcPr>
            <w:tcW w:w="380" w:type="dxa"/>
            <w:vAlign w:val="bottom"/>
          </w:tcPr>
          <w:p>
            <w:pPr>
              <w:spacing w:after="0"/>
              <w:rPr>
                <w:sz w:val="18"/>
                <w:szCs w:val="18"/>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observable</w:t>
            </w:r>
          </w:p>
        </w:tc>
        <w:tc>
          <w:tcPr>
            <w:tcW w:w="3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Consolidated</w:t>
            </w:r>
          </w:p>
        </w:tc>
        <w:tc>
          <w:tcPr>
            <w:tcW w:w="380" w:type="dxa"/>
            <w:vAlign w:val="bottom"/>
          </w:tcPr>
          <w:p>
            <w:pPr>
              <w:spacing w:after="0"/>
              <w:rPr>
                <w:sz w:val="18"/>
                <w:szCs w:val="18"/>
                <w:color w:val="auto"/>
              </w:rPr>
            </w:pPr>
          </w:p>
        </w:tc>
        <w:tc>
          <w:tcPr>
            <w:tcW w:w="200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liabilities</w:t>
            </w:r>
          </w:p>
        </w:tc>
        <w:tc>
          <w:tcPr>
            <w:tcW w:w="380" w:type="dxa"/>
            <w:vAlign w:val="bottom"/>
          </w:tcPr>
          <w:p>
            <w:pPr>
              <w:spacing w:after="0"/>
              <w:rPr>
                <w:sz w:val="18"/>
                <w:szCs w:val="18"/>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inputs</w:t>
            </w:r>
          </w:p>
        </w:tc>
        <w:tc>
          <w:tcPr>
            <w:tcW w:w="36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Balance Sheet</w:t>
            </w:r>
          </w:p>
        </w:tc>
        <w:tc>
          <w:tcPr>
            <w:tcW w:w="380" w:type="dxa"/>
            <w:vAlign w:val="bottom"/>
          </w:tcPr>
          <w:p>
            <w:pPr>
              <w:spacing w:after="0"/>
              <w:rPr>
                <w:sz w:val="20"/>
                <w:szCs w:val="20"/>
                <w:color w:val="auto"/>
              </w:rPr>
            </w:pPr>
          </w:p>
        </w:tc>
        <w:tc>
          <w:tcPr>
            <w:tcW w:w="200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(Level 1)</w:t>
            </w:r>
          </w:p>
        </w:tc>
        <w:tc>
          <w:tcPr>
            <w:tcW w:w="380" w:type="dxa"/>
            <w:vAlign w:val="bottom"/>
          </w:tcPr>
          <w:p>
            <w:pPr>
              <w:spacing w:after="0"/>
              <w:rPr>
                <w:sz w:val="20"/>
                <w:szCs w:val="20"/>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(in thousands)</w:t>
            </w:r>
          </w:p>
        </w:tc>
        <w:tc>
          <w:tcPr>
            <w:tcW w:w="14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fair value of the Company’s warrant liabilities held at July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Fair Value Measurement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685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Warrant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 April 30, 2017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 April 30, 2018</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6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Fair value – July 31, 2018</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re-measured assets or liabilities at fair value on a non-recurring basis during the three months ended July 31, 2018 and 2017,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7"/>
          <w:szCs w:val="17"/>
          <w:i w:val="1"/>
          <w:iCs w:val="1"/>
          <w:color w:val="auto"/>
        </w:rPr>
        <w:t>LaCalamito</w:t>
      </w:r>
      <w:r>
        <w:rPr>
          <w:rFonts w:ascii="Arial" w:cs="Arial" w:eastAsia="Arial" w:hAnsi="Arial"/>
          <w:sz w:val="17"/>
          <w:szCs w:val="17"/>
          <w:color w:val="auto"/>
        </w:rPr>
        <w:t xml:space="preserve">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October 25, 2016, the Court approved and entered a Stipulation and Order that, among other things, (i) consolidated the four derivative actions; (ii) identified plaintiff </w:t>
      </w:r>
      <w:r>
        <w:rPr>
          <w:rFonts w:ascii="Arial" w:cs="Arial" w:eastAsia="Arial" w:hAnsi="Arial"/>
          <w:sz w:val="18"/>
          <w:szCs w:val="18"/>
          <w:i w:val="1"/>
          <w:iCs w:val="1"/>
          <w:color w:val="auto"/>
        </w:rPr>
        <w:t>Pucillo</w:t>
      </w:r>
      <w:r>
        <w:rPr>
          <w:rFonts w:ascii="Arial" w:cs="Arial" w:eastAsia="Arial" w:hAnsi="Arial"/>
          <w:sz w:val="18"/>
          <w:szCs w:val="18"/>
          <w:color w:val="auto"/>
        </w:rPr>
        <w:t xml:space="preserve"> as the lead plaintiff in the consolidated actions; and (iii) stayed the consolidated actions pending the November 14, 2016 settlement hearing in the now-settled securities class action and further order of the Court.</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23, 2017, the parties entered into a Stipulation and Agreement of Settlement to resolve the four consolidated derivative lawsuits. If approved by the Court, the settlement provides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which the Court granted on March 9, 2018. On May 14, 2018, the Court held a final settlement approval hearing at which the Court stated that it was approving the settlement. On June 13, 2018, the Court issued a Final Order and Judgement, approving the Stipulation and Agreement Settlement. The Company has accrued $350,000 related to this matter as a probable and reasonably estimable loss contingency during the three months ended July 31, 2018. The Company also recorded a receivable of $350,000 from its insurance carrier with the offset to the statement of operations. The Company’s insurance carrier made payment of $350,000 to the plaintiffs’ attorneys on May 3, 2018. As a result, the consolidated derivatives lawsuits are now completely resolved, the releases are operative and the matter is closed.</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w:t>
      </w:r>
      <w:r>
        <w:rPr>
          <w:rFonts w:ascii="Arial" w:cs="Arial" w:eastAsia="Arial" w:hAnsi="Arial"/>
          <w:sz w:val="17"/>
          <w:szCs w:val="17"/>
          <w:color w:val="222222"/>
        </w:rPr>
        <w:t>On June 23, 2017, the Company responded to the Stockholder Demand, explained the procedures that were followed for the</w:t>
      </w:r>
      <w:r>
        <w:rPr>
          <w:rFonts w:ascii="Arial" w:cs="Arial" w:eastAsia="Arial" w:hAnsi="Arial"/>
          <w:sz w:val="17"/>
          <w:szCs w:val="17"/>
          <w:color w:val="auto"/>
        </w:rPr>
        <w:t xml:space="preserve"> </w:t>
      </w:r>
      <w:r>
        <w:rPr>
          <w:rFonts w:ascii="Arial" w:cs="Arial" w:eastAsia="Arial" w:hAnsi="Arial"/>
          <w:sz w:val="17"/>
          <w:szCs w:val="17"/>
          <w:color w:val="222222"/>
        </w:rPr>
        <w:t>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allegedly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derivative litigation. The securities class action was resolved in November 2017 and the derivatives litigation was resolved in June 2018.</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August 28, 2018, counsel for Mr. Dunleavy filed a demand for arbitration, captioned </w:t>
      </w:r>
      <w:r>
        <w:rPr>
          <w:rFonts w:ascii="Arial" w:cs="Arial" w:eastAsia="Arial" w:hAnsi="Arial"/>
          <w:sz w:val="18"/>
          <w:szCs w:val="18"/>
          <w:i w:val="1"/>
          <w:iCs w:val="1"/>
          <w:color w:val="auto"/>
        </w:rPr>
        <w:t>Charles F. Dunleavy v. Ocean Power Technologies, Inc.,</w:t>
      </w:r>
      <w:r>
        <w:rPr>
          <w:rFonts w:ascii="Arial" w:cs="Arial" w:eastAsia="Arial" w:hAnsi="Arial"/>
          <w:sz w:val="18"/>
          <w:szCs w:val="18"/>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The Company has retained counsel, is investigating the demands, and has not yet responded to the demand for arbitration.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Tide Runner Marine, Inc.</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June 13, 2018, Tide Runner Marine, Inc. (“Tide Runner”) filed a lawsuit in the United States District Court for the District of New Jersey captioned </w:t>
      </w:r>
      <w:r>
        <w:rPr>
          <w:rFonts w:ascii="Arial" w:cs="Arial" w:eastAsia="Arial" w:hAnsi="Arial"/>
          <w:sz w:val="17"/>
          <w:szCs w:val="17"/>
          <w:i w:val="1"/>
          <w:iCs w:val="1"/>
          <w:color w:val="auto"/>
        </w:rPr>
        <w:t>Tide</w:t>
      </w:r>
      <w:r>
        <w:rPr>
          <w:rFonts w:ascii="Arial" w:cs="Arial" w:eastAsia="Arial" w:hAnsi="Arial"/>
          <w:sz w:val="17"/>
          <w:szCs w:val="17"/>
          <w:color w:val="auto"/>
        </w:rPr>
        <w:t xml:space="preserve"> </w:t>
      </w:r>
      <w:r>
        <w:rPr>
          <w:rFonts w:ascii="Arial" w:cs="Arial" w:eastAsia="Arial" w:hAnsi="Arial"/>
          <w:sz w:val="17"/>
          <w:szCs w:val="17"/>
          <w:i w:val="1"/>
          <w:iCs w:val="1"/>
          <w:color w:val="auto"/>
        </w:rPr>
        <w:t>Runner Marine, Inc. v. Ocean Power Technologies, Inc.</w:t>
      </w:r>
      <w:r>
        <w:rPr>
          <w:rFonts w:ascii="Arial" w:cs="Arial" w:eastAsia="Arial" w:hAnsi="Arial"/>
          <w:sz w:val="17"/>
          <w:szCs w:val="17"/>
          <w:color w:val="auto"/>
        </w:rPr>
        <w:t>, Case No. 1:18-cv-10496. The complaint names the Company as defendant and alleges claims for</w:t>
      </w:r>
      <w:r>
        <w:rPr>
          <w:rFonts w:ascii="Arial" w:cs="Arial" w:eastAsia="Arial" w:hAnsi="Arial"/>
          <w:sz w:val="17"/>
          <w:szCs w:val="17"/>
          <w:i w:val="1"/>
          <w:iCs w:val="1"/>
          <w:color w:val="auto"/>
        </w:rPr>
        <w:t xml:space="preserve"> </w:t>
      </w:r>
      <w:r>
        <w:rPr>
          <w:rFonts w:ascii="Arial" w:cs="Arial" w:eastAsia="Arial" w:hAnsi="Arial"/>
          <w:sz w:val="17"/>
          <w:szCs w:val="17"/>
          <w:color w:val="auto"/>
        </w:rPr>
        <w:t>breach of contract, unjust enrichment, conversion, and fraud, negligent and/or reckless misrepresentation all as associated with the removal of a Company mooring system off the coast of New Jersey that was completed in May 2017. The complaint seeks damages in the amount of $2,825,130 together with interest, costs, attorney’s fees, punitive damages and such other relief as may be appropriate under the circumstances. On July 27, 2018, the Company filed an answer denying the claims in the complaint, asserted various affirmative defenses, and asserted a counter-claim for damages in the amount of $15,000 for Tide Runner’s failure to pay the Company for certain portions of the mooring system that were recovered. On August 2, 2018, Tide Runner filed its answer to and denied the Company’s counterclaim and asserted various affirmative defenses. A scheduling conference has been set for September 13, 2018. Discovery had not yet commenced. As of July 31, 2018. The Company has not accrued any provision related to this matter since it cannot reasonably estimate the loss contingency.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pending settlement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the Company had recorded a penalty of $132,000 to Selling, general and administrative costs in the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the Company will be assessed a penalty relating to these tax year. The Company has estimated this penalty to be $177,000 for the period ended July 31, 2018. The Company has recorded the penalty to Selling, general and administrative costs in the Statement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did not recognize any consolidated income tax benefit (expense) during the three months ended July 31, 2018 and 2017.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We are currently undergoing an income tax audit in Spain for the period from 2008 to 2014, when our Spanish branch was closed. The branch reported net operating losses for each of the years reported. It is anticipated that we will be assessed a penalty relating to these tax years for these losses. We have estimated this penalty to be $177,000, and as such, for the period ended July 31, 2018 and April 30, 2018, we have recorded $177,000 for this penalty to Accrued expenses in the Balance Sheet. At July 31, 2018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 During the three months ended July 31, 2018 and 2017, the Company’s primary business operations were in North America.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(13) Adoption of Revenue Recognition Guidance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adopted the new revenue recognition guidance effective May 1, 2018, using the modified retrospective method. The primary impact of the new guidance was a change in the timing of revenue recognition on certain long-term contracts. The new guidance does not change the total sales or operating income on the related customer contracts, only the timing of when sales and operating income are recognized. The Company uses the expected cost plus a margin approach and lease accounting literature for revenue recognition on customer contracts. The impact of the adoption for the three months ended July 31, 2018 was an increase of $28,000 to net loss. Further, as the Company’s adoption of the guidance decelerated the timing of revenue recognition on the Company’s contracts, the adoption resulted in a $28,000 increase in the Company’s remaining performance obligations, also referred to as backlog, as of July 31, 2018. The following tables summarize the effect of adoption of the new revenue recognition standard on the Company’s unaudited condensed consolidated financial statements as of and for the three months ended July 31, 2018.</w:t>
      </w:r>
    </w:p>
    <w:p>
      <w:pPr>
        <w:spacing w:after="0" w:line="17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Select Statements of Operations Data</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Three months ended July 31, 2018</w:t>
            </w: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As Reported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Effect of Adoption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(3,312</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40" w:type="dxa"/>
            <w:vAlign w:val="bottom"/>
            <w:tcBorders>
              <w:top w:val="single" w:sz="8" w:color="CCEEFF"/>
            </w:tcBorders>
            <w:gridSpan w:val="2"/>
            <w:shd w:val="clear" w:color="auto" w:fill="CCEEFF"/>
          </w:tcPr>
          <w:p>
            <w:pPr>
              <w:ind w:left="160"/>
              <w:spacing w:after="0" w:line="195" w:lineRule="exact"/>
              <w:rPr>
                <w:sz w:val="20"/>
                <w:szCs w:val="20"/>
                <w:color w:val="auto"/>
              </w:rPr>
            </w:pPr>
            <w:r>
              <w:rPr>
                <w:rFonts w:ascii="Arial" w:cs="Arial" w:eastAsia="Arial" w:hAnsi="Arial"/>
                <w:sz w:val="18"/>
                <w:szCs w:val="18"/>
                <w:color w:val="auto"/>
                <w:w w:val="96"/>
              </w:rPr>
              <w:t>Weighted average shares used to compute basic and diluted net</w:t>
            </w:r>
          </w:p>
        </w:tc>
        <w:tc>
          <w:tcPr>
            <w:tcW w:w="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w:t>
            </w:r>
          </w:p>
        </w:tc>
        <w:tc>
          <w:tcPr>
            <w:tcW w:w="1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18,153,863</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18,153,863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18,153,863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56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Three months ended July 31, 2018</w:t>
            </w:r>
          </w:p>
        </w:tc>
        <w:tc>
          <w:tcPr>
            <w:tcW w:w="1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As Reported</w:t>
            </w:r>
          </w:p>
        </w:tc>
        <w:tc>
          <w:tcPr>
            <w:tcW w:w="240" w:type="dxa"/>
            <w:vAlign w:val="bottom"/>
          </w:tcPr>
          <w:p>
            <w:pPr>
              <w:spacing w:after="0"/>
              <w:rPr>
                <w:sz w:val="20"/>
                <w:szCs w:val="20"/>
                <w:color w:val="auto"/>
              </w:rPr>
            </w:pPr>
          </w:p>
        </w:tc>
        <w:tc>
          <w:tcPr>
            <w:tcW w:w="21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Effect of Adoption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040" w:type="dxa"/>
            <w:vAlign w:val="bottom"/>
            <w:gridSpan w:val="2"/>
            <w:shd w:val="clear" w:color="auto" w:fill="CCEEFF"/>
          </w:tcPr>
          <w:p>
            <w:pPr>
              <w:jc w:val="right"/>
              <w:ind w:right="63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89"/>
              </w:rPr>
              <w:t>23</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Select Consolidated Balance Sheet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As of July 31, 2018</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Amounts Excluding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As Reported</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6"/>
              </w:rPr>
              <w:t>Effect of Adoption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Effect of Adoption</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Contract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Contract liability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(200,778)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7,080</w:t>
            </w: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9260" w:type="dxa"/>
            <w:vAlign w:val="bottom"/>
            <w:gridSpan w:val="8"/>
          </w:tcPr>
          <w:p>
            <w:pPr>
              <w:jc w:val="center"/>
              <w:ind w:left="2030"/>
              <w:spacing w:after="0"/>
              <w:rPr>
                <w:sz w:val="20"/>
                <w:szCs w:val="20"/>
                <w:color w:val="auto"/>
              </w:rPr>
            </w:pPr>
            <w:r>
              <w:rPr>
                <w:rFonts w:ascii="Arial" w:cs="Arial" w:eastAsia="Arial" w:hAnsi="Arial"/>
                <w:sz w:val="18"/>
                <w:szCs w:val="18"/>
                <w:b w:val="1"/>
                <w:bCs w:val="1"/>
                <w:color w:val="auto"/>
                <w:w w:val="88"/>
              </w:rPr>
              <w:t>Select Consolidated Statements of Cash Flows Data</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Three months ended July 31, 2018</w:t>
            </w:r>
          </w:p>
        </w:tc>
        <w:tc>
          <w:tcPr>
            <w:tcW w:w="1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Amounts Excluding</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As Reported</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6"/>
              </w:rPr>
              <w:t>Effect of Adoption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Effect of Adoption</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Contract assets</w:t>
            </w: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liability</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(3,793</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NASDAQ Delisting Notification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9, 2018, the Company received a notification from the NASDAQ Stock Market (the “NASDAQ”) indicating that the minimum bid price of the Company’s common stock has been below $1.00 per share for 30 consecutive business days and as a result, the Company is not in compliance with the minimum bid price requirement for continued listing. The NASDAQ notice has no immediate effect on the listing or trading of the Company’s common stock. Under the NASDAQ Listing Rules, the Company has a grace period of 180 calendar days, or until February 5, 2019, in which to regain compliance with the minimum bid price rule. To regain compliance, the closing bid price of the Company’s common stock must meet or exceed $1.00 per share for a minimum of ten consecutive business days during this grace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Purchase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10, 2018, the Company entered into a common stock purchase agreement (the “Purchase Agreement”) with Aspire Capital Fund, LLC, an Illinois limited liability company (“Aspire Capital”) which provides that, upon the terms and subject to the conditions and limitations set forth therein, Aspire Capital is committed to purchase up to an aggregate of $10.0 million of shares of the Company’s common stock over the 30-month term of the Purchase Agreement. Concurrently with entering into the Purchase Agreement, the Company also entered into a Registration Rights Agreement with Aspire Capital in which the Company agreed to file one or more registration statements, as permissible and necessary to register under the Securities Act of 1933, as amended, registering the sale of the shares of the Company’s common stock that have been and may be issued to Aspire Capital under the Purchase Agreement. On August 23, 2018 such registration statement was declared effective by the Securities and Exchange Commission.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2018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2018 refers to the year ended April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Nearly 70% of the earth’s surface is covered by water, and over 40% of the world’s population lives within approximately 150 miles of a coast. Thousands of information gathering and/or power systems are deployed in the oceans today to increase our understanding of weather, climate change, biological processes, and marine mammal patterns as well as supporting exploration, security and defense and operations for industries such as oil and gas. Most of these systems are powered by battery, solar, wind, fuel cell, or fossil fuel generators that may be unreliable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such as our systems, may have the ability to save costs over these current systems. Equally important are increases in available power may allow for better sensors, faster data sampling and higher frequency communication intervals up to real-time which could as a result improve scientific, safety, security and economic returns.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Founded in 1984 and headquartered in Monroe Township, New Jersey, we believe we are the leader in ocean wave power conversion technology. Our PB3 PowerBuoy™ is our first fully commercial product which generates electricity by harnessing the renewable energy of ocean waves. In addition to our PB3 PowerBuoy™, we continue to develop our PowerBuoy™ product line based on modular, ocean-going buoys, which we have been periodically ocean testing since 1997.</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PB3 PowerBuoy™ generates power for use in remote offshore locations, independent of a conventional power grid. It features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believe there is a substantial addressable market for the current capabilities of our PB3, which we believe could be utilized in a variety of applications.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leveraging earlier design aspects of our autonomous PowerBuoy™, the PB3 has undergone extensive factory and in-ocean design validation testing. Currently, our engineering efforts are continuing to expand the PowerBuoy™ capability with simplified deployment and mooring options and working together with our customer base to ensure flexible systems integration and to optimize energy output. Our marketing efforts are focused on applications in remote offshore locations that require reliable and persistent power and communications, either by supplying electric power to payloads that are integrated directly in or on our PowerBuoy™ or located in its vicinity, such as on the seabed and in the water column.</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our market research and publicly available data, we believe that numerous markets have a direct need for our PowerBuoys™ including oil and gas, science and research, security and defense, and communications. Depending on payload power requirements, sensor types and other considerations, we have found that our PowerBuoy™ could satisfy several application requirements within these markets. We believe that the PB3 persistently generates sufficient power to meet the requirements of many potential customer applications within our target markets.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2018 and the first three months of fiscal year 2019, we continued work on projects with the Premier Oil (“PMO”) and Eni S.p.A. (“Eni”).</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Product Development</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development of our technology has been funded by revenue generating projects, capital we raised, and by development engineering contracts we received starting in fiscal 1995, including projects with the DOE, the U.S. Navy, the Department of Homeland Security, MES, Premier Oil and Eni.</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these historic projects, we also continued development of our PowerBuoy™ technologies. We are continuing to focus on marketing and developing our PowerBuoy™ products and services for use in autonomous power applications.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three months of fiscal 2019, we continued to focus on the commercialization of our PowerBuoy™ technology, while expanding the application of our PB3 product in autonomous application markets. In March 2018, we entered into an agreement with Eni that provides for a minimum 24-month contract that includes a lease and associated project management. The PB3 PowerBuoy™ will be deployed in the Adriatic Sea to advance Eni’s Clean Sea technology for marine environmental monitoring and offshore asset inspection using AUVs. In June 2018, we entered into a contract with PMO for the lease of a PB3 PowerBuoy™ to be deployed in one of PMO’s offshore fields in the North Sea. Under the agreement, the PowerBuoy™ will provide communications and remote monitoring services for PMO assets and will demonstrate its ability to monitor and alert vessels in the area after the Floating Production, Storage and Offloading vessel is removed.</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fiscal 2018, we gained additional field experience with our PB3 by completing the demonstration of the PowerBuoy™ in an ocean observing application with MES. In January 2018, we were awarded a contract from PMO to study the feasibility of using the PB3 PowerBuoy™ for decommissioning operations in the North Sea. The work under this contract was completed in May 2018. In November, 2017 we completed the Phase I work under the contract with the U.S. Department of Defense Office of Naval Research (“ONR”), which focused on the initial concept design and development of a mass-on-spring PTO-based PowerBuoy™. We are currently waiting for ONR funding to be approved for the next phase. Working closely with potential customers, we also continued to analyze and further develop new applications for the PowerBuoy™ including subsea well monitoring for oil and gas, Autonomous Underwater Vehicle (“AUV”) charging, and independent telecommunications platforms.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to the PB3 commercial product validation activities, a concerted effort has been underway which focuses on proactively implementing additional features driven by extensive and direct discussions with potential users and customers in our target markets. Such features include:</w:t>
      </w:r>
    </w:p>
    <w:p>
      <w:pPr>
        <w:spacing w:after="0" w:line="147" w:lineRule="exact"/>
        <w:rPr>
          <w:sz w:val="20"/>
          <w:szCs w:val="20"/>
          <w:color w:val="auto"/>
        </w:rPr>
      </w:pPr>
    </w:p>
    <w:p>
      <w:pPr>
        <w:ind w:left="980" w:hanging="324"/>
        <w:spacing w:after="0" w:line="274"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design, development and implementation of a versatile mooring interface that allows the PB3 to accommodate various types of mooring configurations depending on the specifics and the needs of the customer, eliminating the need for a redesign to the device.</w:t>
      </w:r>
    </w:p>
    <w:p>
      <w:pPr>
        <w:ind w:left="980" w:hanging="324"/>
        <w:spacing w:after="0" w:line="32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design, development and implementation of a flexible power transmission system intended to support delivery of power and communication capabilities to customer payloads which are external to the PowerBuoy™, and which may reside in the water column or on the seabed.</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and building upon our initial success in implementing an auto-ballast system in our PB3, we further enhanced this feature in order to achieve faster and more cost effective PB3 deployments and retrievals.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We believe that by demonstrating the capability of our PowerBuoy™ in oil &amp; gas and telecommunications applications, we can advance our technology and gain further adoption from our target markets. We continue to improve design and manufacturing to enhance our ability to improve customer value, displace incumbent solutions, and become the preferred power source for new and existing applications in our target markets.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utilizing our experience with multiple commercial PB3 deployments globally to continually improve our product so that we have higher energy efficiency, additional mooring capability, platform flexibility and high reliability. For example, the redesigned PB3 leverages our knowledge base from past designs to incorporate new design features which we believe will improve its reliability and efficiency.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seek new strategic relationships, and further develop our existing partnerships, with other companies that have developed or are developing in-ocean applications requiring a persistent source of power that is also capable of real time data collection, processing and communication, to address potential customer needs.</w:t>
      </w:r>
    </w:p>
    <w:p>
      <w:pPr>
        <w:spacing w:after="0" w:line="181" w:lineRule="exact"/>
        <w:rPr>
          <w:sz w:val="20"/>
          <w:szCs w:val="20"/>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August 2018 we entered into an agreement with Enel Green Power S.p.A. to evaluate a PB3 PowerBuoy™ deployment along the coast of Chile through a detailed feasibility study of the PowerBuoy™ as an offshore autonomous platform hosting oceanographic sensor systems.</w:t>
      </w:r>
    </w:p>
    <w:p>
      <w:pPr>
        <w:spacing w:after="0" w:line="146"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June 2018, we entered into a contract with PMO for the lease of a PB3 PowerBuoy™ to be deployed in one of PMO’s offshore fields in the North Sea. Under the agreement, the PowerBuoy™ will provide communications and remote monitoring services for PMO assets and will demonstrate its ability to monitor and alert vessels in the area after the Floating Production, Storage and Offloading vessel is removed. The initial trial phase shall last for three months, and if successful, PMO may elect to extend for a second six-month trial phase and a third three-month trial phase. We will be paid a flat fee specified in the contract for each phase of the lease. At the end of the twelve months, PMO will have the option to extend the lease on a month-to-month basis as well as to purchase the PowerBuoy™. If PMO elects to purchase the unit, the parties will negotiate mutually agreeable terms. We have agreed to assist PMO in deployment and commissioning of the unit, as well as related data collection and assessment of performance. PMO is responsible for all costs associated with deployment and installation.</w:t>
      </w:r>
    </w:p>
    <w:p>
      <w:pPr>
        <w:spacing w:after="0" w:line="178"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2018, we entered into an agreement with Eni that provides for a minimum 24-month contract that includes an 18-month PB3 PowerBuoy™ lease and associated project management. The PB3 PowerBuoy™ will be deployed in the Adriatic Sea to advance Eni’s Clean Sea technology for marine environmental monitoring and offshore asset inspection using AUVs. The PB3 PowerBuoy™ will be used to demonstrate subsea battery charging, and eventually may be used to provide a stand-alone charging station and communications platform that would enable the long-term remote operation of AUVs. In August 2018, the buoy was built and the system level factory acceptance test completed. The Company shipped the PB3 PowerBuoy™ to Eni in August 2018.</w:t>
      </w:r>
    </w:p>
    <w:p>
      <w:pPr>
        <w:spacing w:after="0" w:line="19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2018, we entered into a 3-month agreement totaling approximately $0.1 million with Premier Oil (“PMO”), an international oil and gas company, to study the feasibility of using the PB3 PowerBuoy™ for decommissioning operations in the North Sea. The contract outlines work that will determine the viability of using the PB3 for monitoring and guarding remaining wells and subsea equipment after removal of a floating production, storage and offloading vessel and prior to subsea decommissioning and/or well plugging and abandonment operations. The feasibility study was completed and submitted to PMO.</w:t>
      </w:r>
    </w:p>
    <w:p>
      <w:pPr>
        <w:spacing w:after="0" w:line="18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2017, we entered into a Joint Application Development and Marketing Agreement with HAI Technologies to pursue mutual opportunities. The initial focus of the agreement is on offshore oil and gas subsea chemical injection systems where persistent power and real-time data communications are critical.</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2016, we entered into a Joint Marketing Agreement with Sonalysts, Inc. to explore and pursue mutual opportunities in defense and oil and gas applications. The agreement includes the exploration and assessment of the use of the PB3 as a platform to provide power and communications for these markets.</w:t>
      </w:r>
    </w:p>
    <w:p>
      <w:pPr>
        <w:spacing w:after="0" w:line="181"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September 2016, we entered into a contract with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We completed the Phase 2 BASE Effort work under the contract which focused on the initial concept design and development of a mass-on-spring PTO-based PowerBuoy™. The Company is waiting for ONR funding of Phase 2, Option 1 to be approved.</w:t>
      </w:r>
    </w:p>
    <w:p>
      <w:pPr>
        <w:spacing w:after="0" w:line="172"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worked with MES (from 2010 to current) to develop several PowerBuoy™ projects in Japan. Historically, our agreements with MES have provided for MES to reimburse us for specific costs associated with research, development and deployment of our PowerBuoy™ product. In March 2016, we entered into a letter of intent with MES to conduct funded pre-work tasks and to negotiate a definitive agreement that would allow for the lease of the PB3 PowerBuoy™ for a project off the coast of Kozushima Island, Japan following a planned stage gate review. Stage-gate reviews are used in product development to gather key information needed to advance the project to the next gate or decision point. This process is a generally accepted industry practice and has been utilized by other customers such as the DOE. A final contract totaling nearly $1.0 million was negotiated and finalized with MES in May 2016 that included engineering and logistics support, and the lease of our PB3 PowerBuoy™ for a 7-month period, its ocean deployment, associated data collection and monitoring of its performance. Upon the completion of the engineering pre-work and a successful stage gate review, the PB3 was shipped to Japan and was deployed off Kozushima Island from April to September 2017. The MES lease concluded in September 2017 and the PB3 was shipped back to New Jersey.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both"/>
        <w:ind w:left="660" w:hanging="328"/>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May 2016, we entered into a Memorandum of Agreement (“MOA”) with Wildlife Conservation Society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PB3-A1 was deployed off the coast of New Jersey which sought to establish a baseline acoustic survey. The deployment proceeded for approximately three months and met all project objectives.</w:t>
      </w:r>
    </w:p>
    <w:p>
      <w:pPr>
        <w:spacing w:after="0" w:line="172"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2016, we entered into a cooperative research and development agreement (“CRADA”) with the National Data Buoy Center (“NDBC”) to conduct ocean demonstrations of its innovative Self-Contained Ocean Observing Payload (“SCOOP”) monitoring system integrated into our PB3-A1 PowerBuoy™. NDBC operates a large network of buoys and stations which provide critical meteorological and oceanic observations that are utilized by government, industry, and academia throughout the world. Under the CRADA, an initial ocean demonstration was to be conducted off the coast of New Jersey. We integrated the SCOOP onto our PB3 PowerBuoy™ and in June 2016 we deployed the system off of the coast of New Jersey. Site-specific measurements of meteorological and ocean conditions, as well as system performance and maintenance data collection, were carried out. The SCOOP was powered by the PB3 and provided metocean data to OPT and to NDBC. The deployment proceeded for approximately three months and met all project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2016, we entered into a securities purchase agreement, which was amended on June 7, 2016 (as amended, the “Purchase Agreement”) with certain institutional purchasers (the “June Purchasers”). Pursuant to the terms of the Purchase Agreement, we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from the offering to us were approximately $1.7 million, after deducting placement agent fees and estimated offering expenses payable by us, but excluding the proceeds, if any, from the exercise of the warrants issued in the offering. The warrants have an exercise price of $6.08 per share, will be exercisable on December 3, 2016, and will expire five years following the date of issuance.</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underwriter fees and offering expenses payable by the Company.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July 31, 2018, the Company’s negotiated backlog was $1.0 million. As of April 30, 2018, negotiated backlog was $0.7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8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commercialize our PB3 PowerBuoy™ for use in remote offshore power and real-time data communications applications, and in order to achieve this goal, we are pursuing the following business objectives:</w:t>
      </w:r>
    </w:p>
    <w:p>
      <w:pPr>
        <w:spacing w:after="0" w:line="170" w:lineRule="exact"/>
        <w:rPr>
          <w:sz w:val="20"/>
          <w:szCs w:val="20"/>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 and/or lease PB3 PowerBuoy™. </w:t>
      </w:r>
      <w:r>
        <w:rPr>
          <w:rFonts w:ascii="Arial" w:cs="Arial" w:eastAsia="Arial" w:hAnsi="Arial"/>
          <w:sz w:val="18"/>
          <w:szCs w:val="18"/>
          <w:color w:val="auto"/>
        </w:rPr>
        <w:t>We believe our PB3 PowerBuoy™ is well suited for many remote offshore applications. We have observed</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market demand for both PowerBuoy™ sales and leases within our selected markets, and we intend to sell and lease PB3 PowerBuoy™ to these markets. Additionally, we intend to provide services associated with product sales and leases such as maintenance, remote monitoring and diagnostic, application engineering, planning, training, logistics and security support required for the PB3 PowerBuoy™ life-cycle. We continue to increase our commercial capabilities through new hires in marketing, sales, and application support, and through engagement of expert market consultants in various geographies.</w:t>
      </w:r>
    </w:p>
    <w:p>
      <w:pPr>
        <w:spacing w:after="0" w:line="193"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in North America, Europe</w:t>
      </w:r>
      <w:r>
        <w:rPr>
          <w:rFonts w:ascii="Arial" w:cs="Arial" w:eastAsia="Arial" w:hAnsi="Arial"/>
          <w:sz w:val="18"/>
          <w:szCs w:val="18"/>
          <w:i w:val="1"/>
          <w:iCs w:val="1"/>
          <w:color w:val="auto"/>
        </w:rPr>
        <w:t xml:space="preserve"> </w:t>
      </w:r>
      <w:r>
        <w:rPr>
          <w:rFonts w:ascii="Arial" w:cs="Arial" w:eastAsia="Arial" w:hAnsi="Arial"/>
          <w:sz w:val="18"/>
          <w:szCs w:val="18"/>
          <w:color w:val="auto"/>
        </w:rPr>
        <w:t>and parts of Asia, Africa and South America. We believe that each of these areas has sizable end market opportunities, political and economic stability, and high levels of industrialization and economic development.</w:t>
      </w:r>
    </w:p>
    <w:p>
      <w:pPr>
        <w:spacing w:after="0" w:line="181" w:lineRule="exact"/>
        <w:rPr>
          <w:rFonts w:ascii="Arial" w:cs="Arial" w:eastAsia="Arial" w:hAnsi="Arial"/>
          <w:sz w:val="18"/>
          <w:szCs w:val="18"/>
          <w:i w:val="1"/>
          <w:iCs w:val="1"/>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Expand our relationships in key market areas through strategic partnerships and collaborations. </w:t>
      </w:r>
      <w:r>
        <w:rPr>
          <w:rFonts w:ascii="Arial" w:cs="Arial" w:eastAsia="Arial" w:hAnsi="Arial"/>
          <w:sz w:val="17"/>
          <w:szCs w:val="17"/>
          <w:color w:val="auto"/>
        </w:rPr>
        <w:t>We believe that strategic partners are an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commercializing a new product. Partnerships and collaborations can be used to improve the development of overall integrated solutions, create new market channels, expand commercial know-how and geographic footprint, and bolster our product delivery capabilities.</w:t>
      </w:r>
    </w:p>
    <w:p>
      <w:pPr>
        <w:spacing w:after="0" w:line="165" w:lineRule="exact"/>
        <w:rPr>
          <w:rFonts w:ascii="Arial" w:cs="Arial" w:eastAsia="Arial" w:hAnsi="Arial"/>
          <w:sz w:val="17"/>
          <w:szCs w:val="17"/>
          <w:i w:val="1"/>
          <w:iCs w:val="1"/>
          <w:color w:val="auto"/>
        </w:rPr>
      </w:pPr>
    </w:p>
    <w:p>
      <w:pPr>
        <w:jc w:val="both"/>
        <w:ind w:left="1420" w:hanging="642"/>
        <w:spacing w:after="0" w:line="293" w:lineRule="auto"/>
        <w:tabs>
          <w:tab w:leader="none" w:pos="1420"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Commercial collaborations. </w:t>
      </w:r>
      <w:r>
        <w:rPr>
          <w:rFonts w:ascii="Arial" w:cs="Arial" w:eastAsia="Arial" w:hAnsi="Arial"/>
          <w:sz w:val="16"/>
          <w:szCs w:val="16"/>
          <w:color w:val="auto"/>
        </w:rPr>
        <w:t>We believe that an important element of our business strategy is to collaborate with other organizations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leverage our combined expertise, market presence and access, and core competences across key markets. We have formed such a relationship with several well-known groups, including MES in Japan, PMO in the United Kingdom, Eni in Italy, the National Data Buoy Center (“NDBC”), the Wildlife Conservation Society (“WCS”), Sonalysts (with expertise in subsea and surface communications, systems integration, and big-data management), and HAI Technologies (an innovative company focusing on bringing new capabilities to the oil and gas industry). We continue to seek other opportunities to collaborate with application experts from within our selected markets.</w:t>
      </w:r>
    </w:p>
    <w:p>
      <w:pPr>
        <w:spacing w:after="0" w:line="164" w:lineRule="exact"/>
        <w:rPr>
          <w:rFonts w:ascii="Arial" w:cs="Arial" w:eastAsia="Arial" w:hAnsi="Arial"/>
          <w:sz w:val="16"/>
          <w:szCs w:val="16"/>
          <w:color w:val="auto"/>
        </w:rPr>
      </w:pPr>
    </w:p>
    <w:p>
      <w:pPr>
        <w:jc w:val="both"/>
        <w:ind w:left="1420" w:hanging="642"/>
        <w:spacing w:after="0" w:line="276" w:lineRule="auto"/>
        <w:tabs>
          <w:tab w:leader="none" w:pos="142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Outsourcing of fabrication, deployment and service support</w:t>
      </w:r>
      <w:r>
        <w:rPr>
          <w:rFonts w:ascii="Arial" w:cs="Arial" w:eastAsia="Arial" w:hAnsi="Arial"/>
          <w:sz w:val="17"/>
          <w:szCs w:val="17"/>
          <w:color w:val="auto"/>
        </w:rPr>
        <w:t>. We outsource all fabrication, anchoring, mooring, cabling supply, and in</w:t>
      </w:r>
      <w:r>
        <w:rPr>
          <w:rFonts w:ascii="Arial" w:cs="Arial" w:eastAsia="Arial" w:hAnsi="Arial"/>
          <w:sz w:val="17"/>
          <w:szCs w:val="17"/>
          <w:i w:val="1"/>
          <w:iCs w:val="1"/>
          <w:color w:val="auto"/>
        </w:rPr>
        <w:t xml:space="preserve"> </w:t>
      </w:r>
      <w:r>
        <w:rPr>
          <w:rFonts w:ascii="Arial" w:cs="Arial" w:eastAsia="Arial" w:hAnsi="Arial"/>
          <w:sz w:val="17"/>
          <w:szCs w:val="17"/>
          <w:color w:val="auto"/>
        </w:rPr>
        <w:t>most cases deployment of our PowerBuoy™ in order to minimize our capital requirements as we scale our business. Our PTO is a proprietary subsystem and is assembled and tested at our facility. We believe this distributed manufacturing and assembly approach enables us to focus on our core competencies ensure a cost-effective product by leveraging a larger more established supply base. We also continue to seek strategic partnerships with regards to servicing of our PB3 PowerBuoy™.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ind w:left="660" w:hanging="328"/>
        <w:spacing w:after="0" w:line="259"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PB3 cost reduction and PowerBuoy™ product development. </w:t>
      </w:r>
      <w:r>
        <w:rPr>
          <w:rFonts w:ascii="Arial" w:cs="Arial" w:eastAsia="Arial" w:hAnsi="Arial"/>
          <w:sz w:val="18"/>
          <w:szCs w:val="18"/>
          <w:color w:val="auto"/>
        </w:rPr>
        <w:t>Our engineering efforts are focused on customer application development for PB3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cost reduction of our PB3 PowerBuoy™ and improving the energy output, reliability, maintenance interval and expected operating life of our PowerBuoys™. We continue to optimize manufacturability of our designs with a focus on cost competitiveness, and we believe that we will be able to address new and different applications by developing new products that increase energy output.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statements have been prepared assuming we will continue as a going concern. We have experienced substantial and recurring losses from operations, which losses have caused an accumulated deficit of $200.8 million at July 31, 2018. Based on the Company’s cash, cash equivalents, restricted cash and marketable securities balances as of July 31, 2018 the Company believes that it will be able to finance its capital requirements and operations into at least the quarter ending April 30, 2019.</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report of our independent registered public accounting firm on our consolidated financial statements filed with our Annual Report on Form 10-K for the year ended April 30, 2018,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generally accepted accounting principles, or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2018. There were no material changes in our critical accounting estimates or accounting policies during the three months ended July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Under the full retrospective method, the standard would be applied to each prior reporting period presented and the cumulative effect of applying the standard would be recognized at the earliest period shown. Under the modified retrospective method, the cumulative effect of applying the standard would be recognized at the date of application. Effective May 1, 2018, the Company adopted the requirements of ASU 2014-09 using the modified retrospective method. As a practical expedient, the Company adopted the new standard only for existing contracts as of May 1, 2018, the date of adoption. Any contracts that had expired prior to May 1, 2018 were not evaluated against the new standard. The Company adopted ASU 2014-09 and the adoption did not have a material impact on the Company’s consolidated financial position, results of operations or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In July 2018, the FASB issued ASU No. 2018-11,</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w:t>
      </w:r>
      <w:r>
        <w:rPr>
          <w:rFonts w:ascii="Arial" w:cs="Arial" w:eastAsia="Arial" w:hAnsi="Arial"/>
          <w:sz w:val="16"/>
          <w:szCs w:val="16"/>
          <w:color w:val="auto"/>
        </w:rPr>
        <w:t>ASU 2018-11 provides companies another transition method in addition to the existing transition method by allowing entities to initially</w:t>
      </w:r>
      <w:r>
        <w:rPr>
          <w:rFonts w:ascii="Arial" w:cs="Arial" w:eastAsia="Arial" w:hAnsi="Arial"/>
          <w:sz w:val="16"/>
          <w:szCs w:val="16"/>
          <w:i w:val="1"/>
          <w:iCs w:val="1"/>
          <w:color w:val="auto"/>
        </w:rPr>
        <w:t xml:space="preserve"> </w:t>
      </w:r>
      <w:r>
        <w:rPr>
          <w:rFonts w:ascii="Arial" w:cs="Arial" w:eastAsia="Arial" w:hAnsi="Arial"/>
          <w:sz w:val="16"/>
          <w:szCs w:val="16"/>
          <w:color w:val="auto"/>
        </w:rPr>
        <w:t>apply the new leases standard at the adoption date and recognize a cumulative-effect adjustment to the opening balance of retained earnings in the period of adoption. The consideration in the contract is allocated to the lease and nonlease components on a relative standalone price basis (for lessees) or in accordance with the allocation guidance in the new revenue standard (for lessors). ASU 2018-11 also provides lessees with a practical expedient, by class of underlying asset, to not separate nonlease components from the associated lease component. If a lessee makes that accounting policy election, it is required to account for the nonlease components together with the associated lease component as a single lease component and to provide certain disclosures. Lessors are not afforded a similar practical expedient. The Company is evaluating the effect ASU 2016-02 will have on its consolidated financial statements and disclosures and has not yet determined the effect of the standard on its ongoing financial reporting at this time.</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2016-13 will have on its consolidated financial statements and disclosures and has determined the standard will have no impact on its ongoing financial reporting at this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both"/>
        <w:spacing w:after="0" w:line="302" w:lineRule="auto"/>
        <w:rPr>
          <w:sz w:val="20"/>
          <w:szCs w:val="20"/>
          <w:color w:val="auto"/>
        </w:rPr>
      </w:pPr>
      <w:r>
        <w:rPr>
          <w:rFonts w:ascii="Arial" w:cs="Arial" w:eastAsia="Arial" w:hAnsi="Arial"/>
          <w:sz w:val="16"/>
          <w:szCs w:val="16"/>
          <w:color w:val="auto"/>
        </w:rPr>
        <w:t xml:space="preserve">The Company classifies leases as either operating or capital lease arrangements in accordance with the authoritative accounting guidance contained within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inception of the contract, the Company evaluates the lease against the four lease classification criteria within ASC Topic 840. In general, if one of the four criteria is met, then the lease is accounted for as a capital lease. All others are treated as an operating lease. For operating leases, lessee payments are recorded to revenue on a straight-line basis over the term of the lease.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breakdown of our revenues by customer for the three months ended July 31, 2018 and 2017.</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July 31,</w:t>
            </w: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80" w:type="dxa"/>
            <w:vAlign w:val="bottom"/>
            <w:gridSpan w:val="3"/>
          </w:tcPr>
          <w:p>
            <w:pPr>
              <w:jc w:val="right"/>
              <w:ind w:right="730"/>
              <w:spacing w:after="0"/>
              <w:rPr>
                <w:sz w:val="20"/>
                <w:szCs w:val="20"/>
                <w:color w:val="auto"/>
              </w:rPr>
            </w:pPr>
            <w:r>
              <w:rPr>
                <w:rFonts w:ascii="Arial" w:cs="Arial" w:eastAsia="Arial" w:hAnsi="Arial"/>
                <w:sz w:val="18"/>
                <w:szCs w:val="18"/>
                <w:color w:val="auto"/>
                <w:w w:val="99"/>
              </w:rPr>
              <w:t>(in thousands)</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36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Mitsui Engineering &amp; Shipbuilding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Premier Oil UK Limited</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U.S. Department of Defense Office of Naval Research</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on North America, Europe, Australia, Asia and South America. The following table shows the percentage of our revenues by geographical location of our customers for the three months ended July 31, 2018 and 2017.</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37"/>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Customer Location</w:t>
            </w:r>
          </w:p>
        </w:tc>
        <w:tc>
          <w:tcPr>
            <w:tcW w:w="16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96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87"/>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or leases of our PowerBuoy™ systems, the nature of our contracts generating revenues to fund our product development efforts, and our ability to manage costs incurred on fixed price commercial contracts.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engineering and product development costs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is subject to remeasurement each financial statement reporting period, as such, changes in this fair value are reflected in the statement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instruments not required to be adjusted to fair value on a recurring basis consist principally of cash and restricted cash, accounts receivable, accounts payable, and accrued expenses. We believe the carrying amount of cash and cash equivalents, accounts receivable, accounts payable and accrued expenses approximate fair value due to their relatively short maturities.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consists of interest received on cash and cash equivalents, investments in commercial bank-issued certificates of deposit and US Treasury bills and notes and interest expense paid on certain obligations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invest our foreign cash reserves in certificates of deposit and we maintain cash accounts that are denominated in British pounds sterling, Euros and Australian dollars. These foreign-denominated certificates of deposit and cash accounts had a balance of $1.0 million as of July 31, 2018 and $1.2 million as of July 31, 2017, compared to our total cash, cash equivalents, restricted cash, and marketable securities balances of $8.4 million as of July 31, 2018 and $12.0 million as of July 31, 2017. These foreign currency balances are translated at each month and to our functional currency, the US dollar, and any resulting gain or loss is recognized in our results of operations.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2018 compared to the three months ended July 31,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July 31, 2018 and 2017.</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 change</w:t>
            </w:r>
          </w:p>
        </w:tc>
      </w:tr>
      <w:tr>
        <w:trPr>
          <w:trHeight w:val="255"/>
        </w:trPr>
        <w:tc>
          <w:tcPr>
            <w:tcW w:w="4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July 31,</w:t>
            </w:r>
          </w:p>
        </w:tc>
        <w:tc>
          <w:tcPr>
            <w:tcW w:w="52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2018 period to</w:t>
            </w:r>
          </w:p>
        </w:tc>
      </w:tr>
      <w:tr>
        <w:trPr>
          <w:trHeight w:val="237"/>
        </w:trPr>
        <w:tc>
          <w:tcPr>
            <w:tcW w:w="4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2017 period</w:t>
            </w:r>
          </w:p>
        </w:tc>
      </w:tr>
      <w:tr>
        <w:trPr>
          <w:trHeight w:val="216"/>
        </w:trPr>
        <w:tc>
          <w:tcPr>
            <w:tcW w:w="4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4"/>
          </w:tcPr>
          <w:p>
            <w:pPr>
              <w:jc w:val="right"/>
              <w:ind w:right="565"/>
              <w:spacing w:after="0"/>
              <w:rPr>
                <w:sz w:val="20"/>
                <w:szCs w:val="20"/>
                <w:color w:val="auto"/>
              </w:rPr>
            </w:pPr>
            <w:r>
              <w:rPr>
                <w:rFonts w:ascii="Arial" w:cs="Arial" w:eastAsia="Arial" w:hAnsi="Arial"/>
                <w:sz w:val="18"/>
                <w:szCs w:val="18"/>
                <w:color w:val="auto"/>
              </w:rPr>
              <w:t>(in thousands)</w:t>
            </w: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gridSpan w:val="2"/>
            <w:shd w:val="clear" w:color="auto" w:fill="CCEEFF"/>
          </w:tcPr>
          <w:p>
            <w:pPr>
              <w:jc w:val="right"/>
              <w:ind w:right="81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r>
        <w:trPr>
          <w:trHeight w:val="237"/>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7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36"/>
        </w:trPr>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loss</w:t>
            </w:r>
          </w:p>
        </w:tc>
        <w:tc>
          <w:tcPr>
            <w:tcW w:w="7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47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37"/>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7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36"/>
        </w:trPr>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478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87"/>
              </w:rPr>
              <w:t>(3,312)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87"/>
              </w:rPr>
              <w:t>(2,765)</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 income, net</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7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r>
      <w:tr>
        <w:trPr>
          <w:trHeight w:val="217"/>
        </w:trPr>
        <w:tc>
          <w:tcPr>
            <w:tcW w:w="4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(3,240</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(2,663</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16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0"/>
        </w:trPr>
        <w:tc>
          <w:tcPr>
            <w:tcW w:w="4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were $31,000 in the three months ended July 31, 2018 as compared to $0.2 million in the three months ended July 31, 2017. The decline in revenue is due to the MES and ONR contracts being completed in the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revenues of $0.1 million for the three months ended July 31, 2018 as compared to $0.2 million in the three months ended July 31, 2017. The decline in cost of revenues is due to lower spending on existing projects compared to the same period in the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development costs for the three months ended July 31, 2018 and 2017 were $1.1 million as the spending for these two periods was relatively the same.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for the three months ended July 31, 2018 and 2017 were $2.1 million and $1.6 million, respectively. The increase of $0.5 million is primarily due to higher personnel costs $0.2 associated with the hiring new employees as the business grows, higher spending on professional fees of $0.1 million and patent expense of $0.1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during the three months ended July 31, 2018 was an unrealized gain of $85,000 versus an unrealized gain of $37,000 for the three months ended July 31, 2017. The change between periods is due to a lower stock price and a higher discount rate used for the three months ended July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during the three months ended July 31, 2018 was $13,000, an increase of $10,000 as compared to the three months ended July 31,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during the three months ended July 31, 2018 was $26,000 compared to a gain of $62,000 during the three months ended July 31, 2017. The difference was attributable primarily to the relative change in value of the British pound sterling, Euro and Australian dollar compared to the US dollar during the two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our inception, the cash flows from customer revenues have not been sufficient to fund our operations and provide the capital resources for the planned growth of our business. For the two years ended April 30, 2018, our aggregate revenues were $1.4 million, our aggregate net losses were $19.6 million and our aggregate net cash used in operating activities was $20.7 million. Refer to “Liquidity Outlook” below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flows used in operating activities during the three months ended July 31, 2018 were $3.8 million, a decrease of $0.4 million compared to $4.2 million during the three months ended July 31, 2017. The decrease was primarily related to change of $1.6 million in accounts payable and accrued expenses balances mostly offset by a higher net loss of $0.6 million, change in other assets of $0.2 million and payment of deferred credits of $0.4 million for the three months ended July 31, 2018 compared to the same period in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during the three months ended July 31, 2018 was $30,000, an increase of $18,000 compared to net cash used by investing activities during the three months ended July 31, 2017. The increase in net cash used in investing activities was due to spending on leasehold improvements and purchase of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used/provided by financing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by financing activities during the three months ended July 31, 2018 was $9,000 compared to net cash provided by financing activities during the three months ended July 31, 2017 of $7.2 million. The three months ended July 31, 2017 included proceeds from the issuance of common stock of $7.2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 decrease of $31,000 in the three months ended July 31, 2018 and an increase of $90,000 in the three months ended for July 31, 2017. The effect of exchange rates on cash and cash equivalents results primarily from gains or losses on consolidation of foreign subsidiaries and foreign denominated cash and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statements have been prepared assuming we will continue as a going concern. We have experienced substantial and recurring losses from operations, which have contributed to an accumulated deficit of $200.8 million at July 31, 2018. As of July 31, 2018, we had approximately $8.4 million in cash, cash equivalents, restricted cash and marketable securities on hand. The Company generated revenues of $31,000 and $0.2 million during the three months ended July 31, 2018 and 2017, respectively. Based on the Company’s cash, cash equivalents, restricted cash and marketable securities balances as of July 31, 2018, the Company believes that it will be able to finance its capital requirements and operations into at least the quarter ending April 30, 2019. These conditions raise substantial doubt about our ability to continue as a going concern.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81" w:lineRule="exact"/>
        <w:rPr>
          <w:sz w:val="20"/>
          <w:szCs w:val="20"/>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160" w:hanging="50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160" w:hanging="50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160" w:hanging="50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anticipate that our operating expenses will be approximately $14.5 million in fiscal 2019 including product development spending of more than $6.3 million. We may choose to reduce our operating expenses through personnel reductions, and reductions in our research and development and other operating costs during the remainder of fiscal year 2019,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tabs>
          <w:tab w:leader="none" w:pos="76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July 31, 2018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July 31, 2018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July 31, 2018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7"/>
          <w:szCs w:val="17"/>
          <w:i w:val="1"/>
          <w:iCs w:val="1"/>
          <w:color w:val="auto"/>
        </w:rPr>
        <w:t>LaCalamito</w:t>
      </w:r>
      <w:r>
        <w:rPr>
          <w:rFonts w:ascii="Arial" w:cs="Arial" w:eastAsia="Arial" w:hAnsi="Arial"/>
          <w:sz w:val="17"/>
          <w:szCs w:val="17"/>
          <w:color w:val="auto"/>
        </w:rPr>
        <w:t xml:space="preserve">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October 25, 2016, the Court approved and entered a Stipulation and Order that, among other things, (i) consolidated the four derivative actions; (ii) identified plaintiff </w:t>
      </w:r>
      <w:r>
        <w:rPr>
          <w:rFonts w:ascii="Arial" w:cs="Arial" w:eastAsia="Arial" w:hAnsi="Arial"/>
          <w:sz w:val="18"/>
          <w:szCs w:val="18"/>
          <w:i w:val="1"/>
          <w:iCs w:val="1"/>
          <w:color w:val="auto"/>
        </w:rPr>
        <w:t>Pucillo</w:t>
      </w:r>
      <w:r>
        <w:rPr>
          <w:rFonts w:ascii="Arial" w:cs="Arial" w:eastAsia="Arial" w:hAnsi="Arial"/>
          <w:sz w:val="18"/>
          <w:szCs w:val="18"/>
          <w:color w:val="auto"/>
        </w:rPr>
        <w:t xml:space="preserve"> as the lead plaintiff in the consolidated actions; and (iii) stayed the consolidated actions pending the November 14, 2016 settlement hearing in the now-settled securities class action and further order of the Court.</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23, 2017, the parties entered into a Stipulation and Agreement of Settlement to resolve the four consolidated derivative lawsuits. If approved by the Court, the settlement provides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which the Court granted on March. On May 14, 2018, the Court held a final settlement approval hearing at which the Court stated it was approving the settlement. On June 13, 2018, the Court issued a Final Order and Judgement, approving the Stipulation and Agreement Settlement. The Company has accrued $350,000 related to this matter as a probable and reasonably estimable loss contingency during the three months ended July 31, 2018. The Company also recorded a receivable of $350,000 from its insurance carrier with the offset to the statement of operations. The Company’s insurance carrier made payment of $350,000 to the plaintiffs’ attorneys on May 3, 2018. As a result, the consolidated derivatives lawsuits are now completely resolved, the releases are operative and the matter is closed.</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On June 23, 2017, the Company responded to the Stockholder Demand, explained the procedures that were followed for the 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allegedly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litigation. The securities class action was resolved in November 2017 and the derivatives litigation was resolved in June 2018.</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August 28, 2018, counsel for Mr. Dunleavy filed a demand for arbitration, captioned </w:t>
      </w:r>
      <w:r>
        <w:rPr>
          <w:rFonts w:ascii="Arial" w:cs="Arial" w:eastAsia="Arial" w:hAnsi="Arial"/>
          <w:sz w:val="18"/>
          <w:szCs w:val="18"/>
          <w:i w:val="1"/>
          <w:iCs w:val="1"/>
          <w:color w:val="auto"/>
        </w:rPr>
        <w:t>Charles F. Dunleavy v, Ocean Power Technologies, Inc.,</w:t>
      </w:r>
      <w:r>
        <w:rPr>
          <w:rFonts w:ascii="Arial" w:cs="Arial" w:eastAsia="Arial" w:hAnsi="Arial"/>
          <w:sz w:val="18"/>
          <w:szCs w:val="18"/>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The Company has retained counsel, is investigating the demands, and has not yet responded to the demand for arbitration.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Tide Runner Marine, Inc.</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June 13, 2018, Tide Runner Marine, Inc. (“Tide Runner”) filed a lawsuit in the United States District Court for the District of New Jersey captioned </w:t>
      </w:r>
      <w:r>
        <w:rPr>
          <w:rFonts w:ascii="Arial" w:cs="Arial" w:eastAsia="Arial" w:hAnsi="Arial"/>
          <w:sz w:val="17"/>
          <w:szCs w:val="17"/>
          <w:i w:val="1"/>
          <w:iCs w:val="1"/>
          <w:color w:val="auto"/>
        </w:rPr>
        <w:t>Tide</w:t>
      </w:r>
      <w:r>
        <w:rPr>
          <w:rFonts w:ascii="Arial" w:cs="Arial" w:eastAsia="Arial" w:hAnsi="Arial"/>
          <w:sz w:val="17"/>
          <w:szCs w:val="17"/>
          <w:color w:val="auto"/>
        </w:rPr>
        <w:t xml:space="preserve"> </w:t>
      </w:r>
      <w:r>
        <w:rPr>
          <w:rFonts w:ascii="Arial" w:cs="Arial" w:eastAsia="Arial" w:hAnsi="Arial"/>
          <w:sz w:val="17"/>
          <w:szCs w:val="17"/>
          <w:i w:val="1"/>
          <w:iCs w:val="1"/>
          <w:color w:val="auto"/>
        </w:rPr>
        <w:t>Runner Marine, Inc. v. Ocean Power Technologies, Inc.</w:t>
      </w:r>
      <w:r>
        <w:rPr>
          <w:rFonts w:ascii="Arial" w:cs="Arial" w:eastAsia="Arial" w:hAnsi="Arial"/>
          <w:sz w:val="17"/>
          <w:szCs w:val="17"/>
          <w:color w:val="auto"/>
        </w:rPr>
        <w:t>, Case No. 1:18-cv-10496. The complaint names the Company as defendant and alleges claims for</w:t>
      </w:r>
      <w:r>
        <w:rPr>
          <w:rFonts w:ascii="Arial" w:cs="Arial" w:eastAsia="Arial" w:hAnsi="Arial"/>
          <w:sz w:val="17"/>
          <w:szCs w:val="17"/>
          <w:i w:val="1"/>
          <w:iCs w:val="1"/>
          <w:color w:val="auto"/>
        </w:rPr>
        <w:t xml:space="preserve"> </w:t>
      </w:r>
      <w:r>
        <w:rPr>
          <w:rFonts w:ascii="Arial" w:cs="Arial" w:eastAsia="Arial" w:hAnsi="Arial"/>
          <w:sz w:val="17"/>
          <w:szCs w:val="17"/>
          <w:color w:val="auto"/>
        </w:rPr>
        <w:t>breach of contract, unjust enrichment, conversion, and fraud, negligent and/or reckless misrepresentation all as associated with the removal of a Company mooring system off the coast of New Jersey that was completed in May 2017. The complaint seeks damages in the amount of $2,825,130 together with interest, costs, attorney’s fees, punitive damages and such other relief as may be appropriate under the circumstances. On July 27, 2018, the Company filed an answer denying the claims in the complaint, asserted various affirmative defenses, and asserted a counter-claim for damages in the amount of $15,000 for Tide Runner’s failure to pay the Company for certain portions of the mooring system that were recovered. On August 2, 2018, Tide Runner filed its answer to and denied the Company’s counterclaim and asserted various affirmative defenses. A scheduling conference has been set for September 13, 2018. Discovery had not yet commenced. As of July 31, 2018. The Company has not accrued any provision related to this matter since it cannot reasonably estimate the loss contingency.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pending settlement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the Company had recorded a penalty of $132,000 to Selling, general and administrative costs in the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the Company will be assessed a penalty relating to these tax year. The Company has estimated this penalty to be $177,000 for the period ended July 31, 2018. The Company has recorded the penalty to Selling, general and administrative costs in the Statement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2018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17,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$200.8 million as of July 31, 2018. As of July 31, 2018, the Company had approximately $8.4 million in cash, cash equivalents, restricted cash and marketable securities on hand. The Company generated revenues of $31,000 and $0.2 million during the three months ended July 31, 2018 and 2017, respectively. Based on the Company’s cash and cash equivalents and marketable securities balances as of July 31, 2018, the Company believes that it will be able to finance its capital requirements and operations into at least the quarter ending April 30, 2019.</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experience operating losses and currently have only two revenue producing contracts, one with Premier Oil for the lease of a PB3 PowerBuoy™ to be deployed in one of PMO’s offshore fields in the North Sea, and another contract with Eni that provides for a minimum 24-month contract that includes an 18-month PB3 PowerBuoy™ lease and associated project management. During fiscal 2018, our net burn rate (cash used in operations less cash generated by operations) including product development spending was approximately $900,000 per month.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$14.5 million in fiscal 2019 including product development spending of more than $6.3 million. However, we may choose to reduce our operating expenses through personnel reductions, and reductions in our research and development and other operating costs during fiscal year 2019,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attributable to Ocean Power Technologies, Inc. of $3.2 million during the three months ended July 31, 2018 and $10.2 million in fiscal 2018. As of July 31, 2018, we had an accumulated deficit of $200.8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at risk of being de-listed from The NASDAQ Stock Market if we do not regain compliance with the minimum $1 bid price per share required by NASDAQ rules.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9, 2018, we received a letter from The NASDAQ Stock Market informing us that the closing bid price of our common stock has been below $1.00 per share for a period of 30 consecutive trading days, and as a result, we are not in compliance with the minimum bid price requirement for continued listing. Under the NASDAQ Listing Rules), we have a grace period of 180 calendar days, or until February 5, 2019, in which to regain compliance with the minimum bid price rule. To regain compliance, the closing bid price of our common stock must meet or exceed $1.00 per share for a minimum of ten consecutive business days during this grace period. If we do not regain compliance before February 5, 2019, the NASDAQ stated that it will provide us with written notice that our securities are subject to delisting. At that time, we may appeal the NASDAQ’s determination to a NASDAQ Listing Qualifications Panel, which would stay any further delisting action by the NASDAQ pending a final decision by the panel. Alternatively, we may be eligible for an additional 180 calendar day grace period if we meet the continued listing standards, with the exception of bid price, for the NASDAQ Capital Market, and we state our intent to effect a reverse split, if necessary, to cure such deficiency.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 w:type="dxa"/>
            <w:vAlign w:val="bottom"/>
          </w:tcPr>
          <w:p>
            <w:pPr>
              <w:spacing w:after="0"/>
              <w:rPr>
                <w:sz w:val="20"/>
                <w:szCs w:val="20"/>
                <w:color w:val="auto"/>
              </w:rPr>
            </w:pPr>
          </w:p>
        </w:tc>
        <w:tc>
          <w:tcPr>
            <w:tcW w:w="7000" w:type="dxa"/>
            <w:vAlign w:val="bottom"/>
            <w:gridSpan w:val="4"/>
          </w:tcPr>
          <w:p>
            <w:pPr>
              <w:ind w:left="12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20" w:type="dxa"/>
            <w:vAlign w:val="bottom"/>
            <w:gridSpan w:val="5"/>
          </w:tcPr>
          <w:p>
            <w:pPr>
              <w:spacing w:after="0"/>
              <w:rPr>
                <w:sz w:val="20"/>
                <w:szCs w:val="20"/>
                <w:color w:val="auto"/>
              </w:rPr>
            </w:pPr>
            <w:r>
              <w:rPr>
                <w:rFonts w:ascii="Arial" w:cs="Arial" w:eastAsia="Arial" w:hAnsi="Arial"/>
                <w:sz w:val="18"/>
                <w:szCs w:val="18"/>
                <w:color w:val="auto"/>
                <w:w w:val="92"/>
              </w:rPr>
              <w:t>The following table details the Company’s share repurchases during the quarter:</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Approximate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Dollar</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92"/>
              </w:rPr>
              <w:t>Total Number of</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Value of Shares</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86"/>
              </w:rPr>
              <w:t>Shares Purchased</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that May Yet Be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91"/>
              </w:rPr>
              <w:t>as Part of Publicly</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Purchased Under</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60" w:type="dxa"/>
            <w:vAlign w:val="bottom"/>
            <w:gridSpan w:val="3"/>
          </w:tcPr>
          <w:p>
            <w:pPr>
              <w:ind w:left="2020"/>
              <w:spacing w:after="0"/>
              <w:rPr>
                <w:sz w:val="20"/>
                <w:szCs w:val="20"/>
                <w:color w:val="auto"/>
              </w:rPr>
            </w:pPr>
            <w:r>
              <w:rPr>
                <w:rFonts w:ascii="Arial" w:cs="Arial" w:eastAsia="Arial" w:hAnsi="Arial"/>
                <w:sz w:val="18"/>
                <w:szCs w:val="18"/>
                <w:color w:val="auto"/>
              </w:rPr>
              <w:t>Period</w:t>
            </w: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90"/>
              </w:rPr>
              <w:t>Announced Plans</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the Plan</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1 - May 31</w:t>
            </w:r>
          </w:p>
        </w:tc>
        <w:tc>
          <w:tcPr>
            <w:tcW w:w="1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June 1 - June 30</w:t>
            </w:r>
          </w:p>
        </w:tc>
        <w:tc>
          <w:tcPr>
            <w:tcW w:w="174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 July 31</w:t>
            </w:r>
          </w:p>
        </w:tc>
        <w:tc>
          <w:tcPr>
            <w:tcW w:w="1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0" w:type="dxa"/>
            <w:vAlign w:val="bottom"/>
          </w:tcPr>
          <w:p>
            <w:pPr>
              <w:spacing w:after="0"/>
              <w:rPr>
                <w:sz w:val="24"/>
                <w:szCs w:val="24"/>
                <w:color w:val="auto"/>
              </w:rPr>
            </w:pPr>
          </w:p>
        </w:tc>
        <w:tc>
          <w:tcPr>
            <w:tcW w:w="526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None.</w:t>
            </w:r>
          </w:p>
        </w:tc>
        <w:tc>
          <w:tcPr>
            <w:tcW w:w="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60" w:type="dxa"/>
            <w:vAlign w:val="bottom"/>
          </w:tcPr>
          <w:p>
            <w:pPr>
              <w:spacing w:after="0"/>
              <w:rPr>
                <w:sz w:val="24"/>
                <w:szCs w:val="24"/>
                <w:color w:val="auto"/>
              </w:rPr>
            </w:pPr>
          </w:p>
        </w:tc>
        <w:tc>
          <w:tcPr>
            <w:tcW w:w="526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MINE SAFETY DISCLOSURES</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661" w:right="7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55"/>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 6.</w:t>
            </w:r>
          </w:p>
        </w:tc>
        <w:tc>
          <w:tcPr>
            <w:tcW w:w="240" w:type="dxa"/>
            <w:vAlign w:val="bottom"/>
          </w:tcPr>
          <w:p>
            <w:pPr>
              <w:spacing w:after="0"/>
              <w:rPr>
                <w:sz w:val="22"/>
                <w:szCs w:val="22"/>
                <w:color w:val="auto"/>
              </w:rPr>
            </w:pPr>
          </w:p>
        </w:tc>
        <w:tc>
          <w:tcPr>
            <w:tcW w:w="1026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i w:val="1"/>
                <w:iCs w:val="1"/>
                <w:color w:val="auto"/>
              </w:rPr>
              <w:t>EXHIBIT INDEX</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Borders>
              <w:bottom w:val="single" w:sz="8" w:color="0000EE"/>
            </w:tcBorders>
            <w:gridSpan w:val="7"/>
          </w:tcPr>
          <w:p>
            <w:pPr>
              <w:spacing w:after="0"/>
              <w:rPr>
                <w:rFonts w:ascii="Arial" w:cs="Arial" w:eastAsia="Arial" w:hAnsi="Arial"/>
                <w:sz w:val="18"/>
                <w:szCs w:val="18"/>
                <w:color w:val="0000EE"/>
                <w:w w:val="98"/>
              </w:rPr>
            </w:pPr>
            <w:hyperlink r:id="rId58">
              <w:r>
                <w:rPr>
                  <w:rFonts w:ascii="Arial" w:cs="Arial" w:eastAsia="Arial" w:hAnsi="Arial"/>
                  <w:sz w:val="18"/>
                  <w:szCs w:val="18"/>
                  <w:color w:val="0000EE"/>
                  <w:w w:val="98"/>
                </w:rPr>
                <w:t>Contract between Premier Oil UK Limited and the Company dated June 27, 2018 (incorporated by reference to Exhibit 10.27 to the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7"/>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Company’s Annual Report on Form 10-K filed July 17, 2018) +++</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Borders>
              <w:bottom w:val="single" w:sz="8" w:color="0000EE"/>
            </w:tcBorders>
            <w:gridSpan w:val="7"/>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Amendment to the Employment Agreement of George H. Kirby III (incorporated by reference to Exhibit 10.2 to Form 8-K filed with the SEC</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7"/>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on July 18, 2018) +</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60" w:type="dxa"/>
            <w:vAlign w:val="bottom"/>
            <w:tcBorders>
              <w:bottom w:val="single" w:sz="8" w:color="0000EE"/>
            </w:tcBorders>
            <w:gridSpan w:val="7"/>
          </w:tcPr>
          <w:p>
            <w:pPr>
              <w:spacing w:after="0"/>
              <w:rPr>
                <w:rFonts w:ascii="Arial" w:cs="Arial" w:eastAsia="Arial" w:hAnsi="Arial"/>
                <w:sz w:val="18"/>
                <w:szCs w:val="18"/>
                <w:color w:val="0000EE"/>
                <w:w w:val="94"/>
              </w:rPr>
            </w:pPr>
            <w:hyperlink r:id="rId60">
              <w:r>
                <w:rPr>
                  <w:rFonts w:ascii="Arial" w:cs="Arial" w:eastAsia="Arial" w:hAnsi="Arial"/>
                  <w:sz w:val="18"/>
                  <w:szCs w:val="18"/>
                  <w:color w:val="0000EE"/>
                  <w:w w:val="94"/>
                </w:rPr>
                <w:t>Common Stock Purchase Agreement with Aspire Capital Fund, LLC (incorporated by reference to Exhibit 10.1 to Form 8-K filed with the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SEC on August 13, 2018)</w:t>
              </w:r>
            </w:hyperlink>
          </w:p>
        </w:tc>
        <w:tc>
          <w:tcPr>
            <w:tcW w:w="8400" w:type="dxa"/>
            <w:vAlign w:val="bottom"/>
            <w:gridSpan w:val="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60" w:type="dxa"/>
            <w:vAlign w:val="bottom"/>
            <w:tcBorders>
              <w:bottom w:val="single" w:sz="8" w:color="0000EE"/>
            </w:tcBorders>
            <w:gridSpan w:val="7"/>
          </w:tcPr>
          <w:p>
            <w:pPr>
              <w:spacing w:after="0"/>
              <w:rPr>
                <w:rFonts w:ascii="Arial" w:cs="Arial" w:eastAsia="Arial" w:hAnsi="Arial"/>
                <w:sz w:val="18"/>
                <w:szCs w:val="18"/>
                <w:color w:val="0000EE"/>
                <w:w w:val="94"/>
              </w:rPr>
            </w:pPr>
            <w:hyperlink r:id="rId61">
              <w:r>
                <w:rPr>
                  <w:rFonts w:ascii="Arial" w:cs="Arial" w:eastAsia="Arial" w:hAnsi="Arial"/>
                  <w:sz w:val="18"/>
                  <w:szCs w:val="18"/>
                  <w:color w:val="0000EE"/>
                  <w:w w:val="94"/>
                </w:rPr>
                <w:t>Registration Rights Agreement with Aspire Capital Fund, LLC (incorporated by reference to Exhibit 4.1 to Form 8-K filed with the SEC on</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August 13, 2018)</w:t>
              </w:r>
            </w:hyperlink>
          </w:p>
        </w:tc>
        <w:tc>
          <w:tcPr>
            <w:tcW w:w="9000" w:type="dxa"/>
            <w:vAlign w:val="bottom"/>
            <w:gridSpan w:val="6"/>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Certification of Chief Executive Officer pursuant to Section 302 of the Sarbanes-Oxley Act of 2002</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3080" w:type="dxa"/>
            <w:vAlign w:val="bottom"/>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gridSpan w:val="8"/>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1">
              <w:r>
                <w:rPr>
                  <w:rFonts w:ascii="Arial" w:cs="Arial" w:eastAsia="Arial" w:hAnsi="Arial"/>
                  <w:sz w:val="18"/>
                  <w:szCs w:val="18"/>
                  <w:color w:val="0000EE"/>
                </w:rPr>
                <w:t>Certification of Chief Executive Officer pursuant to Section 302 of the Sarbanes-Oxley Act of 2002</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80" w:type="dxa"/>
            <w:vAlign w:val="bottom"/>
            <w:gridSpan w:val="6"/>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gridSpan w:val="8"/>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3">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160" w:hanging="1152"/>
        <w:spacing w:after="0" w:line="255"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financial information from Ocean Power Technologies, Inc.’s Quarterly Report on Form 10-Q for the quarter ended July 31, 2018, formatted in eXtensible Business Reporting Language (XBRL): (i) Consolidated Balance Sheets – July 31, 2018 (unaudited) and April 30, 2018, (ii) Consolidated Statements of Operations (unaudited) – three months ended July 31, 2018 and 2017, (iii) Consolidated Statements of Comprehensive Loss (unaudited) – three months ended July 31, 2018 and 2017, (iv) Consolidated Statements of Cash Flows (unaudited) – three months ended July 31, 2018 and 2017, (v) Consolidated Statement of Stockholders’ Equity (unaudited) – three months ended July 31, 2018 (vi) Notes to Consolidated Financial Statements.**</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ind w:left="1160" w:hanging="4"/>
        <w:spacing w:after="0" w:line="308" w:lineRule="auto"/>
        <w:tabs>
          <w:tab w:leader="none" w:pos="15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a request for confidential treatment filed with the Securities and Exchange Commission and this exhibit has been filed separately with the Securities and Exchange Commission in connection with such request.</w:t>
      </w:r>
    </w:p>
    <w:p>
      <w:pPr>
        <w:spacing w:after="0" w:line="147" w:lineRule="exact"/>
        <w:rPr>
          <w:sz w:val="20"/>
          <w:szCs w:val="20"/>
          <w:color w:val="auto"/>
        </w:rPr>
      </w:pPr>
    </w:p>
    <w:p>
      <w:pPr>
        <w:jc w:val="both"/>
        <w:ind w:left="1160" w:hanging="4"/>
        <w:spacing w:after="0" w:line="264" w:lineRule="auto"/>
        <w:tabs>
          <w:tab w:leader="none" w:pos="13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sz w:val="20"/>
          <w:szCs w:val="20"/>
          <w:color w:val="auto"/>
        </w:rPr>
      </w:pPr>
    </w:p>
    <w:p>
      <w:pPr>
        <w:jc w:val="both"/>
        <w:ind w:left="1160" w:hanging="4"/>
        <w:spacing w:after="0" w:line="264" w:lineRule="auto"/>
        <w:tabs>
          <w:tab w:leader="none" w:pos="13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Ocean Power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26035</wp:posOffset>
            </wp:positionV>
            <wp:extent cx="36188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4"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(Registrant)</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September 12, 2018</w:t>
      </w:r>
      <w:r>
        <w:rPr>
          <w:sz w:val="20"/>
          <w:szCs w:val="20"/>
          <w:color w:val="auto"/>
        </w:rPr>
        <w:tab/>
      </w:r>
      <w:r>
        <w:rPr>
          <w:rFonts w:ascii="Arial" w:cs="Arial" w:eastAsia="Arial" w:hAnsi="Arial"/>
          <w:sz w:val="17"/>
          <w:szCs w:val="17"/>
          <w:i w:val="1"/>
          <w:iCs w:val="1"/>
          <w:color w:val="auto"/>
        </w:rPr>
        <w:t>/s/ George H. Kirby III</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September 12, 2018</w:t>
      </w:r>
      <w:r>
        <w:rPr>
          <w:sz w:val="20"/>
          <w:szCs w:val="20"/>
          <w:color w:val="auto"/>
        </w:rPr>
        <w:tab/>
      </w:r>
      <w:r>
        <w:rPr>
          <w:rFonts w:ascii="Arial" w:cs="Arial" w:eastAsia="Arial" w:hAnsi="Arial"/>
          <w:sz w:val="16"/>
          <w:szCs w:val="16"/>
          <w:i w:val="1"/>
          <w:iCs w:val="1"/>
          <w:color w:val="auto"/>
        </w:rPr>
        <w:t>/s/ Matthew T. Shafer</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2018,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640" w:firstLine="8"/>
        <w:spacing w:after="0" w:line="501" w:lineRule="auto"/>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12, 2018</w:t>
      </w:r>
    </w:p>
    <w:p>
      <w:pPr>
        <w:ind w:left="57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2018,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640" w:firstLine="8"/>
        <w:spacing w:after="0" w:line="501"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12, 2018</w:t>
      </w:r>
    </w:p>
    <w:p>
      <w:pPr>
        <w:ind w:left="57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lvl w:ilvl="1">
      <w:lvlJc w:val="left"/>
      <w:lvlText w:val="Ø"/>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0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58" Type="http://schemas.openxmlformats.org/officeDocument/2006/relationships/hyperlink" Target="http://www.sec.gov/Archives/edgar/data/1378140/000149315218010086/ex10-27.htm" TargetMode="External"/><Relationship Id="rId59" Type="http://schemas.openxmlformats.org/officeDocument/2006/relationships/hyperlink" Target="http://www.sec.gov/Archives/edgar/data/1378140/000149315218010119/ex10-2.htm" TargetMode="External"/><Relationship Id="rId60" Type="http://schemas.openxmlformats.org/officeDocument/2006/relationships/hyperlink" Target="http://www.sec.gov/Archives/edgar/data/1378140/000149315218011541/ex10-1.htm" TargetMode="External"/><Relationship Id="rId61" Type="http://schemas.openxmlformats.org/officeDocument/2006/relationships/hyperlink" Target="http://www.sec.gov/Archives/edgar/data/1378140/000149315218011541/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2019-12-28T19:25:40Z</dcterms:created>
  <dcterms:modified xsi:type="dcterms:W3CDTF">2019-12-28T19:25:40Z</dcterms:modified>
</cp:coreProperties>
</file>