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720" w:right="1760" w:hanging="3712"/>
        <w:spacing w:after="0" w:line="500"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3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3"/>
              </w:rPr>
              <w:t>(State or Other Jurisdiction</w:t>
            </w:r>
          </w:p>
        </w:tc>
        <w:tc>
          <w:tcPr>
            <w:tcW w:w="326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810"/>
              <w:spacing w:after="0"/>
              <w:rPr>
                <w:sz w:val="20"/>
                <w:szCs w:val="20"/>
                <w:color w:val="auto"/>
              </w:rPr>
            </w:pPr>
            <w:r>
              <w:rPr>
                <w:rFonts w:ascii="Arial" w:cs="Arial" w:eastAsia="Arial" w:hAnsi="Arial"/>
                <w:sz w:val="18"/>
                <w:szCs w:val="18"/>
                <w:i w:val="1"/>
                <w:iCs w:val="1"/>
                <w:color w:val="auto"/>
                <w:w w:val="94"/>
              </w:rPr>
              <w:t>of 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32"/>
        </w:trPr>
        <w:tc>
          <w:tcPr>
            <w:tcW w:w="338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24"/>
                <w:szCs w:val="24"/>
                <w:color w:val="auto"/>
              </w:rPr>
            </w:pPr>
          </w:p>
        </w:tc>
        <w:tc>
          <w:tcPr>
            <w:tcW w:w="3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OPTT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spacing w:after="0" w:line="207" w:lineRule="exact"/>
        <w:tabs>
          <w:tab w:leader="none" w:pos="3040" w:val="left"/>
          <w:tab w:leader="none" w:pos="5720" w:val="left"/>
          <w:tab w:leader="none" w:pos="8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14, 2021, the number of outstanding shares of common stock of the registrant was 55,873,173.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34"/>
        </w:trPr>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0"/>
        </w:trPr>
        <w:tc>
          <w:tcPr>
            <w:tcW w:w="3260" w:type="dxa"/>
            <w:vAlign w:val="bottom"/>
            <w:tcBorders>
              <w:bottom w:val="single" w:sz="8" w:color="0000EE"/>
            </w:tcBorders>
            <w:gridSpan w:val="11"/>
            <w:shd w:val="clear" w:color="auto" w:fill="CCEEFF"/>
          </w:tcPr>
          <w:p>
            <w:pPr>
              <w:spacing w:after="0" w:line="16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340" w:type="dxa"/>
            <w:vAlign w:val="bottom"/>
            <w:tcBorders>
              <w:bottom w:val="single" w:sz="8" w:color="CCEEFF"/>
            </w:tcBorders>
            <w:gridSpan w:val="10"/>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5"/>
        </w:trPr>
        <w:tc>
          <w:tcPr>
            <w:tcW w:w="180" w:type="dxa"/>
            <w:vAlign w:val="bottom"/>
          </w:tcPr>
          <w:p>
            <w:pPr>
              <w:spacing w:after="0"/>
              <w:rPr>
                <w:sz w:val="15"/>
                <w:szCs w:val="15"/>
                <w:color w:val="auto"/>
              </w:rPr>
            </w:pPr>
          </w:p>
        </w:tc>
        <w:tc>
          <w:tcPr>
            <w:tcW w:w="10420" w:type="dxa"/>
            <w:vAlign w:val="bottom"/>
            <w:gridSpan w:val="2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40" w:type="dxa"/>
            <w:vAlign w:val="bottom"/>
          </w:tcPr>
          <w:p>
            <w:pPr>
              <w:spacing w:after="0"/>
              <w:rPr>
                <w:sz w:val="15"/>
                <w:szCs w:val="15"/>
                <w:color w:val="auto"/>
              </w:rPr>
            </w:pP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October 31, 2021 (unaudited) and April 30, 2021</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1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for the three and six months ended October 31, 2021 and 2020</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Comprehensive Loss for the three and six months ended October 31, 2021 and 2020</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80" w:type="dxa"/>
            <w:vAlign w:val="bottom"/>
            <w:tcBorders>
              <w:top w:val="single" w:sz="8" w:color="0000EE"/>
            </w:tcBorders>
            <w:gridSpan w:val="18"/>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 of Shareholders’ Equity for the three and six months ended October 31, 2021 and 2020</w:t>
              </w:r>
            </w:hyperlink>
          </w:p>
        </w:tc>
        <w:tc>
          <w:tcPr>
            <w:tcW w:w="13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9"/>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Unaudited Consolidated Statements of Cash Flows for the six months ended October 31, 2021 and 2020</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175"/>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Consolidated Financial Statements</w:t>
              </w:r>
            </w:hyperlink>
          </w:p>
        </w:tc>
        <w:tc>
          <w:tcPr>
            <w:tcW w:w="27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2. Management’s Discussion and Analysis of Financial Condition and Results of Operations</w:t>
              </w:r>
            </w:hyperlink>
          </w:p>
        </w:tc>
        <w:tc>
          <w:tcPr>
            <w:tcW w:w="34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3. Quantitative and Qualitative Disclosures About Market Risk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Item 4. Controls and Procedures</w:t>
              </w:r>
            </w:hyperlink>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6"/>
        </w:trPr>
        <w:tc>
          <w:tcPr>
            <w:tcW w:w="10600" w:type="dxa"/>
            <w:vAlign w:val="bottom"/>
            <w:gridSpan w:val="21"/>
          </w:tcPr>
          <w:p>
            <w:pPr>
              <w:spacing w:after="0" w:line="17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 OTHER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Item 1. Legal Proceedings</w:t>
              </w:r>
            </w:hyperlink>
          </w:p>
        </w:tc>
        <w:tc>
          <w:tcPr>
            <w:tcW w:w="85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5"/>
        </w:trPr>
        <w:tc>
          <w:tcPr>
            <w:tcW w:w="180" w:type="dxa"/>
            <w:vAlign w:val="bottom"/>
          </w:tcPr>
          <w:p>
            <w:pPr>
              <w:spacing w:after="0"/>
              <w:rPr>
                <w:sz w:val="15"/>
                <w:szCs w:val="15"/>
                <w:color w:val="auto"/>
              </w:rPr>
            </w:pPr>
          </w:p>
        </w:tc>
        <w:tc>
          <w:tcPr>
            <w:tcW w:w="10420" w:type="dxa"/>
            <w:vAlign w:val="bottom"/>
            <w:gridSpan w:val="20"/>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1A. 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2. 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6"/>
        </w:trPr>
        <w:tc>
          <w:tcPr>
            <w:tcW w:w="18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3. Defaults Upon Senior Securities</w:t>
              </w:r>
            </w:hyperlink>
          </w:p>
        </w:tc>
        <w:tc>
          <w:tcPr>
            <w:tcW w:w="55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4. Mine Safety Disclosures</w:t>
              </w:r>
            </w:hyperlink>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5. Other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6. 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439"/>
        </w:trPr>
        <w:tc>
          <w:tcPr>
            <w:tcW w:w="1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2"/>
          </w:tcPr>
          <w:p>
            <w:pPr>
              <w:spacing w:after="0"/>
              <w:rPr>
                <w:sz w:val="24"/>
                <w:szCs w:val="24"/>
                <w:color w:val="auto"/>
              </w:rPr>
            </w:pPr>
          </w:p>
        </w:tc>
        <w:tc>
          <w:tcPr>
            <w:tcW w:w="5080" w:type="dxa"/>
            <w:vAlign w:val="bottom"/>
            <w:tcBorders>
              <w:top w:val="single" w:sz="8" w:color="CCEEFF"/>
              <w:bottom w:val="single" w:sz="8" w:color="auto"/>
            </w:tcBorders>
            <w:gridSpan w:val="12"/>
          </w:tcPr>
          <w:p>
            <w:pPr>
              <w:jc w:val="right"/>
              <w:ind w:right="760"/>
              <w:spacing w:after="0"/>
              <w:rPr>
                <w:sz w:val="20"/>
                <w:szCs w:val="20"/>
                <w:color w:val="auto"/>
              </w:rPr>
            </w:pPr>
            <w:r>
              <w:rPr>
                <w:rFonts w:ascii="Arial" w:cs="Arial" w:eastAsia="Arial" w:hAnsi="Arial"/>
                <w:sz w:val="18"/>
                <w:szCs w:val="18"/>
                <w:color w:val="auto"/>
              </w:rPr>
              <w:t>1</w:t>
            </w:r>
          </w:p>
        </w:tc>
        <w:tc>
          <w:tcPr>
            <w:tcW w:w="7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pandemic and its variants on our business, operations, customers, suppliers and manufacturers and personnel;</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which may use significant resources, may be unsuccessful or may expose us to unforeseen liabilities, as well as our ability to integrate such acquisitions into our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we will be successful in our efforts to commercialize our products or the timetable upon which commercialization can be achieved, if at all;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services,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2021,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ectPr>
          <w:pgSz w:w="11900" w:h="16838" w:orient="portrait"/>
          <w:cols w:equalWidth="0" w:num="1">
            <w:col w:w="11240"/>
          </w:cols>
          <w:pgMar w:left="320" w:top="233" w:right="339" w:bottom="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$000’s,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October 31, 2021</w:t>
            </w:r>
          </w:p>
        </w:tc>
        <w:tc>
          <w:tcPr>
            <w:tcW w:w="200" w:type="dxa"/>
            <w:vAlign w:val="bottom"/>
          </w:tcPr>
          <w:p>
            <w:pPr>
              <w:spacing w:after="0"/>
              <w:rPr>
                <w:sz w:val="20"/>
                <w:szCs w:val="20"/>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April 30, 2021</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72,630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74,079</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76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277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liability, current portion</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Litigation payable</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 classified stock awards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Paycheck protection program loan- current</w:t>
            </w:r>
          </w:p>
        </w:tc>
        <w:tc>
          <w:tcPr>
            <w:tcW w:w="14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Paycheck protection program loan, less current portion</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Right-of-use liability, less current portion</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stock, $0.001 par value; authorized 5,000,000 shares, none issued or outstanding</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$0.001 par value; authorized 100,000,000 shares, issued 52,499,051 and</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52,458,011 shares, respectively</w:t>
            </w:r>
          </w:p>
        </w:tc>
        <w:tc>
          <w:tcPr>
            <w:tcW w:w="14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21,040 shares</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316,389</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315,821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(243,191)</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(234,896)</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75,820</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loss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80"/>
        <w:spacing w:after="0" w:line="303" w:lineRule="auto"/>
        <w:rPr>
          <w:sz w:val="20"/>
          <w:szCs w:val="20"/>
          <w:color w:val="auto"/>
        </w:rPr>
      </w:pPr>
      <w:r>
        <w:rPr>
          <w:rFonts w:ascii="Arial" w:cs="Arial" w:eastAsia="Arial" w:hAnsi="Arial"/>
          <w:sz w:val="16"/>
          <w:szCs w:val="16"/>
          <w:color w:val="auto"/>
        </w:rPr>
        <w:t>Engineering and product development costs Selling, general and administrative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74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62"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(in $000’s, except per share data)</w:t>
      </w:r>
    </w:p>
    <w:p>
      <w:pPr>
        <w:spacing w:after="0" w:line="9" w:lineRule="exact"/>
        <w:rPr>
          <w:sz w:val="20"/>
          <w:szCs w:val="20"/>
          <w:color w:val="auto"/>
        </w:rPr>
      </w:pPr>
    </w:p>
    <w:p>
      <w:pPr>
        <w:jc w:val="center"/>
        <w:ind w:right="37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October 31,</w:t>
            </w:r>
          </w:p>
        </w:tc>
        <w:tc>
          <w:tcPr>
            <w:tcW w:w="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Six months ended October 31,</w:t>
            </w: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425"/>
        </w:trPr>
        <w:tc>
          <w:tcPr>
            <w:tcW w:w="1000" w:type="dxa"/>
            <w:vAlign w:val="bottom"/>
            <w:gridSpan w:val="2"/>
          </w:tcPr>
          <w:p>
            <w:pPr>
              <w:jc w:val="right"/>
              <w:ind w:right="8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1"/>
              <w:spacing w:after="0"/>
              <w:rPr>
                <w:sz w:val="20"/>
                <w:szCs w:val="20"/>
                <w:color w:val="auto"/>
              </w:rPr>
            </w:pPr>
            <w:r>
              <w:rPr>
                <w:rFonts w:ascii="Arial" w:cs="Arial" w:eastAsia="Arial" w:hAnsi="Arial"/>
                <w:sz w:val="18"/>
                <w:szCs w:val="18"/>
                <w:color w:val="auto"/>
              </w:rPr>
              <w:t>247</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1"/>
              <w:spacing w:after="0"/>
              <w:rPr>
                <w:sz w:val="20"/>
                <w:szCs w:val="20"/>
                <w:color w:val="auto"/>
              </w:rPr>
            </w:pPr>
            <w:r>
              <w:rPr>
                <w:rFonts w:ascii="Arial" w:cs="Arial" w:eastAsia="Arial" w:hAnsi="Arial"/>
                <w:sz w:val="18"/>
                <w:szCs w:val="18"/>
                <w:color w:val="auto"/>
              </w:rPr>
              <w:t>118</w:t>
            </w:r>
          </w:p>
        </w:tc>
        <w:tc>
          <w:tcPr>
            <w:tcW w:w="980" w:type="dxa"/>
            <w:vAlign w:val="bottom"/>
          </w:tcPr>
          <w:p>
            <w:pPr>
              <w:jc w:val="right"/>
              <w:ind w:right="81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rPr>
              <w:t>519</w:t>
            </w:r>
          </w:p>
        </w:tc>
        <w:tc>
          <w:tcPr>
            <w:tcW w:w="11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8"/>
                <w:szCs w:val="18"/>
                <w:color w:val="auto"/>
              </w:rPr>
              <w:t>300</w:t>
            </w:r>
          </w:p>
        </w:tc>
        <w:tc>
          <w:tcPr>
            <w:tcW w:w="1040" w:type="dxa"/>
            <w:vAlign w:val="bottom"/>
          </w:tcPr>
          <w:p>
            <w:pPr>
              <w:spacing w:after="0"/>
              <w:rPr>
                <w:sz w:val="20"/>
                <w:szCs w:val="20"/>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8"/>
                <w:szCs w:val="18"/>
                <w:color w:val="auto"/>
              </w:rPr>
              <w:t>216</w:t>
            </w:r>
          </w:p>
        </w:tc>
        <w:tc>
          <w:tcPr>
            <w:tcW w:w="980" w:type="dxa"/>
            <w:vAlign w:val="bottom"/>
          </w:tcPr>
          <w:p>
            <w:pPr>
              <w:spacing w:after="0"/>
              <w:rPr>
                <w:sz w:val="20"/>
                <w:szCs w:val="20"/>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64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8"/>
                <w:szCs w:val="18"/>
                <w:color w:val="auto"/>
              </w:rPr>
              <w:t>3,082</w:t>
            </w:r>
          </w:p>
        </w:tc>
        <w:tc>
          <w:tcPr>
            <w:tcW w:w="1040" w:type="dxa"/>
            <w:vAlign w:val="bottom"/>
          </w:tcPr>
          <w:p>
            <w:pPr>
              <w:spacing w:after="0"/>
              <w:rPr>
                <w:sz w:val="24"/>
                <w:szCs w:val="24"/>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8"/>
                <w:szCs w:val="18"/>
                <w:color w:val="auto"/>
                <w:w w:val="93"/>
              </w:rPr>
              <w:t>1,063</w:t>
            </w:r>
          </w:p>
        </w:tc>
        <w:tc>
          <w:tcPr>
            <w:tcW w:w="980" w:type="dxa"/>
            <w:vAlign w:val="bottom"/>
          </w:tcPr>
          <w:p>
            <w:pPr>
              <w:spacing w:after="0"/>
              <w:rPr>
                <w:sz w:val="24"/>
                <w:szCs w:val="24"/>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w w:val="97"/>
              </w:rPr>
              <w:t>5,053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2,315</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8"/>
                <w:szCs w:val="18"/>
                <w:color w:val="auto"/>
              </w:rPr>
              <w:t>2,050</w:t>
            </w:r>
          </w:p>
        </w:tc>
        <w:tc>
          <w:tcPr>
            <w:tcW w:w="1040" w:type="dxa"/>
            <w:vAlign w:val="bottom"/>
          </w:tcPr>
          <w:p>
            <w:pPr>
              <w:spacing w:after="0"/>
              <w:rPr>
                <w:sz w:val="20"/>
                <w:szCs w:val="20"/>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8"/>
                <w:szCs w:val="18"/>
                <w:color w:val="auto"/>
                <w:w w:val="93"/>
              </w:rPr>
              <w:t>1,841</w:t>
            </w:r>
          </w:p>
        </w:tc>
        <w:tc>
          <w:tcPr>
            <w:tcW w:w="980" w:type="dxa"/>
            <w:vAlign w:val="bottom"/>
          </w:tcPr>
          <w:p>
            <w:pPr>
              <w:spacing w:after="0"/>
              <w:rPr>
                <w:sz w:val="20"/>
                <w:szCs w:val="20"/>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w w:val="97"/>
              </w:rPr>
              <w:t>4,958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3,828</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-993775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-711200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-419735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-145415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40" w:space="400"/>
            <w:col w:w="7500"/>
          </w:cols>
          <w:pgMar w:left="320" w:top="233" w:right="339" w:bottom="1440" w:gutter="0" w:footer="0" w:header="0"/>
        </w:sectPr>
      </w:pPr>
    </w:p>
    <w:tbl>
      <w:tblPr>
        <w:tblLayout w:type="fixed"/>
        <w:tblInd w:w="0" w:type="dxa"/>
        <w:tblCellMar>
          <w:top w:w="0" w:type="dxa"/>
          <w:left w:w="0" w:type="dxa"/>
          <w:bottom w:w="0" w:type="dxa"/>
          <w:right w:w="0" w:type="dxa"/>
        </w:tblCellMar>
      </w:tblPr>
      <w:tr>
        <w:trPr>
          <w:trHeight w:val="190"/>
        </w:trPr>
        <w:tc>
          <w:tcPr>
            <w:tcW w:w="4100" w:type="dxa"/>
            <w:vAlign w:val="bottom"/>
          </w:tcPr>
          <w:p>
            <w:pPr>
              <w:ind w:left="360"/>
              <w:spacing w:after="0" w:line="190"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5,132</w:t>
            </w:r>
          </w:p>
        </w:tc>
        <w:tc>
          <w:tcPr>
            <w:tcW w:w="3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2,904</w:t>
            </w:r>
          </w:p>
        </w:tc>
        <w:tc>
          <w:tcPr>
            <w:tcW w:w="3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8"/>
                <w:szCs w:val="18"/>
                <w:color w:val="auto"/>
              </w:rPr>
              <w:t>10,011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spacing w:after="0" w:line="190" w:lineRule="exact"/>
              <w:rPr>
                <w:sz w:val="20"/>
                <w:szCs w:val="20"/>
                <w:color w:val="auto"/>
              </w:rPr>
            </w:pPr>
            <w:r>
              <w:rPr>
                <w:rFonts w:ascii="Arial" w:cs="Arial" w:eastAsia="Arial" w:hAnsi="Arial"/>
                <w:sz w:val="18"/>
                <w:szCs w:val="18"/>
                <w:color w:val="auto"/>
              </w:rPr>
              <w:t>6,143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PPP loan</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1440" w:type="dxa"/>
            <w:vAlign w:val="bottom"/>
            <w:gridSpan w:val="2"/>
          </w:tcPr>
          <w:p>
            <w:pPr>
              <w:jc w:val="right"/>
              <w:ind w:right="261"/>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3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3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100" w:type="dxa"/>
            <w:vAlign w:val="bottom"/>
            <w:shd w:val="clear" w:color="auto" w:fill="CCEEFF"/>
          </w:tcPr>
          <w:p>
            <w:pPr>
              <w:ind w:left="180"/>
              <w:spacing w:after="0" w:line="155" w:lineRule="exact"/>
              <w:rPr>
                <w:sz w:val="20"/>
                <w:szCs w:val="20"/>
                <w:color w:val="auto"/>
              </w:rPr>
            </w:pPr>
            <w:r>
              <w:rPr>
                <w:rFonts w:ascii="Arial" w:cs="Arial" w:eastAsia="Arial" w:hAnsi="Arial"/>
                <w:sz w:val="17"/>
                <w:szCs w:val="17"/>
                <w:color w:val="auto"/>
                <w:w w:val="97"/>
              </w:rPr>
              <w:t>Weighted average shares used to compute basic and</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share</w:t>
            </w: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52,460,233</w:t>
            </w:r>
          </w:p>
        </w:tc>
        <w:tc>
          <w:tcPr>
            <w:tcW w:w="3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20,090,000</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52,459,122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17,883,666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color w:val="auto"/>
        </w:rPr>
        <w:t>Foreign currency translation adjustment 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color w:val="auto"/>
        </w:rPr>
        <w:t>Ocean Power Technologies, Inc. and Subsidiaries</w:t>
      </w:r>
    </w:p>
    <w:p>
      <w:pPr>
        <w:spacing w:after="0" w:line="62"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44"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3220" w:type="dxa"/>
            <w:vAlign w:val="bottom"/>
            <w:gridSpan w:val="6"/>
          </w:tcPr>
          <w:p>
            <w:pPr>
              <w:jc w:val="right"/>
              <w:ind w:right="621"/>
              <w:spacing w:after="0"/>
              <w:rPr>
                <w:sz w:val="20"/>
                <w:szCs w:val="20"/>
                <w:color w:val="auto"/>
              </w:rPr>
            </w:pPr>
            <w:r>
              <w:rPr>
                <w:rFonts w:ascii="Arial" w:cs="Arial" w:eastAsia="Arial" w:hAnsi="Arial"/>
                <w:sz w:val="18"/>
                <w:szCs w:val="18"/>
                <w:color w:val="auto"/>
                <w:w w:val="95"/>
              </w:rPr>
              <w:t>Three months ended October 31,</w:t>
            </w:r>
          </w:p>
        </w:tc>
        <w:tc>
          <w:tcPr>
            <w:tcW w:w="220" w:type="dxa"/>
            <w:vAlign w:val="bottom"/>
          </w:tcPr>
          <w:p>
            <w:pPr>
              <w:spacing w:after="0"/>
              <w:rPr>
                <w:sz w:val="20"/>
                <w:szCs w:val="20"/>
                <w:color w:val="auto"/>
              </w:rPr>
            </w:pPr>
          </w:p>
        </w:tc>
      </w:t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1"/>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1"/>
              <w:spacing w:after="0"/>
              <w:rPr>
                <w:sz w:val="20"/>
                <w:szCs w:val="20"/>
                <w:color w:val="auto"/>
              </w:rPr>
            </w:pPr>
            <w:r>
              <w:rPr>
                <w:rFonts w:ascii="Arial" w:cs="Arial" w:eastAsia="Arial" w:hAnsi="Arial"/>
                <w:sz w:val="18"/>
                <w:szCs w:val="18"/>
                <w:color w:val="auto"/>
              </w:rPr>
              <w:t>(5,171)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101"/>
              <w:spacing w:after="0"/>
              <w:rPr>
                <w:sz w:val="20"/>
                <w:szCs w:val="20"/>
                <w:color w:val="auto"/>
              </w:rPr>
            </w:pPr>
            <w:r>
              <w:rPr>
                <w:rFonts w:ascii="Arial" w:cs="Arial" w:eastAsia="Arial" w:hAnsi="Arial"/>
                <w:sz w:val="18"/>
                <w:szCs w:val="18"/>
                <w:color w:val="auto"/>
              </w:rPr>
              <w:t>(3,024)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80" w:type="dxa"/>
            <w:vAlign w:val="bottom"/>
          </w:tcPr>
          <w:p>
            <w:pPr>
              <w:spacing w:after="0"/>
              <w:rPr>
                <w:sz w:val="21"/>
                <w:szCs w:val="21"/>
                <w:color w:val="auto"/>
              </w:rPr>
            </w:pPr>
          </w:p>
        </w:tc>
        <w:tc>
          <w:tcPr>
            <w:tcW w:w="1540" w:type="dxa"/>
            <w:vAlign w:val="bottom"/>
            <w:gridSpan w:val="2"/>
          </w:tcPr>
          <w:p>
            <w:pPr>
              <w:jc w:val="right"/>
              <w:ind w:right="261"/>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340" w:type="dxa"/>
            <w:vAlign w:val="bottom"/>
            <w:gridSpan w:val="3"/>
          </w:tcPr>
          <w:p>
            <w:pPr>
              <w:jc w:val="right"/>
              <w:ind w:right="101"/>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(3,031</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-462280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14605</wp:posOffset>
            </wp:positionV>
            <wp:extent cx="2040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14605</wp:posOffset>
            </wp:positionV>
            <wp:extent cx="2040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60" w:type="dxa"/>
            <w:vAlign w:val="bottom"/>
          </w:tcPr>
          <w:p>
            <w:pPr>
              <w:jc w:val="right"/>
              <w:ind w:right="50"/>
              <w:spacing w:after="0"/>
              <w:rPr>
                <w:sz w:val="20"/>
                <w:szCs w:val="20"/>
                <w:color w:val="auto"/>
              </w:rPr>
            </w:pPr>
            <w:r>
              <w:rPr>
                <w:rFonts w:ascii="Arial" w:cs="Arial" w:eastAsia="Arial" w:hAnsi="Arial"/>
                <w:sz w:val="18"/>
                <w:szCs w:val="18"/>
                <w:color w:val="auto"/>
                <w:w w:val="87"/>
              </w:rPr>
              <w:t>(8,250)</w:t>
            </w: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(6,409)</w:t>
            </w:r>
          </w:p>
        </w:tc>
      </w:tr>
      <w:tr>
        <w:trPr>
          <w:trHeight w:val="244"/>
        </w:trPr>
        <w:tc>
          <w:tcPr>
            <w:tcW w:w="6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60" w:type="dxa"/>
            <w:vAlign w:val="bottom"/>
          </w:tcPr>
          <w:p>
            <w:pPr>
              <w:jc w:val="right"/>
              <w:ind w:right="50"/>
              <w:spacing w:after="0"/>
              <w:rPr>
                <w:sz w:val="20"/>
                <w:szCs w:val="20"/>
                <w:color w:val="auto"/>
              </w:rPr>
            </w:pPr>
            <w:r>
              <w:rPr>
                <w:rFonts w:ascii="Arial" w:cs="Arial" w:eastAsia="Arial" w:hAnsi="Arial"/>
                <w:sz w:val="18"/>
                <w:szCs w:val="18"/>
                <w:color w:val="auto"/>
                <w:w w:val="87"/>
              </w:rPr>
              <w:t>(8,263)</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917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020" w:space="720"/>
            <w:col w:w="4260" w:space="440"/>
            <w:col w:w="2760"/>
          </w:cols>
          <w:pgMar w:left="320" w:top="233" w:right="37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60" w:type="dxa"/>
            <w:vAlign w:val="bottom"/>
            <w:gridSpan w:val="6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434"/>
        </w:trPr>
        <w:tc>
          <w:tcPr>
            <w:tcW w:w="12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33"/>
          </w:tcPr>
          <w:p>
            <w:pPr>
              <w:jc w:val="center"/>
              <w:ind w:right="11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33"/>
          </w:tcPr>
          <w:p>
            <w:pPr>
              <w:jc w:val="center"/>
              <w:ind w:right="110"/>
              <w:spacing w:after="0"/>
              <w:rPr>
                <w:sz w:val="20"/>
                <w:szCs w:val="20"/>
                <w:color w:val="auto"/>
              </w:rPr>
            </w:pPr>
            <w:r>
              <w:rPr>
                <w:rFonts w:ascii="Arial" w:cs="Arial" w:eastAsia="Arial" w:hAnsi="Arial"/>
                <w:sz w:val="18"/>
                <w:szCs w:val="18"/>
                <w:b w:val="1"/>
                <w:bCs w:val="1"/>
                <w:color w:val="auto"/>
                <w:w w:val="90"/>
              </w:rPr>
              <w:t>Consolidated Statement of Shareholders’ Equity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0"/>
          </w:tcPr>
          <w:p>
            <w:pPr>
              <w:jc w:val="center"/>
              <w:ind w:right="460"/>
              <w:spacing w:after="0"/>
              <w:rPr>
                <w:sz w:val="20"/>
                <w:szCs w:val="20"/>
                <w:color w:val="auto"/>
              </w:rPr>
            </w:pPr>
            <w:r>
              <w:rPr>
                <w:rFonts w:ascii="Arial" w:cs="Arial" w:eastAsia="Arial" w:hAnsi="Arial"/>
                <w:sz w:val="18"/>
                <w:szCs w:val="18"/>
                <w:b w:val="1"/>
                <w:bCs w:val="1"/>
                <w:color w:val="auto"/>
                <w:w w:val="88"/>
              </w:rPr>
              <w:t>(in $000’s, except share data)</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260" w:type="dxa"/>
            <w:vAlign w:val="bottom"/>
            <w:gridSpan w:val="66"/>
          </w:tcPr>
          <w:p>
            <w:pPr>
              <w:spacing w:after="0"/>
              <w:rPr>
                <w:sz w:val="20"/>
                <w:szCs w:val="20"/>
                <w:color w:val="auto"/>
              </w:rPr>
            </w:pPr>
            <w:r>
              <w:rPr>
                <w:rFonts w:ascii="Arial" w:cs="Arial" w:eastAsia="Arial" w:hAnsi="Arial"/>
                <w:sz w:val="18"/>
                <w:szCs w:val="18"/>
                <w:b w:val="1"/>
                <w:bCs w:val="1"/>
                <w:color w:val="auto"/>
              </w:rPr>
              <w:t>Unaudited</w:t>
            </w:r>
          </w:p>
        </w:tc>
      </w:tr>
      <w:tr>
        <w:trPr>
          <w:trHeight w:val="446"/>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3"/>
          </w:tcPr>
          <w:p>
            <w:pPr>
              <w:jc w:val="right"/>
              <w:ind w:right="521"/>
              <w:spacing w:after="0"/>
              <w:rPr>
                <w:sz w:val="20"/>
                <w:szCs w:val="20"/>
                <w:color w:val="auto"/>
              </w:rPr>
            </w:pPr>
            <w:r>
              <w:rPr>
                <w:rFonts w:ascii="Arial" w:cs="Arial" w:eastAsia="Arial" w:hAnsi="Arial"/>
                <w:sz w:val="18"/>
                <w:szCs w:val="18"/>
                <w:color w:val="auto"/>
                <w:w w:val="91"/>
              </w:rPr>
              <w:t>Six Months Ended October 31, 2021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11260" w:type="dxa"/>
            <w:vAlign w:val="bottom"/>
            <w:gridSpan w:val="66"/>
          </w:tcPr>
          <w:p>
            <w:pPr>
              <w:spacing w:after="0"/>
              <w:rPr>
                <w:sz w:val="20"/>
                <w:szCs w:val="20"/>
                <w:color w:val="auto"/>
              </w:rPr>
            </w:pPr>
            <w:r>
              <w:rPr>
                <w:rFonts w:ascii="Arial" w:cs="Arial" w:eastAsia="Arial" w:hAnsi="Arial"/>
                <w:sz w:val="18"/>
                <w:szCs w:val="18"/>
                <w:color w:val="auto"/>
              </w:rPr>
              <w:t>Accumulated</w:t>
            </w:r>
          </w:p>
        </w:tc>
      </w:tr>
      <w:tr>
        <w:trPr>
          <w:trHeight w:val="216"/>
        </w:trPr>
        <w:tc>
          <w:tcPr>
            <w:tcW w:w="8920" w:type="dxa"/>
            <w:vAlign w:val="bottom"/>
            <w:gridSpan w:val="55"/>
          </w:tcPr>
          <w:p>
            <w:pPr>
              <w:spacing w:after="0"/>
              <w:rPr>
                <w:sz w:val="20"/>
                <w:szCs w:val="20"/>
                <w:color w:val="auto"/>
              </w:rPr>
            </w:pPr>
            <w:r>
              <w:rPr>
                <w:rFonts w:ascii="Arial" w:cs="Arial" w:eastAsia="Arial" w:hAnsi="Arial"/>
                <w:sz w:val="18"/>
                <w:szCs w:val="18"/>
                <w:color w:val="auto"/>
              </w:rPr>
              <w:t>Additional</w:t>
            </w:r>
          </w:p>
        </w:tc>
        <w:tc>
          <w:tcPr>
            <w:tcW w:w="1360" w:type="dxa"/>
            <w:vAlign w:val="bottom"/>
            <w:gridSpan w:val="8"/>
          </w:tcPr>
          <w:p>
            <w:pPr>
              <w:jc w:val="center"/>
              <w:ind w:right="590"/>
              <w:spacing w:after="0"/>
              <w:rPr>
                <w:sz w:val="20"/>
                <w:szCs w:val="20"/>
                <w:color w:val="auto"/>
              </w:rPr>
            </w:pPr>
            <w:r>
              <w:rPr>
                <w:rFonts w:ascii="Arial" w:cs="Arial" w:eastAsia="Arial" w:hAnsi="Arial"/>
                <w:sz w:val="18"/>
                <w:szCs w:val="18"/>
                <w:color w:val="auto"/>
                <w:w w:val="88"/>
              </w:rPr>
              <w:t>Other</w:t>
            </w:r>
          </w:p>
        </w:tc>
        <w:tc>
          <w:tcPr>
            <w:tcW w:w="980" w:type="dxa"/>
            <w:vAlign w:val="bottom"/>
            <w:gridSpan w:val="3"/>
          </w:tcPr>
          <w:p>
            <w:pPr>
              <w:jc w:val="center"/>
              <w:ind w:right="280"/>
              <w:spacing w:after="0"/>
              <w:rPr>
                <w:sz w:val="20"/>
                <w:szCs w:val="20"/>
                <w:color w:val="auto"/>
              </w:rPr>
            </w:pPr>
            <w:r>
              <w:rPr>
                <w:rFonts w:ascii="Arial" w:cs="Arial" w:eastAsia="Arial" w:hAnsi="Arial"/>
                <w:sz w:val="18"/>
                <w:szCs w:val="18"/>
                <w:color w:val="auto"/>
                <w:w w:val="94"/>
              </w:rPr>
              <w:t>Total</w:t>
            </w:r>
          </w:p>
        </w:tc>
      </w:tr>
      <w:tr>
        <w:trPr>
          <w:trHeight w:val="244"/>
        </w:trPr>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9"/>
          </w:tcPr>
          <w:p>
            <w:pPr>
              <w:ind w:left="200"/>
              <w:spacing w:after="0"/>
              <w:rPr>
                <w:sz w:val="20"/>
                <w:szCs w:val="20"/>
                <w:color w:val="auto"/>
              </w:rPr>
            </w:pPr>
            <w:r>
              <w:rPr>
                <w:rFonts w:ascii="Arial" w:cs="Arial" w:eastAsia="Arial" w:hAnsi="Arial"/>
                <w:sz w:val="18"/>
                <w:szCs w:val="18"/>
                <w:color w:val="auto"/>
                <w:w w:val="90"/>
              </w:rPr>
              <w:t>Common Shares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12"/>
          </w:tcPr>
          <w:p>
            <w:pPr>
              <w:jc w:val="right"/>
              <w:ind w:right="360"/>
              <w:spacing w:after="0"/>
              <w:rPr>
                <w:sz w:val="20"/>
                <w:szCs w:val="20"/>
                <w:color w:val="auto"/>
              </w:rPr>
            </w:pPr>
            <w:r>
              <w:rPr>
                <w:rFonts w:ascii="Arial" w:cs="Arial" w:eastAsia="Arial" w:hAnsi="Arial"/>
                <w:sz w:val="18"/>
                <w:szCs w:val="18"/>
                <w:color w:val="auto"/>
                <w:w w:val="91"/>
              </w:rPr>
              <w:t>Treasury Shares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5"/>
          </w:tcPr>
          <w:p>
            <w:pPr>
              <w:ind w:left="180"/>
              <w:spacing w:after="0"/>
              <w:rPr>
                <w:sz w:val="20"/>
                <w:szCs w:val="20"/>
                <w:color w:val="auto"/>
              </w:rPr>
            </w:pPr>
            <w:r>
              <w:rPr>
                <w:rFonts w:ascii="Arial" w:cs="Arial" w:eastAsia="Arial" w:hAnsi="Arial"/>
                <w:sz w:val="18"/>
                <w:szCs w:val="18"/>
                <w:color w:val="auto"/>
              </w:rPr>
              <w:t>Paid-In</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6"/>
          </w:tcPr>
          <w:p>
            <w:pPr>
              <w:spacing w:after="0"/>
              <w:rPr>
                <w:sz w:val="20"/>
                <w:szCs w:val="20"/>
                <w:color w:val="auto"/>
              </w:rPr>
            </w:pPr>
            <w:r>
              <w:rPr>
                <w:rFonts w:ascii="Arial" w:cs="Arial" w:eastAsia="Arial" w:hAnsi="Arial"/>
                <w:sz w:val="18"/>
                <w:szCs w:val="18"/>
                <w:color w:val="auto"/>
              </w:rPr>
              <w:t>Accumulated</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7"/>
          </w:tcPr>
          <w:p>
            <w:pPr>
              <w:jc w:val="center"/>
              <w:ind w:right="220"/>
              <w:spacing w:after="0"/>
              <w:rPr>
                <w:sz w:val="20"/>
                <w:szCs w:val="20"/>
                <w:color w:val="auto"/>
              </w:rPr>
            </w:pPr>
            <w:r>
              <w:rPr>
                <w:rFonts w:ascii="Arial" w:cs="Arial" w:eastAsia="Arial" w:hAnsi="Arial"/>
                <w:sz w:val="18"/>
                <w:szCs w:val="18"/>
                <w:color w:val="auto"/>
                <w:w w:val="90"/>
              </w:rPr>
              <w:t>Comprehensive</w:t>
            </w:r>
          </w:p>
        </w:tc>
        <w:tc>
          <w:tcPr>
            <w:tcW w:w="80" w:type="dxa"/>
            <w:vAlign w:val="bottom"/>
          </w:tcPr>
          <w:p>
            <w:pPr>
              <w:spacing w:after="0"/>
              <w:rPr>
                <w:sz w:val="21"/>
                <w:szCs w:val="21"/>
                <w:color w:val="auto"/>
              </w:rPr>
            </w:pPr>
          </w:p>
        </w:tc>
        <w:tc>
          <w:tcPr>
            <w:tcW w:w="11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Shareholders’</w:t>
            </w:r>
          </w:p>
        </w:tc>
      </w:tr>
      <w:tr>
        <w:trPr>
          <w:trHeight w:val="223"/>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5"/>
          </w:tcPr>
          <w:p>
            <w:pPr>
              <w:jc w:val="right"/>
              <w:ind w:right="420"/>
              <w:spacing w:after="0"/>
              <w:rPr>
                <w:sz w:val="20"/>
                <w:szCs w:val="20"/>
                <w:color w:val="auto"/>
              </w:rPr>
            </w:pPr>
            <w:r>
              <w:rPr>
                <w:rFonts w:ascii="Arial" w:cs="Arial" w:eastAsia="Arial" w:hAnsi="Arial"/>
                <w:sz w:val="18"/>
                <w:szCs w:val="18"/>
                <w:color w:val="auto"/>
                <w:w w:val="98"/>
              </w:rPr>
              <w:t>Shares</w:t>
            </w: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8"/>
              </w:rPr>
              <w:t>Shares</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6"/>
              </w:rPr>
              <w:t>Amount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auto"/>
              </w:rPr>
              <w:t>Capital</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5"/>
          </w:tcPr>
          <w:p>
            <w:pPr>
              <w:jc w:val="right"/>
              <w:ind w:right="321"/>
              <w:spacing w:after="0"/>
              <w:rPr>
                <w:sz w:val="20"/>
                <w:szCs w:val="20"/>
                <w:color w:val="auto"/>
              </w:rPr>
            </w:pPr>
            <w:r>
              <w:rPr>
                <w:rFonts w:ascii="Arial" w:cs="Arial" w:eastAsia="Arial" w:hAnsi="Arial"/>
                <w:sz w:val="18"/>
                <w:szCs w:val="18"/>
                <w:color w:val="auto"/>
              </w:rPr>
              <w:t>Deficit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tcPr>
          <w:p>
            <w:pPr>
              <w:jc w:val="center"/>
              <w:ind w:right="44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Equity</w:t>
            </w:r>
          </w:p>
        </w:tc>
      </w:tr>
      <w:tr>
        <w:trPr>
          <w:trHeight w:val="210"/>
        </w:trPr>
        <w:tc>
          <w:tcPr>
            <w:tcW w:w="2160" w:type="dxa"/>
            <w:vAlign w:val="bottom"/>
            <w:gridSpan w:val="4"/>
          </w:tcPr>
          <w:p>
            <w:pPr>
              <w:spacing w:after="0"/>
              <w:rPr>
                <w:sz w:val="18"/>
                <w:szCs w:val="18"/>
                <w:color w:val="auto"/>
              </w:rPr>
            </w:pPr>
          </w:p>
        </w:tc>
        <w:tc>
          <w:tcPr>
            <w:tcW w:w="920" w:type="dxa"/>
            <w:vAlign w:val="bottom"/>
            <w:tcBorders>
              <w:top w:val="single" w:sz="8" w:color="auto"/>
            </w:tcBorders>
            <w:gridSpan w:val="4"/>
          </w:tcPr>
          <w:p>
            <w:pPr>
              <w:spacing w:after="0"/>
              <w:rPr>
                <w:sz w:val="18"/>
                <w:szCs w:val="18"/>
                <w:color w:val="auto"/>
              </w:rPr>
            </w:pPr>
          </w:p>
        </w:tc>
        <w:tc>
          <w:tcPr>
            <w:tcW w:w="280" w:type="dxa"/>
            <w:vAlign w:val="bottom"/>
            <w:gridSpan w:val="4"/>
          </w:tcPr>
          <w:p>
            <w:pPr>
              <w:spacing w:after="0"/>
              <w:rPr>
                <w:sz w:val="18"/>
                <w:szCs w:val="18"/>
                <w:color w:val="auto"/>
              </w:rPr>
            </w:pPr>
          </w:p>
        </w:tc>
        <w:tc>
          <w:tcPr>
            <w:tcW w:w="660" w:type="dxa"/>
            <w:vAlign w:val="bottom"/>
            <w:tcBorders>
              <w:top w:val="single" w:sz="8" w:color="auto"/>
            </w:tcBorders>
            <w:gridSpan w:val="4"/>
          </w:tcPr>
          <w:p>
            <w:pPr>
              <w:spacing w:after="0"/>
              <w:rPr>
                <w:sz w:val="18"/>
                <w:szCs w:val="18"/>
                <w:color w:val="auto"/>
              </w:rPr>
            </w:pPr>
          </w:p>
        </w:tc>
        <w:tc>
          <w:tcPr>
            <w:tcW w:w="300" w:type="dxa"/>
            <w:vAlign w:val="bottom"/>
            <w:gridSpan w:val="4"/>
          </w:tcPr>
          <w:p>
            <w:pPr>
              <w:spacing w:after="0"/>
              <w:rPr>
                <w:sz w:val="18"/>
                <w:szCs w:val="18"/>
                <w:color w:val="auto"/>
              </w:rPr>
            </w:pPr>
          </w:p>
        </w:tc>
        <w:tc>
          <w:tcPr>
            <w:tcW w:w="660" w:type="dxa"/>
            <w:vAlign w:val="bottom"/>
            <w:tcBorders>
              <w:top w:val="single" w:sz="8" w:color="auto"/>
            </w:tcBorders>
            <w:gridSpan w:val="3"/>
          </w:tcPr>
          <w:p>
            <w:pPr>
              <w:spacing w:after="0"/>
              <w:rPr>
                <w:sz w:val="18"/>
                <w:szCs w:val="18"/>
                <w:color w:val="auto"/>
              </w:rPr>
            </w:pPr>
          </w:p>
        </w:tc>
        <w:tc>
          <w:tcPr>
            <w:tcW w:w="300" w:type="dxa"/>
            <w:vAlign w:val="bottom"/>
            <w:gridSpan w:val="5"/>
          </w:tcPr>
          <w:p>
            <w:pPr>
              <w:spacing w:after="0"/>
              <w:rPr>
                <w:sz w:val="18"/>
                <w:szCs w:val="18"/>
                <w:color w:val="auto"/>
              </w:rPr>
            </w:pPr>
          </w:p>
        </w:tc>
        <w:tc>
          <w:tcPr>
            <w:tcW w:w="660" w:type="dxa"/>
            <w:vAlign w:val="bottom"/>
            <w:tcBorders>
              <w:top w:val="single" w:sz="8" w:color="auto"/>
            </w:tcBorders>
            <w:gridSpan w:val="4"/>
          </w:tcPr>
          <w:p>
            <w:pPr>
              <w:spacing w:after="0"/>
              <w:rPr>
                <w:sz w:val="18"/>
                <w:szCs w:val="18"/>
                <w:color w:val="auto"/>
              </w:rPr>
            </w:pPr>
          </w:p>
        </w:tc>
        <w:tc>
          <w:tcPr>
            <w:tcW w:w="300" w:type="dxa"/>
            <w:vAlign w:val="bottom"/>
            <w:gridSpan w:val="4"/>
          </w:tcPr>
          <w:p>
            <w:pPr>
              <w:spacing w:after="0"/>
              <w:rPr>
                <w:sz w:val="18"/>
                <w:szCs w:val="18"/>
                <w:color w:val="auto"/>
              </w:rPr>
            </w:pPr>
          </w:p>
        </w:tc>
        <w:tc>
          <w:tcPr>
            <w:tcW w:w="880" w:type="dxa"/>
            <w:vAlign w:val="bottom"/>
            <w:tcBorders>
              <w:top w:val="single" w:sz="8" w:color="auto"/>
            </w:tcBorders>
            <w:gridSpan w:val="4"/>
          </w:tcPr>
          <w:p>
            <w:pPr>
              <w:spacing w:after="0"/>
              <w:rPr>
                <w:sz w:val="18"/>
                <w:szCs w:val="18"/>
                <w:color w:val="auto"/>
              </w:rPr>
            </w:pPr>
          </w:p>
        </w:tc>
        <w:tc>
          <w:tcPr>
            <w:tcW w:w="300" w:type="dxa"/>
            <w:vAlign w:val="bottom"/>
            <w:gridSpan w:val="5"/>
          </w:tcPr>
          <w:p>
            <w:pPr>
              <w:spacing w:after="0"/>
              <w:rPr>
                <w:sz w:val="18"/>
                <w:szCs w:val="18"/>
                <w:color w:val="auto"/>
              </w:rPr>
            </w:pPr>
          </w:p>
        </w:tc>
        <w:tc>
          <w:tcPr>
            <w:tcW w:w="980" w:type="dxa"/>
            <w:vAlign w:val="bottom"/>
            <w:tcBorders>
              <w:top w:val="single" w:sz="8" w:color="auto"/>
            </w:tcBorders>
            <w:gridSpan w:val="4"/>
          </w:tcPr>
          <w:p>
            <w:pPr>
              <w:spacing w:after="0"/>
              <w:rPr>
                <w:sz w:val="18"/>
                <w:szCs w:val="18"/>
                <w:color w:val="auto"/>
              </w:rPr>
            </w:pPr>
          </w:p>
        </w:tc>
        <w:tc>
          <w:tcPr>
            <w:tcW w:w="300" w:type="dxa"/>
            <w:vAlign w:val="bottom"/>
            <w:gridSpan w:val="4"/>
          </w:tcPr>
          <w:p>
            <w:pPr>
              <w:spacing w:after="0"/>
              <w:rPr>
                <w:sz w:val="18"/>
                <w:szCs w:val="18"/>
                <w:color w:val="auto"/>
              </w:rPr>
            </w:pPr>
          </w:p>
        </w:tc>
        <w:tc>
          <w:tcPr>
            <w:tcW w:w="1120" w:type="dxa"/>
            <w:vAlign w:val="bottom"/>
            <w:tcBorders>
              <w:top w:val="single" w:sz="8" w:color="auto"/>
            </w:tcBorders>
            <w:gridSpan w:val="4"/>
          </w:tcPr>
          <w:p>
            <w:pPr>
              <w:spacing w:after="0"/>
              <w:rPr>
                <w:sz w:val="18"/>
                <w:szCs w:val="18"/>
                <w:color w:val="auto"/>
              </w:rPr>
            </w:pPr>
          </w:p>
        </w:tc>
        <w:tc>
          <w:tcPr>
            <w:tcW w:w="320" w:type="dxa"/>
            <w:vAlign w:val="bottom"/>
            <w:gridSpan w:val="4"/>
          </w:tcPr>
          <w:p>
            <w:pPr>
              <w:spacing w:after="0"/>
              <w:rPr>
                <w:sz w:val="18"/>
                <w:szCs w:val="18"/>
                <w:color w:val="auto"/>
              </w:rPr>
            </w:pPr>
          </w:p>
        </w:tc>
        <w:tc>
          <w:tcPr>
            <w:tcW w:w="1000" w:type="dxa"/>
            <w:vAlign w:val="bottom"/>
            <w:tcBorders>
              <w:top w:val="single" w:sz="8" w:color="auto"/>
            </w:tcBorders>
            <w:gridSpan w:val="3"/>
          </w:tcPr>
          <w:p>
            <w:pPr>
              <w:spacing w:after="0"/>
              <w:rPr>
                <w:sz w:val="18"/>
                <w:szCs w:val="18"/>
                <w:color w:val="auto"/>
              </w:rPr>
            </w:pPr>
          </w:p>
        </w:tc>
        <w:tc>
          <w:tcPr>
            <w:tcW w:w="120" w:type="dxa"/>
            <w:vAlign w:val="bottom"/>
            <w:gridSpan w:val="2"/>
          </w:tcPr>
          <w:p>
            <w:pPr>
              <w:spacing w:after="0"/>
              <w:rPr>
                <w:sz w:val="18"/>
                <w:szCs w:val="18"/>
                <w:color w:val="auto"/>
              </w:rPr>
            </w:pPr>
          </w:p>
        </w:tc>
      </w:tr>
      <w:tr>
        <w:trPr>
          <w:trHeight w:val="216"/>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Balances at May 1, 2021</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w w:val="99"/>
              </w:rPr>
              <w:t>52,479,051</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(21,040)</w:t>
            </w:r>
          </w:p>
        </w:tc>
        <w:tc>
          <w:tcPr>
            <w:tcW w:w="3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315,821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(234,896)</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80,468</w:t>
            </w:r>
          </w:p>
        </w:tc>
        <w:tc>
          <w:tcPr>
            <w:tcW w:w="20" w:type="dxa"/>
            <w:vAlign w:val="bottom"/>
          </w:tcPr>
          <w:p>
            <w:pPr>
              <w:spacing w:after="0"/>
              <w:rPr>
                <w:sz w:val="18"/>
                <w:szCs w:val="18"/>
                <w:color w:val="auto"/>
              </w:rPr>
            </w:pPr>
          </w:p>
        </w:tc>
      </w:tr>
      <w:tr>
        <w:trPr>
          <w:trHeight w:val="216"/>
        </w:trPr>
        <w:tc>
          <w:tcPr>
            <w:tcW w:w="216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0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(8,250)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(8,250)</w:t>
            </w:r>
          </w:p>
        </w:tc>
        <w:tc>
          <w:tcPr>
            <w:tcW w:w="20" w:type="dxa"/>
            <w:vAlign w:val="bottom"/>
          </w:tcPr>
          <w:p>
            <w:pPr>
              <w:spacing w:after="0"/>
              <w:rPr>
                <w:sz w:val="18"/>
                <w:szCs w:val="18"/>
                <w:color w:val="auto"/>
              </w:rPr>
            </w:pPr>
          </w:p>
        </w:tc>
      </w:tr>
      <w:tr>
        <w:trPr>
          <w:trHeight w:val="216"/>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Share-based compensation</w:t>
            </w:r>
          </w:p>
        </w:tc>
        <w:tc>
          <w:tcPr>
            <w:tcW w:w="1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8"/>
                <w:szCs w:val="18"/>
                <w:color w:val="auto"/>
              </w:rPr>
            </w:pPr>
          </w:p>
        </w:tc>
      </w:tr>
      <w:tr>
        <w:trPr>
          <w:trHeight w:val="202"/>
        </w:trPr>
        <w:tc>
          <w:tcPr>
            <w:tcW w:w="11260" w:type="dxa"/>
            <w:vAlign w:val="bottom"/>
            <w:gridSpan w:val="66"/>
          </w:tcPr>
          <w:p>
            <w:pPr>
              <w:spacing w:after="0" w:line="201" w:lineRule="exact"/>
              <w:rPr>
                <w:sz w:val="20"/>
                <w:szCs w:val="20"/>
                <w:color w:val="auto"/>
              </w:rPr>
            </w:pPr>
            <w:r>
              <w:rPr>
                <w:rFonts w:ascii="Arial" w:cs="Arial" w:eastAsia="Arial" w:hAnsi="Arial"/>
                <w:sz w:val="18"/>
                <w:szCs w:val="18"/>
                <w:color w:val="auto"/>
              </w:rPr>
              <w:t>Proceeds from stock</w:t>
            </w: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options exercises</w:t>
            </w: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02"/>
        </w:trPr>
        <w:tc>
          <w:tcPr>
            <w:tcW w:w="11260" w:type="dxa"/>
            <w:vAlign w:val="bottom"/>
            <w:gridSpan w:val="66"/>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r>
      <w:tr>
        <w:trPr>
          <w:trHeight w:val="244"/>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gain/(loss)</w:t>
            </w:r>
          </w:p>
        </w:tc>
        <w:tc>
          <w:tcPr>
            <w:tcW w:w="120" w:type="dxa"/>
            <w:vAlign w:val="bottom"/>
            <w:shd w:val="clear" w:color="auto" w:fill="CCEEFF"/>
          </w:tcPr>
          <w:p>
            <w:pPr>
              <w:spacing w:after="0"/>
              <w:rPr>
                <w:sz w:val="21"/>
                <w:szCs w:val="21"/>
                <w:color w:val="auto"/>
              </w:rPr>
            </w:pPr>
          </w:p>
        </w:tc>
        <w:tc>
          <w:tcPr>
            <w:tcW w:w="10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43"/>
        </w:trPr>
        <w:tc>
          <w:tcPr>
            <w:tcW w:w="2160" w:type="dxa"/>
            <w:vAlign w:val="bottom"/>
            <w:gridSpan w:val="4"/>
          </w:tcPr>
          <w:p>
            <w:pPr>
              <w:spacing w:after="0"/>
              <w:rPr>
                <w:sz w:val="20"/>
                <w:szCs w:val="20"/>
                <w:color w:val="auto"/>
              </w:rPr>
            </w:pPr>
            <w:r>
              <w:rPr>
                <w:rFonts w:ascii="Arial" w:cs="Arial" w:eastAsia="Arial" w:hAnsi="Arial"/>
                <w:sz w:val="18"/>
                <w:szCs w:val="18"/>
                <w:color w:val="auto"/>
                <w:w w:val="99"/>
              </w:rPr>
              <w:t>Balance, October 31, 2021</w:t>
            </w: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w w:val="99"/>
              </w:rPr>
              <w:t>52,499,051</w:t>
            </w:r>
          </w:p>
        </w:tc>
        <w:tc>
          <w:tcPr>
            <w:tcW w:w="80" w:type="dxa"/>
            <w:vAlign w:val="bottom"/>
          </w:tcPr>
          <w:p>
            <w:pPr>
              <w:spacing w:after="0"/>
              <w:rPr>
                <w:sz w:val="21"/>
                <w:szCs w:val="21"/>
                <w:color w:val="auto"/>
              </w:rPr>
            </w:pPr>
          </w:p>
        </w:tc>
        <w:tc>
          <w:tcPr>
            <w:tcW w:w="24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1"/>
                <w:szCs w:val="21"/>
                <w:color w:val="auto"/>
              </w:rPr>
            </w:pPr>
          </w:p>
        </w:tc>
        <w:tc>
          <w:tcPr>
            <w:tcW w:w="920" w:type="dxa"/>
            <w:vAlign w:val="bottom"/>
            <w:gridSpan w:val="6"/>
          </w:tcPr>
          <w:p>
            <w:pPr>
              <w:jc w:val="right"/>
              <w:ind w:right="80"/>
              <w:spacing w:after="0"/>
              <w:rPr>
                <w:sz w:val="20"/>
                <w:szCs w:val="20"/>
                <w:color w:val="auto"/>
              </w:rPr>
            </w:pPr>
            <w:r>
              <w:rPr>
                <w:rFonts w:ascii="Arial" w:cs="Arial" w:eastAsia="Arial" w:hAnsi="Arial"/>
                <w:sz w:val="18"/>
                <w:szCs w:val="18"/>
                <w:color w:val="auto"/>
              </w:rPr>
              <w:t>(21,040)</w:t>
            </w:r>
          </w:p>
        </w:tc>
        <w:tc>
          <w:tcPr>
            <w:tcW w:w="30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316,389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(243,191)</w:t>
            </w:r>
          </w:p>
        </w:tc>
        <w:tc>
          <w:tcPr>
            <w:tcW w:w="60" w:type="dxa"/>
            <w:vAlign w:val="bottom"/>
          </w:tcPr>
          <w:p>
            <w:pPr>
              <w:spacing w:after="0"/>
              <w:rPr>
                <w:sz w:val="21"/>
                <w:szCs w:val="21"/>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60" w:type="dxa"/>
            <w:vAlign w:val="bottom"/>
            <w:gridSpan w:val="4"/>
          </w:tcPr>
          <w:p>
            <w:pPr>
              <w:jc w:val="right"/>
              <w:ind w:right="21"/>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72,773</w:t>
            </w:r>
          </w:p>
        </w:tc>
        <w:tc>
          <w:tcPr>
            <w:tcW w:w="20" w:type="dxa"/>
            <w:vAlign w:val="bottom"/>
          </w:tcPr>
          <w:p>
            <w:pPr>
              <w:spacing w:after="0"/>
              <w:rPr>
                <w:sz w:val="21"/>
                <w:szCs w:val="21"/>
                <w:color w:val="auto"/>
              </w:rPr>
            </w:pPr>
          </w:p>
        </w:tc>
      </w:tr>
      <w:tr>
        <w:trPr>
          <w:trHeight w:val="20"/>
        </w:trPr>
        <w:tc>
          <w:tcPr>
            <w:tcW w:w="2160" w:type="dxa"/>
            <w:vAlign w:val="bottom"/>
            <w:gridSpan w:val="4"/>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6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8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98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20" w:type="dxa"/>
            <w:vAlign w:val="bottom"/>
            <w:tcBorders>
              <w:top w:val="single" w:sz="8" w:color="auto"/>
              <w:bottom w:val="single" w:sz="8" w:color="auto"/>
            </w:tcBorders>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26"/>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3"/>
          </w:tcPr>
          <w:p>
            <w:pPr>
              <w:ind w:left="20"/>
              <w:spacing w:after="0"/>
              <w:rPr>
                <w:sz w:val="20"/>
                <w:szCs w:val="20"/>
                <w:color w:val="auto"/>
              </w:rPr>
            </w:pPr>
            <w:r>
              <w:rPr>
                <w:rFonts w:ascii="Arial" w:cs="Arial" w:eastAsia="Arial" w:hAnsi="Arial"/>
                <w:sz w:val="18"/>
                <w:szCs w:val="18"/>
                <w:color w:val="auto"/>
              </w:rPr>
              <w:t>Six Months Ended October 31, 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11260" w:type="dxa"/>
            <w:vAlign w:val="bottom"/>
            <w:gridSpan w:val="66"/>
          </w:tcPr>
          <w:p>
            <w:pPr>
              <w:spacing w:after="0"/>
              <w:rPr>
                <w:sz w:val="20"/>
                <w:szCs w:val="20"/>
                <w:color w:val="auto"/>
              </w:rPr>
            </w:pPr>
            <w:r>
              <w:rPr>
                <w:rFonts w:ascii="Arial" w:cs="Arial" w:eastAsia="Arial" w:hAnsi="Arial"/>
                <w:sz w:val="18"/>
                <w:szCs w:val="18"/>
                <w:b w:val="1"/>
                <w:bCs w:val="1"/>
                <w:color w:val="auto"/>
              </w:rPr>
              <w:t>Accumulated</w:t>
            </w:r>
          </w:p>
        </w:tc>
      </w:tr>
      <w:tr>
        <w:trPr>
          <w:trHeight w:val="216"/>
        </w:trPr>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Common Shares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13"/>
          </w:tcPr>
          <w:p>
            <w:pPr>
              <w:jc w:val="right"/>
              <w:ind w:right="460"/>
              <w:spacing w:after="0"/>
              <w:rPr>
                <w:sz w:val="20"/>
                <w:szCs w:val="20"/>
                <w:color w:val="auto"/>
              </w:rPr>
            </w:pPr>
            <w:r>
              <w:rPr>
                <w:rFonts w:ascii="Arial" w:cs="Arial" w:eastAsia="Arial" w:hAnsi="Arial"/>
                <w:sz w:val="18"/>
                <w:szCs w:val="18"/>
                <w:b w:val="1"/>
                <w:bCs w:val="1"/>
                <w:color w:val="auto"/>
                <w:w w:val="90"/>
              </w:rPr>
              <w:t>Treasury Shares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6"/>
              </w:rPr>
              <w:t>Paid-In</w:t>
            </w:r>
          </w:p>
        </w:tc>
        <w:tc>
          <w:tcPr>
            <w:tcW w:w="1320" w:type="dxa"/>
            <w:vAlign w:val="bottom"/>
            <w:gridSpan w:val="10"/>
          </w:tcPr>
          <w:p>
            <w:pPr>
              <w:ind w:left="20"/>
              <w:spacing w:after="0"/>
              <w:rPr>
                <w:sz w:val="20"/>
                <w:szCs w:val="20"/>
                <w:color w:val="auto"/>
              </w:rPr>
            </w:pPr>
            <w:r>
              <w:rPr>
                <w:rFonts w:ascii="Arial" w:cs="Arial" w:eastAsia="Arial" w:hAnsi="Arial"/>
                <w:sz w:val="18"/>
                <w:szCs w:val="18"/>
                <w:b w:val="1"/>
                <w:bCs w:val="1"/>
                <w:color w:val="auto"/>
              </w:rPr>
              <w:t>Accumulated</w:t>
            </w:r>
          </w:p>
        </w:tc>
        <w:tc>
          <w:tcPr>
            <w:tcW w:w="1500" w:type="dxa"/>
            <w:vAlign w:val="bottom"/>
            <w:gridSpan w:val="9"/>
          </w:tcPr>
          <w:p>
            <w:pPr>
              <w:spacing w:after="0"/>
              <w:rPr>
                <w:sz w:val="20"/>
                <w:szCs w:val="20"/>
                <w:color w:val="auto"/>
              </w:rPr>
            </w:pPr>
            <w:r>
              <w:rPr>
                <w:rFonts w:ascii="Arial" w:cs="Arial" w:eastAsia="Arial" w:hAnsi="Arial"/>
                <w:sz w:val="18"/>
                <w:szCs w:val="18"/>
                <w:b w:val="1"/>
                <w:bCs w:val="1"/>
                <w:color w:val="auto"/>
              </w:rPr>
              <w:t>Comprehensive</w:t>
            </w:r>
          </w:p>
        </w:tc>
        <w:tc>
          <w:tcPr>
            <w:tcW w:w="12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Shareholders’</w:t>
            </w:r>
          </w:p>
        </w:tc>
      </w:tr>
      <w:tr>
        <w:trPr>
          <w:trHeight w:val="223"/>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5"/>
          </w:tcPr>
          <w:p>
            <w:pPr>
              <w:jc w:val="right"/>
              <w:ind w:right="480"/>
              <w:spacing w:after="0"/>
              <w:rPr>
                <w:sz w:val="20"/>
                <w:szCs w:val="20"/>
                <w:color w:val="auto"/>
              </w:rPr>
            </w:pPr>
            <w:r>
              <w:rPr>
                <w:rFonts w:ascii="Arial" w:cs="Arial" w:eastAsia="Arial" w:hAnsi="Arial"/>
                <w:sz w:val="18"/>
                <w:szCs w:val="18"/>
                <w:color w:val="auto"/>
                <w:w w:val="87"/>
              </w:rPr>
              <w:t>Shares</w:t>
            </w:r>
          </w:p>
        </w:tc>
        <w:tc>
          <w:tcPr>
            <w:tcW w:w="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0"/>
              </w:rPr>
              <w:t>Amount</w:t>
            </w:r>
          </w:p>
        </w:tc>
        <w:tc>
          <w:tcPr>
            <w:tcW w:w="22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5"/>
          </w:tcPr>
          <w:p>
            <w:pPr>
              <w:jc w:val="right"/>
              <w:ind w:right="360"/>
              <w:spacing w:after="0"/>
              <w:rPr>
                <w:sz w:val="20"/>
                <w:szCs w:val="20"/>
                <w:color w:val="auto"/>
              </w:rPr>
            </w:pPr>
            <w:r>
              <w:rPr>
                <w:rFonts w:ascii="Arial" w:cs="Arial" w:eastAsia="Arial" w:hAnsi="Arial"/>
                <w:sz w:val="18"/>
                <w:szCs w:val="18"/>
                <w:color w:val="auto"/>
                <w:w w:val="80"/>
              </w:rPr>
              <w:t>Shares</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93"/>
              </w:rPr>
              <w:t>Amount</w:t>
            </w: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5"/>
          </w:tcPr>
          <w:p>
            <w:pPr>
              <w:jc w:val="center"/>
              <w:ind w:right="440"/>
              <w:spacing w:after="0"/>
              <w:rPr>
                <w:sz w:val="20"/>
                <w:szCs w:val="20"/>
                <w:color w:val="auto"/>
              </w:rPr>
            </w:pPr>
            <w:r>
              <w:rPr>
                <w:rFonts w:ascii="Arial" w:cs="Arial" w:eastAsia="Arial" w:hAnsi="Arial"/>
                <w:sz w:val="18"/>
                <w:szCs w:val="18"/>
                <w:color w:val="auto"/>
                <w:w w:val="92"/>
              </w:rPr>
              <w:t>Capital</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6"/>
          </w:tcPr>
          <w:p>
            <w:pPr>
              <w:jc w:val="right"/>
              <w:ind w:right="461"/>
              <w:spacing w:after="0"/>
              <w:rPr>
                <w:sz w:val="20"/>
                <w:szCs w:val="20"/>
                <w:color w:val="auto"/>
              </w:rPr>
            </w:pPr>
            <w:r>
              <w:rPr>
                <w:rFonts w:ascii="Arial" w:cs="Arial" w:eastAsia="Arial" w:hAnsi="Arial"/>
                <w:sz w:val="18"/>
                <w:szCs w:val="18"/>
                <w:color w:val="auto"/>
              </w:rPr>
              <w:t>Deficit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tcPr>
          <w:p>
            <w:pPr>
              <w:jc w:val="center"/>
              <w:ind w:right="64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Equity</w:t>
            </w:r>
          </w:p>
        </w:tc>
      </w:tr>
      <w:tr>
        <w:trPr>
          <w:trHeight w:val="210"/>
        </w:trPr>
        <w:tc>
          <w:tcPr>
            <w:tcW w:w="2120" w:type="dxa"/>
            <w:vAlign w:val="bottom"/>
            <w:gridSpan w:val="3"/>
          </w:tcPr>
          <w:p>
            <w:pPr>
              <w:spacing w:after="0"/>
              <w:rPr>
                <w:sz w:val="18"/>
                <w:szCs w:val="18"/>
                <w:color w:val="auto"/>
              </w:rPr>
            </w:pPr>
          </w:p>
        </w:tc>
        <w:tc>
          <w:tcPr>
            <w:tcW w:w="900" w:type="dxa"/>
            <w:vAlign w:val="bottom"/>
            <w:tcBorders>
              <w:top w:val="single" w:sz="8" w:color="auto"/>
            </w:tcBorders>
            <w:gridSpan w:val="4"/>
          </w:tcPr>
          <w:p>
            <w:pPr>
              <w:spacing w:after="0"/>
              <w:rPr>
                <w:sz w:val="18"/>
                <w:szCs w:val="18"/>
                <w:color w:val="auto"/>
              </w:rPr>
            </w:pPr>
          </w:p>
        </w:tc>
        <w:tc>
          <w:tcPr>
            <w:tcW w:w="260" w:type="dxa"/>
            <w:vAlign w:val="bottom"/>
            <w:gridSpan w:val="3"/>
          </w:tcPr>
          <w:p>
            <w:pPr>
              <w:spacing w:after="0"/>
              <w:rPr>
                <w:sz w:val="18"/>
                <w:szCs w:val="18"/>
                <w:color w:val="auto"/>
              </w:rPr>
            </w:pPr>
          </w:p>
        </w:tc>
        <w:tc>
          <w:tcPr>
            <w:tcW w:w="660" w:type="dxa"/>
            <w:vAlign w:val="bottom"/>
            <w:tcBorders>
              <w:top w:val="single" w:sz="8" w:color="auto"/>
            </w:tcBorders>
            <w:gridSpan w:val="5"/>
          </w:tcPr>
          <w:p>
            <w:pPr>
              <w:spacing w:after="0"/>
              <w:rPr>
                <w:sz w:val="18"/>
                <w:szCs w:val="18"/>
                <w:color w:val="auto"/>
              </w:rPr>
            </w:pPr>
          </w:p>
        </w:tc>
        <w:tc>
          <w:tcPr>
            <w:tcW w:w="260" w:type="dxa"/>
            <w:vAlign w:val="bottom"/>
            <w:gridSpan w:val="3"/>
          </w:tcPr>
          <w:p>
            <w:pPr>
              <w:spacing w:after="0"/>
              <w:rPr>
                <w:sz w:val="18"/>
                <w:szCs w:val="18"/>
                <w:color w:val="auto"/>
              </w:rPr>
            </w:pPr>
          </w:p>
        </w:tc>
        <w:tc>
          <w:tcPr>
            <w:tcW w:w="640" w:type="dxa"/>
            <w:vAlign w:val="bottom"/>
            <w:tcBorders>
              <w:top w:val="single" w:sz="8" w:color="auto"/>
            </w:tcBorders>
            <w:gridSpan w:val="4"/>
          </w:tcPr>
          <w:p>
            <w:pPr>
              <w:spacing w:after="0"/>
              <w:rPr>
                <w:sz w:val="18"/>
                <w:szCs w:val="18"/>
                <w:color w:val="auto"/>
              </w:rPr>
            </w:pPr>
          </w:p>
        </w:tc>
        <w:tc>
          <w:tcPr>
            <w:tcW w:w="300" w:type="dxa"/>
            <w:vAlign w:val="bottom"/>
            <w:gridSpan w:val="3"/>
          </w:tcPr>
          <w:p>
            <w:pPr>
              <w:spacing w:after="0"/>
              <w:rPr>
                <w:sz w:val="18"/>
                <w:szCs w:val="18"/>
                <w:color w:val="auto"/>
              </w:rPr>
            </w:pPr>
          </w:p>
        </w:tc>
        <w:tc>
          <w:tcPr>
            <w:tcW w:w="640" w:type="dxa"/>
            <w:vAlign w:val="bottom"/>
            <w:tcBorders>
              <w:top w:val="single" w:sz="8" w:color="auto"/>
            </w:tcBorders>
            <w:gridSpan w:val="6"/>
          </w:tcPr>
          <w:p>
            <w:pPr>
              <w:spacing w:after="0"/>
              <w:rPr>
                <w:sz w:val="18"/>
                <w:szCs w:val="18"/>
                <w:color w:val="auto"/>
              </w:rPr>
            </w:pPr>
          </w:p>
        </w:tc>
        <w:tc>
          <w:tcPr>
            <w:tcW w:w="300" w:type="dxa"/>
            <w:vAlign w:val="bottom"/>
            <w:gridSpan w:val="2"/>
          </w:tcPr>
          <w:p>
            <w:pPr>
              <w:spacing w:after="0"/>
              <w:rPr>
                <w:sz w:val="18"/>
                <w:szCs w:val="18"/>
                <w:color w:val="auto"/>
              </w:rPr>
            </w:pPr>
          </w:p>
        </w:tc>
        <w:tc>
          <w:tcPr>
            <w:tcW w:w="880" w:type="dxa"/>
            <w:vAlign w:val="bottom"/>
            <w:tcBorders>
              <w:top w:val="single" w:sz="8" w:color="auto"/>
            </w:tcBorders>
            <w:gridSpan w:val="6"/>
          </w:tcPr>
          <w:p>
            <w:pPr>
              <w:spacing w:after="0"/>
              <w:rPr>
                <w:sz w:val="18"/>
                <w:szCs w:val="18"/>
                <w:color w:val="auto"/>
              </w:rPr>
            </w:pPr>
          </w:p>
        </w:tc>
        <w:tc>
          <w:tcPr>
            <w:tcW w:w="300" w:type="dxa"/>
            <w:vAlign w:val="bottom"/>
            <w:gridSpan w:val="3"/>
          </w:tcPr>
          <w:p>
            <w:pPr>
              <w:spacing w:after="0"/>
              <w:rPr>
                <w:sz w:val="18"/>
                <w:szCs w:val="18"/>
                <w:color w:val="auto"/>
              </w:rPr>
            </w:pPr>
          </w:p>
        </w:tc>
        <w:tc>
          <w:tcPr>
            <w:tcW w:w="1000" w:type="dxa"/>
            <w:vAlign w:val="bottom"/>
            <w:tcBorders>
              <w:top w:val="single" w:sz="8" w:color="auto"/>
            </w:tcBorders>
            <w:gridSpan w:val="6"/>
          </w:tcPr>
          <w:p>
            <w:pPr>
              <w:spacing w:after="0"/>
              <w:rPr>
                <w:sz w:val="18"/>
                <w:szCs w:val="18"/>
                <w:color w:val="auto"/>
              </w:rPr>
            </w:pPr>
          </w:p>
        </w:tc>
        <w:tc>
          <w:tcPr>
            <w:tcW w:w="300" w:type="dxa"/>
            <w:vAlign w:val="bottom"/>
            <w:gridSpan w:val="3"/>
          </w:tcPr>
          <w:p>
            <w:pPr>
              <w:spacing w:after="0"/>
              <w:rPr>
                <w:sz w:val="18"/>
                <w:szCs w:val="18"/>
                <w:color w:val="auto"/>
              </w:rPr>
            </w:pPr>
          </w:p>
        </w:tc>
        <w:tc>
          <w:tcPr>
            <w:tcW w:w="1200" w:type="dxa"/>
            <w:vAlign w:val="bottom"/>
            <w:tcBorders>
              <w:top w:val="single" w:sz="8" w:color="auto"/>
            </w:tcBorders>
            <w:gridSpan w:val="5"/>
          </w:tcPr>
          <w:p>
            <w:pPr>
              <w:spacing w:after="0"/>
              <w:rPr>
                <w:sz w:val="18"/>
                <w:szCs w:val="18"/>
                <w:color w:val="auto"/>
              </w:rPr>
            </w:pPr>
          </w:p>
        </w:tc>
        <w:tc>
          <w:tcPr>
            <w:tcW w:w="300" w:type="dxa"/>
            <w:vAlign w:val="bottom"/>
            <w:gridSpan w:val="4"/>
          </w:tcPr>
          <w:p>
            <w:pPr>
              <w:spacing w:after="0"/>
              <w:rPr>
                <w:sz w:val="18"/>
                <w:szCs w:val="18"/>
                <w:color w:val="auto"/>
              </w:rPr>
            </w:pPr>
          </w:p>
        </w:tc>
        <w:tc>
          <w:tcPr>
            <w:tcW w:w="1080" w:type="dxa"/>
            <w:vAlign w:val="bottom"/>
            <w:tcBorders>
              <w:top w:val="single" w:sz="8" w:color="auto"/>
            </w:tcBorders>
            <w:gridSpan w:val="4"/>
          </w:tcPr>
          <w:p>
            <w:pPr>
              <w:spacing w:after="0"/>
              <w:rPr>
                <w:sz w:val="18"/>
                <w:szCs w:val="18"/>
                <w:color w:val="auto"/>
              </w:rPr>
            </w:pPr>
          </w:p>
        </w:tc>
        <w:tc>
          <w:tcPr>
            <w:tcW w:w="120" w:type="dxa"/>
            <w:vAlign w:val="bottom"/>
            <w:gridSpan w:val="2"/>
          </w:tcPr>
          <w:p>
            <w:pPr>
              <w:spacing w:after="0"/>
              <w:rPr>
                <w:sz w:val="18"/>
                <w:szCs w:val="18"/>
                <w:color w:val="auto"/>
              </w:rPr>
            </w:pPr>
          </w:p>
        </w:tc>
      </w:tr>
      <w:tr>
        <w:trPr>
          <w:trHeight w:val="216"/>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Balances at May 1, 2020</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3"/>
              </w:rPr>
              <w:t>12,939,420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4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(302)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231,101</w:t>
            </w:r>
          </w:p>
        </w:tc>
        <w:tc>
          <w:tcPr>
            <w:tcW w:w="1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(220,136)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w:t>
            </w:r>
          </w:p>
        </w:tc>
        <w:tc>
          <w:tcPr>
            <w:tcW w:w="20" w:type="dxa"/>
            <w:vAlign w:val="bottom"/>
          </w:tcPr>
          <w:p>
            <w:pPr>
              <w:spacing w:after="0"/>
              <w:rPr>
                <w:sz w:val="18"/>
                <w:szCs w:val="18"/>
                <w:color w:val="auto"/>
              </w:rPr>
            </w:pPr>
          </w:p>
        </w:tc>
      </w:tr>
      <w:tr>
        <w:trPr>
          <w:trHeight w:val="216"/>
        </w:trPr>
        <w:tc>
          <w:tcPr>
            <w:tcW w:w="216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(6,409)</w:t>
            </w:r>
          </w:p>
        </w:tc>
        <w:tc>
          <w:tcPr>
            <w:tcW w:w="20" w:type="dxa"/>
            <w:vAlign w:val="bottom"/>
          </w:tcPr>
          <w:p>
            <w:pPr>
              <w:spacing w:after="0"/>
              <w:rPr>
                <w:sz w:val="18"/>
                <w:szCs w:val="18"/>
                <w:color w:val="auto"/>
              </w:rPr>
            </w:pPr>
          </w:p>
        </w:tc>
      </w:tr>
      <w:tr>
        <w:trPr>
          <w:trHeight w:val="216"/>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Share-based compensation</w:t>
            </w:r>
          </w:p>
        </w:tc>
        <w:tc>
          <w:tcPr>
            <w:tcW w:w="1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r>
      <w:tr>
        <w:trPr>
          <w:trHeight w:val="202"/>
        </w:trPr>
        <w:tc>
          <w:tcPr>
            <w:tcW w:w="11260" w:type="dxa"/>
            <w:vAlign w:val="bottom"/>
            <w:gridSpan w:val="66"/>
          </w:tcPr>
          <w:p>
            <w:pPr>
              <w:spacing w:after="0" w:line="201" w:lineRule="exact"/>
              <w:rPr>
                <w:sz w:val="20"/>
                <w:szCs w:val="20"/>
                <w:color w:val="auto"/>
              </w:rPr>
            </w:pPr>
            <w:r>
              <w:rPr>
                <w:rFonts w:ascii="Arial" w:cs="Arial" w:eastAsia="Arial" w:hAnsi="Arial"/>
                <w:sz w:val="18"/>
                <w:szCs w:val="18"/>
                <w:color w:val="auto"/>
              </w:rPr>
              <w:t>Issuance of common</w:t>
            </w:r>
          </w:p>
        </w:tc>
      </w:tr>
      <w:tr>
        <w:trPr>
          <w:trHeight w:val="216"/>
        </w:trPr>
        <w:tc>
          <w:tcPr>
            <w:tcW w:w="11260" w:type="dxa"/>
            <w:vAlign w:val="bottom"/>
            <w:gridSpan w:val="66"/>
          </w:tcPr>
          <w:p>
            <w:pPr>
              <w:spacing w:after="0"/>
              <w:rPr>
                <w:sz w:val="20"/>
                <w:szCs w:val="20"/>
                <w:color w:val="auto"/>
              </w:rPr>
            </w:pPr>
            <w:r>
              <w:rPr>
                <w:rFonts w:ascii="Arial" w:cs="Arial" w:eastAsia="Arial" w:hAnsi="Arial"/>
                <w:sz w:val="18"/>
                <w:szCs w:val="18"/>
                <w:color w:val="auto"/>
              </w:rPr>
              <w:t>stock- Aspire financing,</w:t>
            </w: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net of issuance costs</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5,525,000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3,236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2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20"/>
                <w:szCs w:val="20"/>
                <w:color w:val="auto"/>
              </w:rPr>
            </w:pPr>
          </w:p>
        </w:tc>
      </w:tr>
      <w:tr>
        <w:trPr>
          <w:trHeight w:val="202"/>
        </w:trPr>
        <w:tc>
          <w:tcPr>
            <w:tcW w:w="11260" w:type="dxa"/>
            <w:vAlign w:val="bottom"/>
            <w:gridSpan w:val="66"/>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r>
      <w:tr>
        <w:trPr>
          <w:trHeight w:val="216"/>
        </w:trPr>
        <w:tc>
          <w:tcPr>
            <w:tcW w:w="11260" w:type="dxa"/>
            <w:vAlign w:val="bottom"/>
            <w:gridSpan w:val="66"/>
            <w:shd w:val="clear" w:color="auto" w:fill="CCEEFF"/>
          </w:tcPr>
          <w:p>
            <w:pPr>
              <w:spacing w:after="0"/>
              <w:rPr>
                <w:sz w:val="20"/>
                <w:szCs w:val="20"/>
                <w:color w:val="auto"/>
              </w:rPr>
            </w:pPr>
            <w:r>
              <w:rPr>
                <w:rFonts w:ascii="Arial" w:cs="Arial" w:eastAsia="Arial" w:hAnsi="Arial"/>
                <w:sz w:val="18"/>
                <w:szCs w:val="18"/>
                <w:color w:val="auto"/>
              </w:rPr>
              <w:t>stock- AGP At The</w:t>
            </w:r>
          </w:p>
        </w:tc>
      </w:tr>
      <w:tr>
        <w:trPr>
          <w:trHeight w:val="216"/>
        </w:trPr>
        <w:tc>
          <w:tcPr>
            <w:tcW w:w="11260" w:type="dxa"/>
            <w:vAlign w:val="bottom"/>
            <w:gridSpan w:val="66"/>
            <w:shd w:val="clear" w:color="auto" w:fill="CCEEFF"/>
          </w:tcPr>
          <w:p>
            <w:pPr>
              <w:spacing w:after="0"/>
              <w:rPr>
                <w:sz w:val="20"/>
                <w:szCs w:val="20"/>
                <w:color w:val="auto"/>
              </w:rPr>
            </w:pPr>
            <w:r>
              <w:rPr>
                <w:rFonts w:ascii="Arial" w:cs="Arial" w:eastAsia="Arial" w:hAnsi="Arial"/>
                <w:sz w:val="18"/>
                <w:szCs w:val="18"/>
                <w:color w:val="auto"/>
              </w:rPr>
              <w:t>Market offering, net of</w:t>
            </w:r>
          </w:p>
        </w:tc>
      </w:tr>
      <w:tr>
        <w:trPr>
          <w:trHeight w:val="230"/>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costs</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5,689,134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3"/>
              </w:rPr>
              <w:t>6,088</w:t>
            </w:r>
          </w:p>
        </w:tc>
        <w:tc>
          <w:tcPr>
            <w:tcW w:w="120" w:type="dxa"/>
            <w:vAlign w:val="bottom"/>
            <w:shd w:val="clear" w:color="auto" w:fill="CCEEFF"/>
          </w:tcPr>
          <w:p>
            <w:pPr>
              <w:spacing w:after="0"/>
              <w:rPr>
                <w:sz w:val="20"/>
                <w:szCs w:val="20"/>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6,094</w:t>
            </w:r>
          </w:p>
        </w:tc>
        <w:tc>
          <w:tcPr>
            <w:tcW w:w="20" w:type="dxa"/>
            <w:vAlign w:val="bottom"/>
          </w:tcPr>
          <w:p>
            <w:pPr>
              <w:spacing w:after="0"/>
              <w:rPr>
                <w:sz w:val="20"/>
                <w:szCs w:val="20"/>
                <w:color w:val="auto"/>
              </w:rPr>
            </w:pP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Other comprehensive gain</w:t>
            </w:r>
          </w:p>
        </w:tc>
        <w:tc>
          <w:tcPr>
            <w:tcW w:w="120" w:type="dxa"/>
            <w:vAlign w:val="bottom"/>
          </w:tcPr>
          <w:p>
            <w:pPr>
              <w:spacing w:after="0"/>
              <w:rPr>
                <w:sz w:val="19"/>
                <w:szCs w:val="19"/>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tcPr>
          <w:p>
            <w:pPr>
              <w:jc w:val="right"/>
              <w:ind w:right="2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182"/>
        </w:trPr>
        <w:tc>
          <w:tcPr>
            <w:tcW w:w="21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Balances at October 31,</w:t>
            </w:r>
          </w:p>
        </w:tc>
        <w:tc>
          <w:tcPr>
            <w:tcW w:w="900" w:type="dxa"/>
            <w:vAlign w:val="bottom"/>
            <w:tcBorders>
              <w:top w:val="single" w:sz="8" w:color="auto"/>
            </w:tcBorders>
            <w:gridSpan w:val="4"/>
            <w:shd w:val="clear" w:color="auto" w:fill="CCEEFF"/>
          </w:tcPr>
          <w:p>
            <w:pPr>
              <w:spacing w:after="0"/>
              <w:rPr>
                <w:sz w:val="15"/>
                <w:szCs w:val="15"/>
                <w:color w:val="auto"/>
              </w:rPr>
            </w:pPr>
          </w:p>
        </w:tc>
        <w:tc>
          <w:tcPr>
            <w:tcW w:w="260" w:type="dxa"/>
            <w:vAlign w:val="bottom"/>
            <w:tcBorders>
              <w:top w:val="single" w:sz="8" w:color="CCEEFF"/>
            </w:tcBorders>
            <w:gridSpan w:val="3"/>
            <w:shd w:val="clear" w:color="auto" w:fill="CCEEFF"/>
          </w:tcPr>
          <w:p>
            <w:pPr>
              <w:spacing w:after="0"/>
              <w:rPr>
                <w:sz w:val="15"/>
                <w:szCs w:val="15"/>
                <w:color w:val="auto"/>
              </w:rPr>
            </w:pPr>
          </w:p>
        </w:tc>
        <w:tc>
          <w:tcPr>
            <w:tcW w:w="660" w:type="dxa"/>
            <w:vAlign w:val="bottom"/>
            <w:tcBorders>
              <w:top w:val="single" w:sz="8" w:color="auto"/>
            </w:tcBorders>
            <w:gridSpan w:val="5"/>
            <w:shd w:val="clear" w:color="auto" w:fill="CCEEFF"/>
          </w:tcPr>
          <w:p>
            <w:pPr>
              <w:spacing w:after="0"/>
              <w:rPr>
                <w:sz w:val="15"/>
                <w:szCs w:val="15"/>
                <w:color w:val="auto"/>
              </w:rPr>
            </w:pPr>
          </w:p>
        </w:tc>
        <w:tc>
          <w:tcPr>
            <w:tcW w:w="260" w:type="dxa"/>
            <w:vAlign w:val="bottom"/>
            <w:tcBorders>
              <w:top w:val="single" w:sz="8" w:color="CCEEFF"/>
            </w:tcBorders>
            <w:gridSpan w:val="3"/>
            <w:shd w:val="clear" w:color="auto" w:fill="CCEEFF"/>
          </w:tcPr>
          <w:p>
            <w:pPr>
              <w:spacing w:after="0"/>
              <w:rPr>
                <w:sz w:val="15"/>
                <w:szCs w:val="15"/>
                <w:color w:val="auto"/>
              </w:rPr>
            </w:pPr>
          </w:p>
        </w:tc>
        <w:tc>
          <w:tcPr>
            <w:tcW w:w="640" w:type="dxa"/>
            <w:vAlign w:val="bottom"/>
            <w:tcBorders>
              <w:top w:val="single" w:sz="8" w:color="auto"/>
            </w:tcBorders>
            <w:gridSpan w:val="4"/>
            <w:shd w:val="clear" w:color="auto" w:fill="CCEEFF"/>
          </w:tcPr>
          <w:p>
            <w:pPr>
              <w:spacing w:after="0"/>
              <w:rPr>
                <w:sz w:val="15"/>
                <w:szCs w:val="15"/>
                <w:color w:val="auto"/>
              </w:rPr>
            </w:pPr>
          </w:p>
        </w:tc>
        <w:tc>
          <w:tcPr>
            <w:tcW w:w="300" w:type="dxa"/>
            <w:vAlign w:val="bottom"/>
            <w:tcBorders>
              <w:top w:val="single" w:sz="8" w:color="CCEEFF"/>
            </w:tcBorders>
            <w:gridSpan w:val="3"/>
            <w:shd w:val="clear" w:color="auto" w:fill="CCEEFF"/>
          </w:tcPr>
          <w:p>
            <w:pPr>
              <w:spacing w:after="0"/>
              <w:rPr>
                <w:sz w:val="15"/>
                <w:szCs w:val="15"/>
                <w:color w:val="auto"/>
              </w:rPr>
            </w:pPr>
          </w:p>
        </w:tc>
        <w:tc>
          <w:tcPr>
            <w:tcW w:w="640" w:type="dxa"/>
            <w:vAlign w:val="bottom"/>
            <w:tcBorders>
              <w:top w:val="single" w:sz="8" w:color="auto"/>
            </w:tcBorders>
            <w:gridSpan w:val="6"/>
            <w:shd w:val="clear" w:color="auto" w:fill="CCEEFF"/>
          </w:tcPr>
          <w:p>
            <w:pPr>
              <w:spacing w:after="0"/>
              <w:rPr>
                <w:sz w:val="15"/>
                <w:szCs w:val="15"/>
                <w:color w:val="auto"/>
              </w:rPr>
            </w:pPr>
          </w:p>
        </w:tc>
        <w:tc>
          <w:tcPr>
            <w:tcW w:w="300" w:type="dxa"/>
            <w:vAlign w:val="bottom"/>
            <w:tcBorders>
              <w:top w:val="single" w:sz="8" w:color="CCEEFF"/>
            </w:tcBorders>
            <w:gridSpan w:val="2"/>
            <w:shd w:val="clear" w:color="auto" w:fill="CCEEFF"/>
          </w:tcPr>
          <w:p>
            <w:pPr>
              <w:spacing w:after="0"/>
              <w:rPr>
                <w:sz w:val="15"/>
                <w:szCs w:val="15"/>
                <w:color w:val="auto"/>
              </w:rPr>
            </w:pPr>
          </w:p>
        </w:tc>
        <w:tc>
          <w:tcPr>
            <w:tcW w:w="880" w:type="dxa"/>
            <w:vAlign w:val="bottom"/>
            <w:tcBorders>
              <w:top w:val="single" w:sz="8" w:color="auto"/>
            </w:tcBorders>
            <w:gridSpan w:val="6"/>
            <w:shd w:val="clear" w:color="auto" w:fill="CCEEFF"/>
          </w:tcPr>
          <w:p>
            <w:pPr>
              <w:spacing w:after="0"/>
              <w:rPr>
                <w:sz w:val="15"/>
                <w:szCs w:val="15"/>
                <w:color w:val="auto"/>
              </w:rPr>
            </w:pPr>
          </w:p>
        </w:tc>
        <w:tc>
          <w:tcPr>
            <w:tcW w:w="300" w:type="dxa"/>
            <w:vAlign w:val="bottom"/>
            <w:tcBorders>
              <w:top w:val="single" w:sz="8" w:color="CCEEFF"/>
            </w:tcBorders>
            <w:gridSpan w:val="3"/>
            <w:shd w:val="clear" w:color="auto" w:fill="CCEEFF"/>
          </w:tcPr>
          <w:p>
            <w:pPr>
              <w:spacing w:after="0"/>
              <w:rPr>
                <w:sz w:val="15"/>
                <w:szCs w:val="15"/>
                <w:color w:val="auto"/>
              </w:rPr>
            </w:pPr>
          </w:p>
        </w:tc>
        <w:tc>
          <w:tcPr>
            <w:tcW w:w="1000" w:type="dxa"/>
            <w:vAlign w:val="bottom"/>
            <w:tcBorders>
              <w:top w:val="single" w:sz="8" w:color="auto"/>
            </w:tcBorders>
            <w:gridSpan w:val="6"/>
            <w:shd w:val="clear" w:color="auto" w:fill="CCEEFF"/>
          </w:tcPr>
          <w:p>
            <w:pPr>
              <w:spacing w:after="0"/>
              <w:rPr>
                <w:sz w:val="15"/>
                <w:szCs w:val="15"/>
                <w:color w:val="auto"/>
              </w:rPr>
            </w:pPr>
          </w:p>
        </w:tc>
        <w:tc>
          <w:tcPr>
            <w:tcW w:w="300" w:type="dxa"/>
            <w:vAlign w:val="bottom"/>
            <w:tcBorders>
              <w:top w:val="single" w:sz="8" w:color="CCEEFF"/>
            </w:tcBorders>
            <w:gridSpan w:val="3"/>
            <w:shd w:val="clear" w:color="auto" w:fill="CCEEFF"/>
          </w:tcPr>
          <w:p>
            <w:pPr>
              <w:spacing w:after="0"/>
              <w:rPr>
                <w:sz w:val="15"/>
                <w:szCs w:val="15"/>
                <w:color w:val="auto"/>
              </w:rPr>
            </w:pPr>
          </w:p>
        </w:tc>
        <w:tc>
          <w:tcPr>
            <w:tcW w:w="1200" w:type="dxa"/>
            <w:vAlign w:val="bottom"/>
            <w:tcBorders>
              <w:top w:val="single" w:sz="8" w:color="auto"/>
            </w:tcBorders>
            <w:gridSpan w:val="5"/>
            <w:shd w:val="clear" w:color="auto" w:fill="CCEEFF"/>
          </w:tcPr>
          <w:p>
            <w:pPr>
              <w:spacing w:after="0"/>
              <w:rPr>
                <w:sz w:val="15"/>
                <w:szCs w:val="15"/>
                <w:color w:val="auto"/>
              </w:rPr>
            </w:pPr>
          </w:p>
        </w:tc>
        <w:tc>
          <w:tcPr>
            <w:tcW w:w="300" w:type="dxa"/>
            <w:vAlign w:val="bottom"/>
            <w:tcBorders>
              <w:top w:val="single" w:sz="8" w:color="CCEEFF"/>
            </w:tcBorders>
            <w:gridSpan w:val="4"/>
            <w:shd w:val="clear" w:color="auto" w:fill="CCEEFF"/>
          </w:tcPr>
          <w:p>
            <w:pPr>
              <w:spacing w:after="0"/>
              <w:rPr>
                <w:sz w:val="15"/>
                <w:szCs w:val="15"/>
                <w:color w:val="auto"/>
              </w:rPr>
            </w:pPr>
          </w:p>
        </w:tc>
        <w:tc>
          <w:tcPr>
            <w:tcW w:w="1080" w:type="dxa"/>
            <w:vAlign w:val="bottom"/>
            <w:tcBorders>
              <w:top w:val="single" w:sz="8" w:color="auto"/>
            </w:tcBorders>
            <w:gridSpan w:val="4"/>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57"/>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24,153,554</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40" w:type="dxa"/>
            <w:vAlign w:val="bottom"/>
            <w:shd w:val="clear" w:color="auto" w:fill="CCEEFF"/>
          </w:tcPr>
          <w:p>
            <w:pPr>
              <w:spacing w:after="0"/>
              <w:rPr>
                <w:sz w:val="22"/>
                <w:szCs w:val="22"/>
                <w:color w:val="auto"/>
              </w:rPr>
            </w:pPr>
          </w:p>
        </w:tc>
        <w:tc>
          <w:tcPr>
            <w:tcW w:w="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(302)</w:t>
            </w:r>
          </w:p>
        </w:tc>
        <w:tc>
          <w:tcPr>
            <w:tcW w:w="1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240,648</w:t>
            </w:r>
          </w:p>
        </w:tc>
        <w:tc>
          <w:tcPr>
            <w:tcW w:w="120" w:type="dxa"/>
            <w:vAlign w:val="bottom"/>
            <w:shd w:val="clear" w:color="auto" w:fill="CCEEFF"/>
          </w:tcPr>
          <w:p>
            <w:pPr>
              <w:spacing w:after="0"/>
              <w:rPr>
                <w:sz w:val="22"/>
                <w:szCs w:val="22"/>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(226,545)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13,650</w:t>
            </w:r>
          </w:p>
        </w:tc>
        <w:tc>
          <w:tcPr>
            <w:tcW w:w="20" w:type="dxa"/>
            <w:vAlign w:val="bottom"/>
          </w:tcPr>
          <w:p>
            <w:pPr>
              <w:spacing w:after="0"/>
              <w:rPr>
                <w:sz w:val="22"/>
                <w:szCs w:val="22"/>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3"/>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3"/>
          </w:tcPr>
          <w:p>
            <w:pPr>
              <w:jc w:val="right"/>
              <w:ind w:right="301"/>
              <w:spacing w:after="0"/>
              <w:rPr>
                <w:sz w:val="20"/>
                <w:szCs w:val="20"/>
                <w:color w:val="auto"/>
              </w:rPr>
            </w:pPr>
            <w:r>
              <w:rPr>
                <w:rFonts w:ascii="Arial" w:cs="Arial" w:eastAsia="Arial" w:hAnsi="Arial"/>
                <w:sz w:val="18"/>
                <w:szCs w:val="18"/>
                <w:color w:val="auto"/>
                <w:w w:val="92"/>
              </w:rPr>
              <w:t>Three Months Ended October 31, 2021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11260" w:type="dxa"/>
            <w:vAlign w:val="bottom"/>
            <w:gridSpan w:val="66"/>
          </w:tcPr>
          <w:p>
            <w:pPr>
              <w:spacing w:after="0"/>
              <w:rPr>
                <w:sz w:val="20"/>
                <w:szCs w:val="20"/>
                <w:color w:val="auto"/>
              </w:rPr>
            </w:pPr>
            <w:r>
              <w:rPr>
                <w:rFonts w:ascii="Arial" w:cs="Arial" w:eastAsia="Arial" w:hAnsi="Arial"/>
                <w:sz w:val="18"/>
                <w:szCs w:val="18"/>
                <w:b w:val="1"/>
                <w:bCs w:val="1"/>
                <w:color w:val="auto"/>
              </w:rPr>
              <w:t>Accumulated</w:t>
            </w:r>
          </w:p>
        </w:tc>
      </w:tr>
      <w:tr>
        <w:trPr>
          <w:trHeight w:val="216"/>
        </w:trPr>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7"/>
          </w:tcPr>
          <w:p>
            <w:pPr>
              <w:ind w:left="80"/>
              <w:spacing w:after="0"/>
              <w:rPr>
                <w:sz w:val="20"/>
                <w:szCs w:val="20"/>
                <w:color w:val="auto"/>
              </w:rPr>
            </w:pPr>
            <w:r>
              <w:rPr>
                <w:rFonts w:ascii="Arial" w:cs="Arial" w:eastAsia="Arial" w:hAnsi="Arial"/>
                <w:sz w:val="18"/>
                <w:szCs w:val="18"/>
                <w:b w:val="1"/>
                <w:bCs w:val="1"/>
                <w:color w:val="auto"/>
                <w:w w:val="99"/>
              </w:rPr>
              <w:t>Additional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Total</w:t>
            </w:r>
          </w:p>
        </w:tc>
      </w:tr>
      <w:tr>
        <w:trPr>
          <w:trHeight w:val="248"/>
        </w:trPr>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Borders>
              <w:bottom w:val="single" w:sz="8" w:color="auto"/>
            </w:tcBorders>
            <w:gridSpan w:val="13"/>
          </w:tcPr>
          <w:p>
            <w:pPr>
              <w:jc w:val="right"/>
              <w:ind w:right="320"/>
              <w:spacing w:after="0"/>
              <w:rPr>
                <w:sz w:val="20"/>
                <w:szCs w:val="20"/>
                <w:color w:val="auto"/>
              </w:rPr>
            </w:pPr>
            <w:r>
              <w:rPr>
                <w:rFonts w:ascii="Arial" w:cs="Arial" w:eastAsia="Arial" w:hAnsi="Arial"/>
                <w:sz w:val="18"/>
                <w:szCs w:val="18"/>
                <w:color w:val="auto"/>
              </w:rPr>
              <w:t>Common Shares</w:t>
            </w:r>
          </w:p>
        </w:tc>
        <w:tc>
          <w:tcPr>
            <w:tcW w:w="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Borders>
              <w:bottom w:val="single" w:sz="8" w:color="auto"/>
            </w:tcBorders>
            <w:gridSpan w:val="12"/>
          </w:tcPr>
          <w:p>
            <w:pPr>
              <w:jc w:val="right"/>
              <w:ind w:right="160"/>
              <w:spacing w:after="0"/>
              <w:rPr>
                <w:sz w:val="20"/>
                <w:szCs w:val="20"/>
                <w:color w:val="auto"/>
              </w:rPr>
            </w:pPr>
            <w:r>
              <w:rPr>
                <w:rFonts w:ascii="Arial" w:cs="Arial" w:eastAsia="Arial" w:hAnsi="Arial"/>
                <w:sz w:val="18"/>
                <w:szCs w:val="18"/>
                <w:color w:val="auto"/>
              </w:rPr>
              <w:t>Treasury Shares</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Paid-In</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8"/>
          </w:tcPr>
          <w:p>
            <w:pPr>
              <w:ind w:left="20"/>
              <w:spacing w:after="0"/>
              <w:rPr>
                <w:sz w:val="20"/>
                <w:szCs w:val="20"/>
                <w:color w:val="auto"/>
              </w:rPr>
            </w:pPr>
            <w:r>
              <w:rPr>
                <w:rFonts w:ascii="Arial" w:cs="Arial" w:eastAsia="Arial" w:hAnsi="Arial"/>
                <w:sz w:val="18"/>
                <w:szCs w:val="18"/>
                <w:color w:val="auto"/>
              </w:rPr>
              <w:t>Accumulated</w:t>
            </w:r>
          </w:p>
        </w:tc>
        <w:tc>
          <w:tcPr>
            <w:tcW w:w="126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Shareholders’</w:t>
            </w:r>
          </w:p>
        </w:tc>
      </w:tr>
      <w:tr>
        <w:trPr>
          <w:trHeight w:val="223"/>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5"/>
          </w:tcPr>
          <w:p>
            <w:pPr>
              <w:jc w:val="center"/>
              <w:spacing w:after="0"/>
              <w:rPr>
                <w:sz w:val="20"/>
                <w:szCs w:val="20"/>
                <w:color w:val="auto"/>
              </w:rPr>
            </w:pPr>
            <w:r>
              <w:rPr>
                <w:rFonts w:ascii="Arial" w:cs="Arial" w:eastAsia="Arial" w:hAnsi="Arial"/>
                <w:sz w:val="18"/>
                <w:szCs w:val="18"/>
                <w:color w:val="auto"/>
                <w:w w:val="84"/>
              </w:rPr>
              <w:t>Shares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Capital</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4"/>
          </w:tcPr>
          <w:p>
            <w:pPr>
              <w:jc w:val="right"/>
              <w:ind w:right="121"/>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280" w:type="dxa"/>
            <w:vAlign w:val="bottom"/>
            <w:gridSpan w:val="5"/>
          </w:tcPr>
          <w:p>
            <w:pPr>
              <w:spacing w:after="0"/>
              <w:rPr>
                <w:sz w:val="18"/>
                <w:szCs w:val="18"/>
                <w:color w:val="auto"/>
              </w:rPr>
            </w:pPr>
          </w:p>
        </w:tc>
        <w:tc>
          <w:tcPr>
            <w:tcW w:w="1040" w:type="dxa"/>
            <w:vAlign w:val="bottom"/>
            <w:tcBorders>
              <w:top w:val="single" w:sz="8" w:color="auto"/>
            </w:tcBorders>
            <w:gridSpan w:val="6"/>
          </w:tcPr>
          <w:p>
            <w:pPr>
              <w:spacing w:after="0"/>
              <w:rPr>
                <w:sz w:val="18"/>
                <w:szCs w:val="18"/>
                <w:color w:val="auto"/>
              </w:rPr>
            </w:pPr>
          </w:p>
        </w:tc>
        <w:tc>
          <w:tcPr>
            <w:tcW w:w="200" w:type="dxa"/>
            <w:vAlign w:val="bottom"/>
            <w:gridSpan w:val="2"/>
          </w:tcPr>
          <w:p>
            <w:pPr>
              <w:spacing w:after="0"/>
              <w:rPr>
                <w:sz w:val="18"/>
                <w:szCs w:val="18"/>
                <w:color w:val="auto"/>
              </w:rPr>
            </w:pPr>
          </w:p>
        </w:tc>
        <w:tc>
          <w:tcPr>
            <w:tcW w:w="760" w:type="dxa"/>
            <w:vAlign w:val="bottom"/>
            <w:tcBorders>
              <w:top w:val="single" w:sz="8" w:color="auto"/>
            </w:tcBorders>
            <w:gridSpan w:val="6"/>
          </w:tcPr>
          <w:p>
            <w:pPr>
              <w:spacing w:after="0"/>
              <w:rPr>
                <w:sz w:val="18"/>
                <w:szCs w:val="18"/>
                <w:color w:val="auto"/>
              </w:rPr>
            </w:pPr>
          </w:p>
        </w:tc>
        <w:tc>
          <w:tcPr>
            <w:tcW w:w="200" w:type="dxa"/>
            <w:vAlign w:val="bottom"/>
            <w:gridSpan w:val="2"/>
          </w:tcPr>
          <w:p>
            <w:pPr>
              <w:spacing w:after="0"/>
              <w:rPr>
                <w:sz w:val="18"/>
                <w:szCs w:val="18"/>
                <w:color w:val="auto"/>
              </w:rPr>
            </w:pPr>
          </w:p>
        </w:tc>
        <w:tc>
          <w:tcPr>
            <w:tcW w:w="780" w:type="dxa"/>
            <w:vAlign w:val="bottom"/>
            <w:tcBorders>
              <w:top w:val="single" w:sz="8" w:color="auto"/>
            </w:tcBorders>
            <w:gridSpan w:val="6"/>
          </w:tcPr>
          <w:p>
            <w:pPr>
              <w:spacing w:after="0"/>
              <w:rPr>
                <w:sz w:val="18"/>
                <w:szCs w:val="18"/>
                <w:color w:val="auto"/>
              </w:rPr>
            </w:pPr>
          </w:p>
        </w:tc>
        <w:tc>
          <w:tcPr>
            <w:tcW w:w="200" w:type="dxa"/>
            <w:vAlign w:val="bottom"/>
            <w:gridSpan w:val="3"/>
          </w:tcPr>
          <w:p>
            <w:pPr>
              <w:spacing w:after="0"/>
              <w:rPr>
                <w:sz w:val="18"/>
                <w:szCs w:val="18"/>
                <w:color w:val="auto"/>
              </w:rPr>
            </w:pPr>
          </w:p>
        </w:tc>
        <w:tc>
          <w:tcPr>
            <w:tcW w:w="760" w:type="dxa"/>
            <w:vAlign w:val="bottom"/>
            <w:tcBorders>
              <w:top w:val="single" w:sz="8" w:color="auto"/>
            </w:tcBorders>
            <w:gridSpan w:val="5"/>
          </w:tcPr>
          <w:p>
            <w:pPr>
              <w:spacing w:after="0"/>
              <w:rPr>
                <w:sz w:val="18"/>
                <w:szCs w:val="18"/>
                <w:color w:val="auto"/>
              </w:rPr>
            </w:pPr>
          </w:p>
        </w:tc>
        <w:tc>
          <w:tcPr>
            <w:tcW w:w="200" w:type="dxa"/>
            <w:vAlign w:val="bottom"/>
            <w:gridSpan w:val="2"/>
          </w:tcPr>
          <w:p>
            <w:pPr>
              <w:spacing w:after="0"/>
              <w:rPr>
                <w:sz w:val="18"/>
                <w:szCs w:val="18"/>
                <w:color w:val="auto"/>
              </w:rPr>
            </w:pPr>
          </w:p>
        </w:tc>
        <w:tc>
          <w:tcPr>
            <w:tcW w:w="980" w:type="dxa"/>
            <w:vAlign w:val="bottom"/>
            <w:tcBorders>
              <w:top w:val="single" w:sz="8" w:color="auto"/>
            </w:tcBorders>
            <w:gridSpan w:val="7"/>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Borders>
              <w:top w:val="single" w:sz="8" w:color="auto"/>
            </w:tcBorders>
            <w:gridSpan w:val="6"/>
          </w:tcPr>
          <w:p>
            <w:pPr>
              <w:spacing w:after="0"/>
              <w:rPr>
                <w:sz w:val="18"/>
                <w:szCs w:val="18"/>
                <w:color w:val="auto"/>
              </w:rPr>
            </w:pPr>
          </w:p>
        </w:tc>
        <w:tc>
          <w:tcPr>
            <w:tcW w:w="200" w:type="dxa"/>
            <w:vAlign w:val="bottom"/>
            <w:gridSpan w:val="2"/>
          </w:tcPr>
          <w:p>
            <w:pPr>
              <w:spacing w:after="0"/>
              <w:rPr>
                <w:sz w:val="18"/>
                <w:szCs w:val="18"/>
                <w:color w:val="auto"/>
              </w:rPr>
            </w:pPr>
          </w:p>
        </w:tc>
        <w:tc>
          <w:tcPr>
            <w:tcW w:w="1180" w:type="dxa"/>
            <w:vAlign w:val="bottom"/>
            <w:tcBorders>
              <w:top w:val="single" w:sz="8" w:color="auto"/>
            </w:tcBorders>
            <w:gridSpan w:val="5"/>
          </w:tcPr>
          <w:p>
            <w:pPr>
              <w:spacing w:after="0"/>
              <w:rPr>
                <w:sz w:val="18"/>
                <w:szCs w:val="18"/>
                <w:color w:val="auto"/>
              </w:rPr>
            </w:pPr>
          </w:p>
        </w:tc>
        <w:tc>
          <w:tcPr>
            <w:tcW w:w="200" w:type="dxa"/>
            <w:vAlign w:val="bottom"/>
            <w:gridSpan w:val="3"/>
          </w:tcPr>
          <w:p>
            <w:pPr>
              <w:spacing w:after="0"/>
              <w:rPr>
                <w:sz w:val="18"/>
                <w:szCs w:val="18"/>
                <w:color w:val="auto"/>
              </w:rPr>
            </w:pPr>
          </w:p>
        </w:tc>
        <w:tc>
          <w:tcPr>
            <w:tcW w:w="1060" w:type="dxa"/>
            <w:vAlign w:val="bottom"/>
            <w:tcBorders>
              <w:top w:val="single" w:sz="8" w:color="auto"/>
            </w:tcBorders>
            <w:gridSpan w:val="3"/>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Balances at August 1, 2021</w:t>
            </w:r>
          </w:p>
        </w:tc>
        <w:tc>
          <w:tcPr>
            <w:tcW w:w="11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52,479,051</w:t>
            </w:r>
          </w:p>
        </w:tc>
        <w:tc>
          <w:tcPr>
            <w:tcW w:w="4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106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(21,040)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(338)</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316,211</w:t>
            </w:r>
          </w:p>
        </w:tc>
        <w:tc>
          <w:tcPr>
            <w:tcW w:w="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(237,975)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77,765</w:t>
            </w:r>
          </w:p>
        </w:tc>
        <w:tc>
          <w:tcPr>
            <w:tcW w:w="20" w:type="dxa"/>
            <w:vAlign w:val="bottom"/>
          </w:tcPr>
          <w:p>
            <w:pPr>
              <w:spacing w:after="0"/>
              <w:rPr>
                <w:sz w:val="18"/>
                <w:szCs w:val="18"/>
                <w:color w:val="auto"/>
              </w:rPr>
            </w:pPr>
          </w:p>
        </w:tc>
      </w:tr>
      <w:tr>
        <w:trPr>
          <w:trHeight w:val="216"/>
        </w:trPr>
        <w:tc>
          <w:tcPr>
            <w:tcW w:w="216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00" w:type="dxa"/>
            <w:vAlign w:val="bottom"/>
            <w:gridSpan w:val="5"/>
          </w:tcPr>
          <w:p>
            <w:pPr>
              <w:jc w:val="center"/>
              <w:ind w:left="41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(5,171)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(5,171)</w:t>
            </w:r>
          </w:p>
        </w:tc>
        <w:tc>
          <w:tcPr>
            <w:tcW w:w="20" w:type="dxa"/>
            <w:vAlign w:val="bottom"/>
          </w:tcPr>
          <w:p>
            <w:pPr>
              <w:spacing w:after="0"/>
              <w:rPr>
                <w:sz w:val="18"/>
                <w:szCs w:val="18"/>
                <w:color w:val="auto"/>
              </w:rPr>
            </w:pPr>
          </w:p>
        </w:tc>
      </w:tr>
      <w:tr>
        <w:trPr>
          <w:trHeight w:val="216"/>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Share-based compensation</w:t>
            </w:r>
          </w:p>
        </w:tc>
        <w:tc>
          <w:tcPr>
            <w:tcW w:w="1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center"/>
              <w:ind w:left="41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02"/>
        </w:trPr>
        <w:tc>
          <w:tcPr>
            <w:tcW w:w="11260" w:type="dxa"/>
            <w:vAlign w:val="bottom"/>
            <w:gridSpan w:val="66"/>
          </w:tcPr>
          <w:p>
            <w:pPr>
              <w:spacing w:after="0" w:line="201" w:lineRule="exact"/>
              <w:rPr>
                <w:sz w:val="20"/>
                <w:szCs w:val="20"/>
                <w:color w:val="auto"/>
              </w:rPr>
            </w:pPr>
            <w:r>
              <w:rPr>
                <w:rFonts w:ascii="Arial" w:cs="Arial" w:eastAsia="Arial" w:hAnsi="Arial"/>
                <w:sz w:val="18"/>
                <w:szCs w:val="18"/>
                <w:color w:val="auto"/>
                <w:w w:val="94"/>
              </w:rPr>
              <w:t>Proceeds from stock options</w:t>
            </w: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exercises</w:t>
            </w:r>
          </w:p>
        </w:tc>
        <w:tc>
          <w:tcPr>
            <w:tcW w:w="1120" w:type="dxa"/>
            <w:vAlign w:val="bottom"/>
            <w:gridSpan w:val="6"/>
          </w:tcPr>
          <w:p>
            <w:pPr>
              <w:jc w:val="right"/>
              <w:ind w:right="80"/>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6"/>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5"/>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202"/>
        </w:trPr>
        <w:tc>
          <w:tcPr>
            <w:tcW w:w="11260" w:type="dxa"/>
            <w:vAlign w:val="bottom"/>
            <w:gridSpan w:val="66"/>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r>
      <w:tr>
        <w:trPr>
          <w:trHeight w:val="244"/>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gain/(loss)</w:t>
            </w:r>
          </w:p>
        </w:tc>
        <w:tc>
          <w:tcPr>
            <w:tcW w:w="120" w:type="dxa"/>
            <w:vAlign w:val="bottom"/>
            <w:shd w:val="clear" w:color="auto" w:fill="CCEEFF"/>
          </w:tcPr>
          <w:p>
            <w:pPr>
              <w:spacing w:after="0"/>
              <w:rPr>
                <w:sz w:val="21"/>
                <w:szCs w:val="21"/>
                <w:color w:val="auto"/>
              </w:rPr>
            </w:pPr>
          </w:p>
        </w:tc>
        <w:tc>
          <w:tcPr>
            <w:tcW w:w="1000" w:type="dxa"/>
            <w:vAlign w:val="bottom"/>
            <w:gridSpan w:val="5"/>
            <w:shd w:val="clear" w:color="auto" w:fill="CCEEFF"/>
          </w:tcPr>
          <w:p>
            <w:pPr>
              <w:jc w:val="center"/>
              <w:ind w:left="41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1"/>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23"/>
        </w:trPr>
        <w:tc>
          <w:tcPr>
            <w:tcW w:w="2160" w:type="dxa"/>
            <w:vAlign w:val="bottom"/>
            <w:gridSpan w:val="4"/>
          </w:tcPr>
          <w:p>
            <w:pPr>
              <w:spacing w:after="0"/>
              <w:rPr>
                <w:sz w:val="20"/>
                <w:szCs w:val="20"/>
                <w:color w:val="auto"/>
              </w:rPr>
            </w:pPr>
            <w:r>
              <w:rPr>
                <w:rFonts w:ascii="Arial" w:cs="Arial" w:eastAsia="Arial" w:hAnsi="Arial"/>
                <w:sz w:val="18"/>
                <w:szCs w:val="18"/>
                <w:color w:val="auto"/>
                <w:w w:val="99"/>
              </w:rPr>
              <w:t>Balance, October 31, 2021</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52,499,051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(21,040</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316,389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(243,191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5"/>
          </w:tcPr>
          <w:p>
            <w:pPr>
              <w:jc w:val="right"/>
              <w:ind w:right="461"/>
              <w:spacing w:after="0"/>
              <w:rPr>
                <w:sz w:val="20"/>
                <w:szCs w:val="20"/>
                <w:color w:val="auto"/>
              </w:rPr>
            </w:pPr>
            <w:r>
              <w:rPr>
                <w:rFonts w:ascii="Arial" w:cs="Arial" w:eastAsia="Arial" w:hAnsi="Arial"/>
                <w:sz w:val="18"/>
                <w:szCs w:val="18"/>
                <w:color w:val="auto"/>
                <w:w w:val="90"/>
              </w:rPr>
              <w:t>Three Months Ended October 31, 2020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11260" w:type="dxa"/>
            <w:vAlign w:val="bottom"/>
            <w:gridSpan w:val="66"/>
          </w:tcPr>
          <w:p>
            <w:pPr>
              <w:spacing w:after="0"/>
              <w:rPr>
                <w:sz w:val="20"/>
                <w:szCs w:val="20"/>
                <w:color w:val="auto"/>
              </w:rPr>
            </w:pPr>
            <w:r>
              <w:rPr>
                <w:rFonts w:ascii="Arial" w:cs="Arial" w:eastAsia="Arial" w:hAnsi="Arial"/>
                <w:sz w:val="18"/>
                <w:szCs w:val="18"/>
                <w:b w:val="1"/>
                <w:bCs w:val="1"/>
                <w:color w:val="auto"/>
              </w:rPr>
              <w:t>Accumulated</w:t>
            </w:r>
          </w:p>
        </w:tc>
      </w:tr>
      <w:tr>
        <w:trPr>
          <w:trHeight w:val="216"/>
        </w:trPr>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Total</w:t>
            </w:r>
          </w:p>
        </w:tc>
      </w:tr>
      <w:tr>
        <w:trPr>
          <w:trHeight w:val="248"/>
        </w:trPr>
        <w:tc>
          <w:tcPr>
            <w:tcW w:w="1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Common Shares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13"/>
          </w:tcPr>
          <w:p>
            <w:pPr>
              <w:jc w:val="right"/>
              <w:ind w:right="460"/>
              <w:spacing w:after="0"/>
              <w:rPr>
                <w:sz w:val="20"/>
                <w:szCs w:val="20"/>
                <w:color w:val="auto"/>
              </w:rPr>
            </w:pPr>
            <w:r>
              <w:rPr>
                <w:rFonts w:ascii="Arial" w:cs="Arial" w:eastAsia="Arial" w:hAnsi="Arial"/>
                <w:sz w:val="18"/>
                <w:szCs w:val="18"/>
                <w:b w:val="1"/>
                <w:bCs w:val="1"/>
                <w:color w:val="auto"/>
                <w:w w:val="90"/>
              </w:rPr>
              <w:t>Treasury Shares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6"/>
              </w:rPr>
              <w:t>Paid-In</w:t>
            </w:r>
          </w:p>
        </w:tc>
        <w:tc>
          <w:tcPr>
            <w:tcW w:w="1320" w:type="dxa"/>
            <w:vAlign w:val="bottom"/>
            <w:gridSpan w:val="10"/>
          </w:tcPr>
          <w:p>
            <w:pPr>
              <w:ind w:left="20"/>
              <w:spacing w:after="0"/>
              <w:rPr>
                <w:sz w:val="20"/>
                <w:szCs w:val="20"/>
                <w:color w:val="auto"/>
              </w:rPr>
            </w:pPr>
            <w:r>
              <w:rPr>
                <w:rFonts w:ascii="Arial" w:cs="Arial" w:eastAsia="Arial" w:hAnsi="Arial"/>
                <w:sz w:val="18"/>
                <w:szCs w:val="18"/>
                <w:b w:val="1"/>
                <w:bCs w:val="1"/>
                <w:color w:val="auto"/>
              </w:rPr>
              <w:t>Accumulated</w:t>
            </w:r>
          </w:p>
        </w:tc>
        <w:tc>
          <w:tcPr>
            <w:tcW w:w="1500" w:type="dxa"/>
            <w:vAlign w:val="bottom"/>
            <w:gridSpan w:val="9"/>
          </w:tcPr>
          <w:p>
            <w:pPr>
              <w:spacing w:after="0"/>
              <w:rPr>
                <w:sz w:val="20"/>
                <w:szCs w:val="20"/>
                <w:color w:val="auto"/>
              </w:rPr>
            </w:pPr>
            <w:r>
              <w:rPr>
                <w:rFonts w:ascii="Arial" w:cs="Arial" w:eastAsia="Arial" w:hAnsi="Arial"/>
                <w:sz w:val="18"/>
                <w:szCs w:val="18"/>
                <w:b w:val="1"/>
                <w:bCs w:val="1"/>
                <w:color w:val="auto"/>
              </w:rPr>
              <w:t>Comprehensive</w:t>
            </w:r>
          </w:p>
        </w:tc>
        <w:tc>
          <w:tcPr>
            <w:tcW w:w="12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9"/>
              </w:rPr>
              <w:t>Shareholders’</w:t>
            </w:r>
          </w:p>
        </w:tc>
      </w:tr>
      <w:tr>
        <w:trPr>
          <w:trHeight w:val="223"/>
        </w:trPr>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86"/>
              </w:rPr>
              <w:t>Shares</w:t>
            </w:r>
          </w:p>
        </w:tc>
        <w:tc>
          <w:tcPr>
            <w:tcW w:w="66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gridSpan w:val="3"/>
          </w:tcPr>
          <w:p>
            <w:pPr>
              <w:spacing w:after="0"/>
              <w:rPr>
                <w:sz w:val="19"/>
                <w:szCs w:val="19"/>
                <w:color w:val="auto"/>
              </w:rPr>
            </w:pPr>
          </w:p>
        </w:tc>
        <w:tc>
          <w:tcPr>
            <w:tcW w:w="920" w:type="dxa"/>
            <w:vAlign w:val="bottom"/>
            <w:tcBorders>
              <w:top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w w:val="93"/>
              </w:rPr>
              <w:t>Shares</w:t>
            </w: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Amount</w:t>
            </w: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3"/>
              </w:rPr>
              <w:t>Capital</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6"/>
          </w:tcPr>
          <w:p>
            <w:pPr>
              <w:jc w:val="right"/>
              <w:ind w:right="461"/>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2100" w:type="dxa"/>
            <w:vAlign w:val="bottom"/>
            <w:gridSpan w:val="2"/>
          </w:tcPr>
          <w:p>
            <w:pPr>
              <w:spacing w:after="0"/>
              <w:rPr>
                <w:sz w:val="18"/>
                <w:szCs w:val="18"/>
                <w:color w:val="auto"/>
              </w:rPr>
            </w:pPr>
          </w:p>
        </w:tc>
        <w:tc>
          <w:tcPr>
            <w:tcW w:w="900" w:type="dxa"/>
            <w:vAlign w:val="bottom"/>
            <w:tcBorders>
              <w:top w:val="single" w:sz="8" w:color="auto"/>
            </w:tcBorders>
            <w:gridSpan w:val="4"/>
          </w:tcPr>
          <w:p>
            <w:pPr>
              <w:spacing w:after="0"/>
              <w:rPr>
                <w:sz w:val="18"/>
                <w:szCs w:val="18"/>
                <w:color w:val="auto"/>
              </w:rPr>
            </w:pPr>
          </w:p>
        </w:tc>
        <w:tc>
          <w:tcPr>
            <w:tcW w:w="280" w:type="dxa"/>
            <w:vAlign w:val="bottom"/>
            <w:gridSpan w:val="4"/>
          </w:tcPr>
          <w:p>
            <w:pPr>
              <w:spacing w:after="0"/>
              <w:rPr>
                <w:sz w:val="18"/>
                <w:szCs w:val="18"/>
                <w:color w:val="auto"/>
              </w:rPr>
            </w:pPr>
          </w:p>
        </w:tc>
        <w:tc>
          <w:tcPr>
            <w:tcW w:w="660" w:type="dxa"/>
            <w:vAlign w:val="bottom"/>
            <w:tcBorders>
              <w:top w:val="single" w:sz="8" w:color="auto"/>
            </w:tcBorders>
            <w:gridSpan w:val="5"/>
          </w:tcPr>
          <w:p>
            <w:pPr>
              <w:spacing w:after="0"/>
              <w:rPr>
                <w:sz w:val="18"/>
                <w:szCs w:val="18"/>
                <w:color w:val="auto"/>
              </w:rPr>
            </w:pPr>
          </w:p>
        </w:tc>
        <w:tc>
          <w:tcPr>
            <w:tcW w:w="260" w:type="dxa"/>
            <w:vAlign w:val="bottom"/>
            <w:gridSpan w:val="3"/>
          </w:tcPr>
          <w:p>
            <w:pPr>
              <w:spacing w:after="0"/>
              <w:rPr>
                <w:sz w:val="18"/>
                <w:szCs w:val="18"/>
                <w:color w:val="auto"/>
              </w:rPr>
            </w:pPr>
          </w:p>
        </w:tc>
        <w:tc>
          <w:tcPr>
            <w:tcW w:w="640" w:type="dxa"/>
            <w:vAlign w:val="bottom"/>
            <w:tcBorders>
              <w:top w:val="single" w:sz="8" w:color="auto"/>
            </w:tcBorders>
            <w:gridSpan w:val="4"/>
          </w:tcPr>
          <w:p>
            <w:pPr>
              <w:spacing w:after="0"/>
              <w:rPr>
                <w:sz w:val="18"/>
                <w:szCs w:val="18"/>
                <w:color w:val="auto"/>
              </w:rPr>
            </w:pPr>
          </w:p>
        </w:tc>
        <w:tc>
          <w:tcPr>
            <w:tcW w:w="280" w:type="dxa"/>
            <w:vAlign w:val="bottom"/>
            <w:gridSpan w:val="2"/>
          </w:tcPr>
          <w:p>
            <w:pPr>
              <w:spacing w:after="0"/>
              <w:rPr>
                <w:sz w:val="18"/>
                <w:szCs w:val="18"/>
                <w:color w:val="auto"/>
              </w:rPr>
            </w:pPr>
          </w:p>
        </w:tc>
        <w:tc>
          <w:tcPr>
            <w:tcW w:w="660" w:type="dxa"/>
            <w:vAlign w:val="bottom"/>
            <w:tcBorders>
              <w:top w:val="single" w:sz="8" w:color="auto"/>
            </w:tcBorders>
            <w:gridSpan w:val="7"/>
          </w:tcPr>
          <w:p>
            <w:pPr>
              <w:spacing w:after="0"/>
              <w:rPr>
                <w:sz w:val="18"/>
                <w:szCs w:val="18"/>
                <w:color w:val="auto"/>
              </w:rPr>
            </w:pPr>
          </w:p>
        </w:tc>
        <w:tc>
          <w:tcPr>
            <w:tcW w:w="300" w:type="dxa"/>
            <w:vAlign w:val="bottom"/>
            <w:gridSpan w:val="2"/>
          </w:tcPr>
          <w:p>
            <w:pPr>
              <w:spacing w:after="0"/>
              <w:rPr>
                <w:sz w:val="18"/>
                <w:szCs w:val="18"/>
                <w:color w:val="auto"/>
              </w:rPr>
            </w:pPr>
          </w:p>
        </w:tc>
        <w:tc>
          <w:tcPr>
            <w:tcW w:w="880" w:type="dxa"/>
            <w:vAlign w:val="bottom"/>
            <w:tcBorders>
              <w:top w:val="single" w:sz="8" w:color="auto"/>
            </w:tcBorders>
            <w:gridSpan w:val="6"/>
          </w:tcPr>
          <w:p>
            <w:pPr>
              <w:spacing w:after="0"/>
              <w:rPr>
                <w:sz w:val="18"/>
                <w:szCs w:val="18"/>
                <w:color w:val="auto"/>
              </w:rPr>
            </w:pPr>
          </w:p>
        </w:tc>
        <w:tc>
          <w:tcPr>
            <w:tcW w:w="300" w:type="dxa"/>
            <w:vAlign w:val="bottom"/>
            <w:gridSpan w:val="3"/>
          </w:tcPr>
          <w:p>
            <w:pPr>
              <w:spacing w:after="0"/>
              <w:rPr>
                <w:sz w:val="18"/>
                <w:szCs w:val="18"/>
                <w:color w:val="auto"/>
              </w:rPr>
            </w:pPr>
          </w:p>
        </w:tc>
        <w:tc>
          <w:tcPr>
            <w:tcW w:w="1000" w:type="dxa"/>
            <w:vAlign w:val="bottom"/>
            <w:tcBorders>
              <w:top w:val="single" w:sz="8" w:color="auto"/>
            </w:tcBorders>
            <w:gridSpan w:val="6"/>
          </w:tcPr>
          <w:p>
            <w:pPr>
              <w:spacing w:after="0"/>
              <w:rPr>
                <w:sz w:val="18"/>
                <w:szCs w:val="18"/>
                <w:color w:val="auto"/>
              </w:rPr>
            </w:pPr>
          </w:p>
        </w:tc>
        <w:tc>
          <w:tcPr>
            <w:tcW w:w="300" w:type="dxa"/>
            <w:vAlign w:val="bottom"/>
            <w:gridSpan w:val="3"/>
          </w:tcPr>
          <w:p>
            <w:pPr>
              <w:spacing w:after="0"/>
              <w:rPr>
                <w:sz w:val="18"/>
                <w:szCs w:val="18"/>
                <w:color w:val="auto"/>
              </w:rPr>
            </w:pPr>
          </w:p>
        </w:tc>
        <w:tc>
          <w:tcPr>
            <w:tcW w:w="1200" w:type="dxa"/>
            <w:vAlign w:val="bottom"/>
            <w:tcBorders>
              <w:top w:val="single" w:sz="8" w:color="auto"/>
            </w:tcBorders>
            <w:gridSpan w:val="5"/>
          </w:tcPr>
          <w:p>
            <w:pPr>
              <w:spacing w:after="0"/>
              <w:rPr>
                <w:sz w:val="18"/>
                <w:szCs w:val="18"/>
                <w:color w:val="auto"/>
              </w:rPr>
            </w:pPr>
          </w:p>
        </w:tc>
        <w:tc>
          <w:tcPr>
            <w:tcW w:w="300" w:type="dxa"/>
            <w:vAlign w:val="bottom"/>
            <w:gridSpan w:val="4"/>
          </w:tcPr>
          <w:p>
            <w:pPr>
              <w:spacing w:after="0"/>
              <w:rPr>
                <w:sz w:val="18"/>
                <w:szCs w:val="18"/>
                <w:color w:val="auto"/>
              </w:rPr>
            </w:pPr>
          </w:p>
        </w:tc>
        <w:tc>
          <w:tcPr>
            <w:tcW w:w="1080" w:type="dxa"/>
            <w:vAlign w:val="bottom"/>
            <w:tcBorders>
              <w:top w:val="single" w:sz="8" w:color="auto"/>
            </w:tcBorders>
            <w:gridSpan w:val="4"/>
          </w:tcPr>
          <w:p>
            <w:pPr>
              <w:spacing w:after="0"/>
              <w:rPr>
                <w:sz w:val="18"/>
                <w:szCs w:val="18"/>
                <w:color w:val="auto"/>
              </w:rPr>
            </w:pPr>
          </w:p>
        </w:tc>
        <w:tc>
          <w:tcPr>
            <w:tcW w:w="120" w:type="dxa"/>
            <w:vAlign w:val="bottom"/>
            <w:gridSpan w:val="2"/>
          </w:tcPr>
          <w:p>
            <w:pPr>
              <w:spacing w:after="0"/>
              <w:rPr>
                <w:sz w:val="18"/>
                <w:szCs w:val="18"/>
                <w:color w:val="auto"/>
              </w:rPr>
            </w:pPr>
          </w:p>
        </w:tc>
      </w:tr>
      <w:tr>
        <w:trPr>
          <w:trHeight w:val="202"/>
        </w:trPr>
        <w:tc>
          <w:tcPr>
            <w:tcW w:w="11260" w:type="dxa"/>
            <w:vAlign w:val="bottom"/>
            <w:gridSpan w:val="66"/>
            <w:shd w:val="clear" w:color="auto" w:fill="CCEEFF"/>
          </w:tcPr>
          <w:p>
            <w:pPr>
              <w:spacing w:after="0" w:line="201" w:lineRule="exact"/>
              <w:rPr>
                <w:sz w:val="20"/>
                <w:szCs w:val="20"/>
                <w:color w:val="auto"/>
              </w:rPr>
            </w:pPr>
            <w:r>
              <w:rPr>
                <w:rFonts w:ascii="Arial" w:cs="Arial" w:eastAsia="Arial" w:hAnsi="Arial"/>
                <w:sz w:val="18"/>
                <w:szCs w:val="18"/>
                <w:color w:val="auto"/>
              </w:rPr>
              <w:t>Balances at August 1,</w:t>
            </w:r>
          </w:p>
        </w:tc>
      </w:tr>
      <w:tr>
        <w:trPr>
          <w:trHeight w:val="230"/>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18,624,816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4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5"/>
              </w:rPr>
              <w:t>(302)</w:t>
            </w:r>
          </w:p>
        </w:tc>
        <w:tc>
          <w:tcPr>
            <w:tcW w:w="1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234,089</w:t>
            </w:r>
          </w:p>
        </w:tc>
        <w:tc>
          <w:tcPr>
            <w:tcW w:w="120" w:type="dxa"/>
            <w:vAlign w:val="bottom"/>
            <w:shd w:val="clear" w:color="auto" w:fill="CCEEFF"/>
          </w:tcPr>
          <w:p>
            <w:pPr>
              <w:spacing w:after="0"/>
              <w:rPr>
                <w:sz w:val="20"/>
                <w:szCs w:val="20"/>
                <w:color w:val="auto"/>
              </w:rPr>
            </w:pPr>
          </w:p>
        </w:tc>
        <w:tc>
          <w:tcPr>
            <w:tcW w:w="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(223,521)</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10,117</w:t>
            </w:r>
          </w:p>
        </w:tc>
        <w:tc>
          <w:tcPr>
            <w:tcW w:w="20" w:type="dxa"/>
            <w:vAlign w:val="bottom"/>
          </w:tcPr>
          <w:p>
            <w:pPr>
              <w:spacing w:after="0"/>
              <w:rPr>
                <w:sz w:val="20"/>
                <w:szCs w:val="20"/>
                <w:color w:val="auto"/>
              </w:rPr>
            </w:pPr>
          </w:p>
        </w:tc>
      </w:tr>
      <w:tr>
        <w:trPr>
          <w:trHeight w:val="216"/>
        </w:trPr>
        <w:tc>
          <w:tcPr>
            <w:tcW w:w="216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000" w:type="dxa"/>
            <w:vAlign w:val="bottom"/>
            <w:gridSpan w:val="5"/>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c>
          <w:tcPr>
            <w:tcW w:w="20" w:type="dxa"/>
            <w:vAlign w:val="bottom"/>
          </w:tcPr>
          <w:p>
            <w:pPr>
              <w:spacing w:after="0"/>
              <w:rPr>
                <w:sz w:val="18"/>
                <w:szCs w:val="18"/>
                <w:color w:val="auto"/>
              </w:rPr>
            </w:pPr>
          </w:p>
        </w:tc>
      </w:tr>
      <w:tr>
        <w:trPr>
          <w:trHeight w:val="202"/>
        </w:trPr>
        <w:tc>
          <w:tcPr>
            <w:tcW w:w="11260" w:type="dxa"/>
            <w:vAlign w:val="bottom"/>
            <w:gridSpan w:val="66"/>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r>
      <w:tr>
        <w:trPr>
          <w:trHeight w:val="230"/>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10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0"/>
                <w:szCs w:val="20"/>
                <w:color w:val="auto"/>
              </w:rPr>
            </w:pPr>
          </w:p>
        </w:tc>
      </w:tr>
      <w:tr>
        <w:trPr>
          <w:trHeight w:val="202"/>
        </w:trPr>
        <w:tc>
          <w:tcPr>
            <w:tcW w:w="11260" w:type="dxa"/>
            <w:vAlign w:val="bottom"/>
            <w:gridSpan w:val="66"/>
          </w:tcPr>
          <w:p>
            <w:pPr>
              <w:spacing w:after="0" w:line="201" w:lineRule="exact"/>
              <w:rPr>
                <w:sz w:val="20"/>
                <w:szCs w:val="20"/>
                <w:color w:val="auto"/>
              </w:rPr>
            </w:pPr>
            <w:r>
              <w:rPr>
                <w:rFonts w:ascii="Arial" w:cs="Arial" w:eastAsia="Arial" w:hAnsi="Arial"/>
                <w:sz w:val="18"/>
                <w:szCs w:val="18"/>
                <w:color w:val="auto"/>
              </w:rPr>
              <w:t>Issuance of common</w:t>
            </w:r>
          </w:p>
        </w:tc>
      </w:tr>
      <w:tr>
        <w:trPr>
          <w:trHeight w:val="216"/>
        </w:trPr>
        <w:tc>
          <w:tcPr>
            <w:tcW w:w="11260" w:type="dxa"/>
            <w:vAlign w:val="bottom"/>
            <w:gridSpan w:val="66"/>
          </w:tcPr>
          <w:p>
            <w:pPr>
              <w:spacing w:after="0"/>
              <w:rPr>
                <w:sz w:val="20"/>
                <w:szCs w:val="20"/>
                <w:color w:val="auto"/>
              </w:rPr>
            </w:pPr>
            <w:r>
              <w:rPr>
                <w:rFonts w:ascii="Arial" w:cs="Arial" w:eastAsia="Arial" w:hAnsi="Arial"/>
                <w:sz w:val="18"/>
                <w:szCs w:val="18"/>
                <w:color w:val="auto"/>
              </w:rPr>
              <w:t>stock- Aspire financing,</w:t>
            </w:r>
          </w:p>
        </w:tc>
      </w:tr>
      <w:tr>
        <w:trPr>
          <w:trHeight w:val="230"/>
        </w:trPr>
        <w:tc>
          <w:tcPr>
            <w:tcW w:w="2160" w:type="dxa"/>
            <w:vAlign w:val="bottom"/>
            <w:gridSpan w:val="4"/>
          </w:tcPr>
          <w:p>
            <w:pPr>
              <w:spacing w:after="0"/>
              <w:rPr>
                <w:sz w:val="20"/>
                <w:szCs w:val="20"/>
                <w:color w:val="auto"/>
              </w:rPr>
            </w:pPr>
            <w:r>
              <w:rPr>
                <w:rFonts w:ascii="Arial" w:cs="Arial" w:eastAsia="Arial" w:hAnsi="Arial"/>
                <w:sz w:val="18"/>
                <w:szCs w:val="18"/>
                <w:color w:val="auto"/>
              </w:rPr>
              <w:t>net of issuance costs</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2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20" w:type="dxa"/>
            <w:vAlign w:val="bottom"/>
          </w:tcPr>
          <w:p>
            <w:pPr>
              <w:spacing w:after="0"/>
              <w:rPr>
                <w:sz w:val="20"/>
                <w:szCs w:val="20"/>
                <w:color w:val="auto"/>
              </w:rPr>
            </w:pPr>
          </w:p>
        </w:tc>
      </w:tr>
      <w:tr>
        <w:trPr>
          <w:trHeight w:val="230"/>
        </w:trPr>
        <w:tc>
          <w:tcPr>
            <w:tcW w:w="2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of common</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5,028,738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3"/>
              </w:rPr>
              <w:t>5,846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5,851</w:t>
            </w:r>
          </w:p>
        </w:tc>
        <w:tc>
          <w:tcPr>
            <w:tcW w:w="20" w:type="dxa"/>
            <w:vAlign w:val="bottom"/>
          </w:tcPr>
          <w:p>
            <w:pPr>
              <w:spacing w:after="0"/>
              <w:rPr>
                <w:sz w:val="20"/>
                <w:szCs w:val="20"/>
                <w:color w:val="auto"/>
              </w:rPr>
            </w:pPr>
          </w:p>
        </w:tc>
      </w:tr>
      <w:tr>
        <w:trPr>
          <w:trHeight w:val="103"/>
        </w:trPr>
        <w:tc>
          <w:tcPr>
            <w:tcW w:w="11260" w:type="dxa"/>
            <w:vAlign w:val="bottom"/>
            <w:gridSpan w:val="66"/>
            <w:shd w:val="clear" w:color="auto" w:fill="CCEEFF"/>
          </w:tcPr>
          <w:p>
            <w:pPr>
              <w:spacing w:after="0"/>
              <w:rPr>
                <w:sz w:val="8"/>
                <w:szCs w:val="8"/>
                <w:color w:val="auto"/>
              </w:rPr>
            </w:pPr>
          </w:p>
        </w:tc>
      </w:tr>
    </w:tbl>
    <w:p>
      <w:pPr>
        <w:sectPr>
          <w:pgSz w:w="11900" w:h="16900" w:orient="portrait"/>
          <w:cols w:equalWidth="0" w:num="1">
            <w:col w:w="11260"/>
          </w:cols>
          <w:pgMar w:left="320" w:top="216" w:right="319" w:bottom="0" w:gutter="0" w:footer="0" w:header="0"/>
        </w:sectPr>
      </w:pPr>
    </w:p>
    <w:bookmarkStart w:id="7" w:name="page8"/>
    <w:bookmarkEnd w:id="7"/>
    <w:p>
      <w:pPr>
        <w:ind w:right="240"/>
        <w:spacing w:after="0" w:line="255" w:lineRule="auto"/>
        <w:rPr>
          <w:sz w:val="20"/>
          <w:szCs w:val="20"/>
          <w:color w:val="auto"/>
        </w:rPr>
      </w:pPr>
      <w:r>
        <w:rPr>
          <w:rFonts w:ascii="Arial" w:cs="Arial" w:eastAsia="Arial" w:hAnsi="Arial"/>
          <w:sz w:val="18"/>
          <w:szCs w:val="18"/>
          <w:color w:val="auto"/>
        </w:rPr>
        <w:t>stock- AGP At The Market offering, net of issuance costs</w:t>
      </w:r>
    </w:p>
    <w:p>
      <w:pPr>
        <w:spacing w:after="0" w:line="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Other comprehensive gain Balances at October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24,153,554</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24</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(4,251)   $</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(302)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  240,648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(226,545)   $</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13,650</w:t>
            </w:r>
          </w:p>
        </w:tc>
        <w:tc>
          <w:tcPr>
            <w:tcW w:w="60" w:type="dxa"/>
            <w:vAlign w:val="bottom"/>
          </w:tcPr>
          <w:p>
            <w:pPr>
              <w:spacing w:after="0"/>
              <w:rPr>
                <w:sz w:val="24"/>
                <w:szCs w:val="24"/>
                <w:color w:val="auto"/>
              </w:rPr>
            </w:pP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gridSpan w:val="16"/>
          </w:tcPr>
          <w:p>
            <w:pPr>
              <w:jc w:val="center"/>
              <w:ind w:right="820"/>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-1422400</wp:posOffset>
            </wp:positionV>
            <wp:extent cx="713232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-865505</wp:posOffset>
            </wp:positionV>
            <wp:extent cx="71323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-1327785</wp:posOffset>
            </wp:positionH>
            <wp:positionV relativeFrom="paragraph">
              <wp:posOffset>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900" w:space="200"/>
            <w:col w:w="91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8"/>
                <w:szCs w:val="18"/>
                <w:color w:val="auto"/>
              </w:rPr>
              <w:t>Six months ended October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(8,250)</w:t>
            </w:r>
          </w:p>
        </w:tc>
        <w:tc>
          <w:tcPr>
            <w:tcW w:w="1100" w:type="dxa"/>
            <w:vAlign w:val="bottom"/>
          </w:tcPr>
          <w:p>
            <w:pPr>
              <w:jc w:val="right"/>
              <w:ind w:right="9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(6,409)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Foreign exchange loss (gain)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12</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 of use asset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139</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105</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Loss on disposal of property, plant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extinguishment of PPP Loan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(891)</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547</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223</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170</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105</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154</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(73)</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(410)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(305)</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812</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 in lease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(147)</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Contract liabilities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117</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Litigation payable</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(1,224)</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(10,375</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080" w:type="dxa"/>
            <w:vAlign w:val="bottom"/>
          </w:tcPr>
          <w:p>
            <w:pPr>
              <w:spacing w:after="0"/>
              <w:rPr>
                <w:sz w:val="19"/>
                <w:szCs w:val="19"/>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(24)</w:t>
            </w:r>
          </w:p>
        </w:tc>
        <w:tc>
          <w:tcPr>
            <w:tcW w:w="1100" w:type="dxa"/>
            <w:vAlign w:val="bottom"/>
          </w:tcPr>
          <w:p>
            <w:pPr>
              <w:spacing w:after="0"/>
              <w:rPr>
                <w:sz w:val="19"/>
                <w:szCs w:val="19"/>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4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890</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loan payable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467</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loan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21</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3,241</w:t>
            </w: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w w:val="97"/>
              </w:rPr>
              <w:t>Proceeds from issuance of common stock- AGP At The Market offering, net of issuance costs</w:t>
            </w:r>
          </w:p>
        </w:tc>
        <w:tc>
          <w:tcPr>
            <w:tcW w:w="108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6,094</w:t>
            </w:r>
          </w:p>
        </w:tc>
      </w:tr>
      <w:tr>
        <w:trPr>
          <w:trHeight w:val="210"/>
        </w:trPr>
        <w:tc>
          <w:tcPr>
            <w:tcW w:w="74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(decrease) / increase in cash, cash equivalents and restricted cash</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(10,398)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8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83,634</w:t>
            </w:r>
          </w:p>
        </w:tc>
        <w:tc>
          <w:tcPr>
            <w:tcW w:w="1100" w:type="dxa"/>
            <w:vAlign w:val="bottom"/>
          </w:tcPr>
          <w:p>
            <w:pPr>
              <w:spacing w:after="0"/>
              <w:rPr>
                <w:sz w:val="19"/>
                <w:szCs w:val="19"/>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10,930</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80" w:type="dxa"/>
            <w:vAlign w:val="bottom"/>
            <w:tcBorders>
              <w:top w:val="single" w:sz="8" w:color="auto"/>
              <w:bottom w:val="single" w:sz="8" w:color="auto"/>
            </w:tcBorders>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Prepaid financing costs reported in accrued expenses</w:t>
            </w: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49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Background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We are a complete solutions provider, controlling the design, manufacturing, sales, installation, operations and maintenance of our products while working closely with partners that provide payloads, integration services, and marine installation capabilities. Our solutions provide distributed offshore power which is persistent, reliable, and economical along with power and communications for remote surface and subsea applications. Historically, funding from government agencies, such as research and development grants, accounted for a significant portion of the Company’s revenues. Today our goal is to generate the majority of our revenue from the sale or lease of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10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2021, as filed with the SEC and elsewhere in this Form 10-Q. Certain items have been reclassified from prior periods to be consistent with current GAAP presentations.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Liquidity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six months ended October 31, 2021, and the fiscal year ended April 30, 2021, the Company incurred net losses of approximately $8.3 million and $14.8 million, respectively, and used cash in operations of approximately $10.4 million and $11.7 million, respectively. The Company has continued to make investments in ongoing product development efforts in anticipation of future growth, including its recent acquisition of Marine Advanced Robotics, Inc., as described in Note 19. The Company’s future results of operations involve significant risks and uncertainties. Factors that could affect the Company’s future operating results and cause actual results to vary materially from expectations include, but are not limited to, performance of its products, its ability to market and commercialize its products and new products that it may develop, technology development, scalability of technology and production, dependence on skills of key personnel, concentration of customers and suppliers, deployment risks and integration of acquisitions, pending or threatened litigation, and the impact of COVID-19 and any variants on its business. The Company previously obtained equity financing through its At the Market Offering Agreement (“ATM”) with A.G.P/Alliance Global Partners (“AGP”) and through its equity line financing with Aspire Capital, but the Company cannot be sure that additional equity and/or debt financing will be available to the Company as needed on acceptable terms, or at all. For fiscal year 2022 to date, management has not obtained any additional capital financing. Management believes the Company’s current cash balance of $72.6 million is sufficient to fund its planned expenditures through at least December 2022.</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7, 2019, the Company entered into an At the Market Offering Agreement with AGP (the “2019 ATM Facility”), under which the Company could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including 12,342,506 shares in fiscal year 2021 with an aggregate market value of $18.7 million at an average price of $1.51 per share and paid AGP a sales commission of approximately $0.8 million related to those shares. The agreement was fully utilized and terminated on December 8,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20, 2020, the Company entered into another At the Market Offering Agreement with AGP (the “2020 ATM Facility”), having capacity up to $100.0 million.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October 31, 2021, the Company had sold and issued an aggregate of 17,179,883 shares of its common stock with an aggregate market value of $50.0 million at an average price of $2.91 per share and paid AGP a sales commission of approximately $1.6 million related to those shares. A prospectus supplement would need to be filed for the Company to sell an additional amount under the 2020 ATM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terminated on September 18, 2020.</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exceeds the 19.99% limit of the outstanding common stock on the date of the agreement. Through October 31, 2021, the Company had sold an aggregate of 3,722,251 shares of common stock with an aggregate market value of $11.8 million at an average price of $3.17 per share pursuant to this common stock purchase agreement with approximately $1.0 million remaining on the facility as of October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estimated costs to complete projects and percentage of completion of customer contracts for purposes of revenue recognition. Actual results could differ from those estimates.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considers all highly liquid investments with a maturity of three months or less when purchased to be cash equivalents. The Company invests excess cash in a money market account. The following table summarizes cash and cash equivalents as of October 31, 2021 and April 30,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October 31, 2021</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30, 2021</w:t>
            </w:r>
          </w:p>
        </w:tc>
      </w:tr>
      <w:tr>
        <w:trPr>
          <w:trHeight w:val="209"/>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Money market account</w:t>
            </w:r>
          </w:p>
        </w:tc>
        <w:tc>
          <w:tcPr>
            <w:tcW w:w="14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71,917</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81,178</w:t>
            </w: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letter of credit agreement with Santander Bank, N.A. (“Santander”). Cash of $157,000 is on deposit at Santander and serves as security for a letter of credit issued by Santander for the lease of warehouse/office space in Monroe Township, New Jersey. This agreement cannot be extended beyond July 31, 2025 and is cancellable at the discretion of Santander.</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Santander also issued two letters of credit to subsidiaries of Enel Green Power (“EGP”) pursuant to the Company’s contracts with EGP. The first letter of credit was issued in the amount of $126,000 that will be released 12 months after the PB3 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(“PB3”) is fully deployed. The second letter of credit was issued in the amount of $645,000 and was reduced to $323,000 in August 2020. The second letter of credit will be reduced by $64,000 once the PB3 is fully deployed and passes final acceptance testing. The remaining restricted amount of $258,000 will be released 12 months after the buoy is fully deployed.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October 31, 2021</w:t>
            </w:r>
          </w:p>
        </w:tc>
        <w:tc>
          <w:tcPr>
            <w:tcW w:w="2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April 30, 2021</w:t>
            </w:r>
          </w:p>
        </w:tc>
      </w:tr>
      <w:tr>
        <w:trPr>
          <w:trHeight w:val="210"/>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72,630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83,028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73,236</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instruments that potentially subject the Company to credit risk consist principally of accounts receivable and cash and cash equivalents. The Company believes that its current contracts do not represent a risk of collectability on its receivables. The Company invests its excess cash in a money market account and does not believe that it is exposed to any significant risks related to its cash and money market accounts. Cash and cash equivalents are also maintained at foreign financial institutions. Cash and cash equivalents in foreign financial institutions as of October 31, 2021 was $32,000.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shows the amount of the Company’s revenues derived from customers whose revenues accounted for at least 10% of the Company’s consolidated revenues for at least one of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color w:val="auto"/>
                <w:w w:val="88"/>
              </w:rPr>
              <w:t>Three months ended October 31,</w:t>
            </w: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tcBorders>
              <w:bottom w:val="single" w:sz="8" w:color="auto"/>
            </w:tcBorders>
            <w:gridSpan w:val="5"/>
          </w:tcPr>
          <w:p>
            <w:pPr>
              <w:jc w:val="center"/>
              <w:ind w:left="316"/>
              <w:spacing w:after="0"/>
              <w:rPr>
                <w:sz w:val="20"/>
                <w:szCs w:val="20"/>
                <w:color w:val="auto"/>
              </w:rPr>
            </w:pPr>
            <w:r>
              <w:rPr>
                <w:rFonts w:ascii="Arial" w:cs="Arial" w:eastAsia="Arial" w:hAnsi="Arial"/>
                <w:sz w:val="18"/>
                <w:szCs w:val="18"/>
                <w:color w:val="auto"/>
                <w:w w:val="89"/>
              </w:rPr>
              <w:t>Six months ended October 31,</w:t>
            </w: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(in thousands)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20" w:type="dxa"/>
            <w:vAlign w:val="bottom"/>
            <w:gridSpan w:val="4"/>
          </w:tcPr>
          <w:p>
            <w:pPr>
              <w:jc w:val="center"/>
              <w:ind w:right="600"/>
              <w:spacing w:after="0"/>
              <w:rPr>
                <w:sz w:val="20"/>
                <w:szCs w:val="20"/>
                <w:color w:val="auto"/>
              </w:rPr>
            </w:pPr>
            <w:r>
              <w:rPr>
                <w:rFonts w:ascii="Arial" w:cs="Arial" w:eastAsia="Arial" w:hAnsi="Arial"/>
                <w:sz w:val="18"/>
                <w:szCs w:val="18"/>
                <w:color w:val="auto"/>
                <w:w w:val="89"/>
              </w:rPr>
              <w:t>(in thousands)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0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Department of Energy</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81</w:t>
            </w:r>
          </w:p>
        </w:tc>
        <w:tc>
          <w:tcPr>
            <w:tcW w:w="1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Clark Hill</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Matthews</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Valaris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1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r>
      <w:tr>
        <w:trPr>
          <w:trHeight w:val="223"/>
        </w:trPr>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Share-Based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and six months ended October 31, 2021 and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 October 31,</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8"/>
                <w:szCs w:val="18"/>
                <w:color w:val="auto"/>
              </w:rPr>
              <w:t>Six months ended October 31,</w:t>
            </w:r>
          </w:p>
        </w:tc>
      </w:tr>
      <w:tr>
        <w:trPr>
          <w:trHeight w:val="223"/>
        </w:trPr>
        <w:tc>
          <w:tcPr>
            <w:tcW w:w="3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09"/>
        </w:trPr>
        <w:tc>
          <w:tcPr>
            <w:tcW w:w="3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3"/>
          </w:tcPr>
          <w:p>
            <w:pPr>
              <w:jc w:val="right"/>
              <w:ind w:right="690"/>
              <w:spacing w:after="0"/>
              <w:rPr>
                <w:sz w:val="20"/>
                <w:szCs w:val="20"/>
                <w:color w:val="auto"/>
              </w:rPr>
            </w:pPr>
            <w:r>
              <w:rPr>
                <w:rFonts w:ascii="Arial" w:cs="Arial" w:eastAsia="Arial" w:hAnsi="Arial"/>
                <w:sz w:val="18"/>
                <w:szCs w:val="18"/>
                <w:color w:val="auto"/>
                <w:w w:val="96"/>
              </w:rPr>
              <w:t>(in thousands)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17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2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October 31, 2021 and 2020. The Company presents shipping and handling costs, that occur after control of the promised goods or services transfer to the customer, as fulfillment costs rather than evaluating whether the shipping and handling activities are promised services to the customer.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incentive awards,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six-month periods ended October 31, 2021 and 2020, all of the Company’s contracts were classified as firm fixed price.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31, 2021, the Company’s total remaining performance obligations, also referred to as backlog, totaled $0.3 million. The Company expects to recognize 100%, or $0.3 million, of the remaining performance obligations as revenue over the next twelve months.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enters into lease arrangements for its PB3 with certain customers.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Solutions Leasing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enters into lease arrangements with certain customers for their products and solutions. As of October 31, 2021, the Company had one lease arrangement with a remaining operating lease term of less than 7 months.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operating leases.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which is presented in Revenues in the Consolidated Statements of Operations. The lease income for the six months ended October 31, 2021 and 2020 was immaterial.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Common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and diluted net loss per common share for all periods presented is computed by dividing net loss by the weighted average number of shares of common stock and common stock equivalents outstanding during the periods.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unvested restricted stock issued to employees and non-employee directors, were excluded from the diluted loss per common share calculation due to their anti-dilutive effect.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computing diluted net loss per common share on the Consolidated Statements of Operations, warrants exercisable for common stock, options to purchase shares of common stock and non-vested restricted stock issued to employees and non-employee directors, totaling 4,928,474 and 5,540,469 for the six months ended October 31, 2021 and 2020, respectively, were excluded from each of the computations as the effect would be anti-dilutive due to the Company’s net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Standards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 Receivable and Contract Assets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provides further details on the balance sheet accounts of accounts receivable and contract assets from contracts with customers: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w w:val="94"/>
              </w:rPr>
              <w:t>October 31, 2021</w:t>
            </w:r>
          </w:p>
        </w:tc>
        <w:tc>
          <w:tcPr>
            <w:tcW w:w="36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30, 2021</w:t>
            </w:r>
          </w:p>
        </w:tc>
      </w:tr>
      <w:tr>
        <w:trPr>
          <w:trHeight w:val="210"/>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3"/>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60 days after invoicing). Generally, invoicing occurs after the related services are performed or control of goods have transferred to the customer. Accounts receivable represent an unconditional right to consideration arising from the Company’s performance under contracts with customers. The carrying value of such receivables represents their estimated realizable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9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i w:val="1"/>
                <w:iCs w:val="1"/>
                <w:color w:val="auto"/>
                <w:w w:val="99"/>
              </w:rPr>
              <w:t>Contract Assets</w:t>
            </w:r>
          </w:p>
        </w:tc>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000" w:type="dxa"/>
            <w:vAlign w:val="bottom"/>
            <w:gridSpan w:val="2"/>
          </w:tcPr>
          <w:p>
            <w:pPr>
              <w:spacing w:after="0"/>
              <w:rPr>
                <w:sz w:val="20"/>
                <w:szCs w:val="20"/>
                <w:color w:val="auto"/>
              </w:rPr>
            </w:pPr>
            <w:r>
              <w:rPr>
                <w:rFonts w:ascii="Arial" w:cs="Arial" w:eastAsia="Arial" w:hAnsi="Arial"/>
                <w:sz w:val="18"/>
                <w:szCs w:val="18"/>
                <w:color w:val="auto"/>
              </w:rPr>
              <w:t>Significant changes in the contract assets balances during the period were as follows:</w:t>
            </w: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Six months ended</w:t>
            </w:r>
          </w:p>
        </w:tc>
      </w:tr>
      <w:tr>
        <w:trPr>
          <w:trHeight w:val="230"/>
        </w:trPr>
        <w:tc>
          <w:tcPr>
            <w:tcW w:w="12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October 31, 2021</w:t>
            </w:r>
          </w:p>
        </w:tc>
      </w:tr>
      <w:tr>
        <w:trPr>
          <w:trHeight w:val="209"/>
        </w:trPr>
        <w:tc>
          <w:tcPr>
            <w:tcW w:w="1280" w:type="dxa"/>
            <w:vAlign w:val="bottom"/>
            <w:tcBorders>
              <w:bottom w:val="single" w:sz="8" w:color="CCEEFF"/>
            </w:tcBorders>
          </w:tcPr>
          <w:p>
            <w:pPr>
              <w:spacing w:after="0"/>
              <w:rPr>
                <w:sz w:val="18"/>
                <w:szCs w:val="18"/>
                <w:color w:val="auto"/>
              </w:rPr>
            </w:pPr>
          </w:p>
        </w:tc>
        <w:tc>
          <w:tcPr>
            <w:tcW w:w="77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CCEEFF"/>
            </w:tcBorders>
          </w:tcPr>
          <w:p>
            <w:pPr>
              <w:spacing w:after="0"/>
              <w:rPr>
                <w:sz w:val="18"/>
                <w:szCs w:val="18"/>
                <w:color w:val="auto"/>
              </w:rPr>
            </w:pPr>
          </w:p>
        </w:tc>
      </w:tr>
      <w:tr>
        <w:trPr>
          <w:trHeight w:val="209"/>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Revenue recognized and not billed as of the end of the period</w:t>
            </w:r>
          </w:p>
        </w:tc>
        <w:tc>
          <w:tcPr>
            <w:tcW w:w="26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23"/>
        </w:trPr>
        <w:tc>
          <w:tcPr>
            <w:tcW w:w="9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contract assets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conditioned on completing additional tasks or services for a performance obligation.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(4) Other Current Assets</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Other current assets consisted of the following at October 31, 2021 and April 30, 2021:</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October 31, 2021</w:t>
            </w:r>
          </w:p>
        </w:tc>
        <w:tc>
          <w:tcPr>
            <w:tcW w:w="200" w:type="dxa"/>
            <w:vAlign w:val="bottom"/>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color w:val="auto"/>
              </w:rPr>
              <w:t>April 30, 2021</w:t>
            </w:r>
          </w:p>
        </w:tc>
      </w:tr>
      <w:tr>
        <w:trPr>
          <w:trHeight w:val="209"/>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recruiting</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net as of October 31, 2021 and April 30, 2021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October 31, 2021</w:t>
            </w:r>
          </w:p>
        </w:tc>
        <w:tc>
          <w:tcPr>
            <w:tcW w:w="200" w:type="dxa"/>
            <w:vAlign w:val="bottom"/>
          </w:tcPr>
          <w:p>
            <w:pPr>
              <w:spacing w:after="0"/>
              <w:rPr>
                <w:sz w:val="20"/>
                <w:szCs w:val="20"/>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April 30, 2021</w:t>
            </w:r>
          </w:p>
        </w:tc>
      </w:tr>
      <w:tr>
        <w:trPr>
          <w:trHeight w:val="210"/>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4"/>
          </w:tcPr>
          <w:p>
            <w:pPr>
              <w:jc w:val="right"/>
              <w:ind w:right="1250"/>
              <w:spacing w:after="0"/>
              <w:rPr>
                <w:sz w:val="20"/>
                <w:szCs w:val="20"/>
                <w:color w:val="auto"/>
              </w:rPr>
            </w:pPr>
            <w:r>
              <w:rPr>
                <w:rFonts w:ascii="Arial" w:cs="Arial" w:eastAsia="Arial" w:hAnsi="Arial"/>
                <w:sz w:val="18"/>
                <w:szCs w:val="18"/>
                <w:color w:val="auto"/>
              </w:rPr>
              <w:t>(in thousands)</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w:t>
            </w:r>
          </w:p>
        </w:tc>
        <w:tc>
          <w:tcPr>
            <w:tcW w:w="2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r>
      <w:tr>
        <w:trPr>
          <w:trHeight w:val="223"/>
        </w:trPr>
        <w:tc>
          <w:tcPr>
            <w:tcW w:w="7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$70,000 and $73,000 for the six month periods ended October 31, 2021 and 2020,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October 31, 2021, the Company has one lease which has been classified as an operating lease per accounting guidance contained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Company’s remaining term on this operating lease is less than 10 months. The maturity of lease payments remaining on this lease is 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lease for its facility located in Monroe Township, New Jersey that is used as warehouse/production space and the Company’s principal offices and corporate headquarters. The initial lease term is for seven years which expires in November of 2024 with an option to extend the lease for another five years. The lease is classified as an operating lease. The operating lease is included in right-of-use assets, lease liabilities- current and lease liabilities- long-term on the Company’s Consolidated Balance Sheets.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one lease located in Houston, Texas that was acquired as part of the 3Dent acquisition (see Note 18) that is used as office space. The lease term is for 3 years and is set to expire in January of 2023. The lease is classified as an operating lease and included in the right-of-use assets, lease liabilities- current and lease liabilities- long-term on the Company’s Consolidated Balance Sheets.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one lease for additional office space also located in Houston, Texas. The lease was renewed for a 12-month term ending on June 30, 2022. In accordance with ASC 842-20-5-2, since the lease term is 12 months, the asset was recognized directly to the profit and loss statement on a straight-line basis and was not recognized as a right-of-use asset.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lease cash flow payments for the three months ended October 31, 2021 and 2020 were $102,000 and $85,000, respectively. The operating lease cash flow payments for the six months ended October 31, 2021 and 2020 were $204,000 and $168,000,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lease expense in the Consolidated Statements of Operations for the three and six months ended October 31, 2021 and 2020 were as follows: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8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 October 31,</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8"/>
                <w:szCs w:val="18"/>
                <w:color w:val="auto"/>
              </w:rPr>
              <w:t>Six months ended October 31,</w:t>
            </w:r>
          </w:p>
        </w:tc>
      </w:tr>
      <w:tr>
        <w:trPr>
          <w:trHeight w:val="223"/>
        </w:trPr>
        <w:tc>
          <w:tcPr>
            <w:tcW w:w="2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0"/>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gridSpan w:val="3"/>
          </w:tcPr>
          <w:p>
            <w:pPr>
              <w:jc w:val="right"/>
              <w:ind w:right="730"/>
              <w:spacing w:after="0"/>
              <w:rPr>
                <w:sz w:val="20"/>
                <w:szCs w:val="20"/>
                <w:color w:val="auto"/>
              </w:rPr>
            </w:pPr>
            <w:r>
              <w:rPr>
                <w:rFonts w:ascii="Arial" w:cs="Arial" w:eastAsia="Arial" w:hAnsi="Arial"/>
                <w:sz w:val="18"/>
                <w:szCs w:val="18"/>
                <w:color w:val="auto"/>
                <w:w w:val="96"/>
              </w:rPr>
              <w:t>(in thousands)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Short-term lease cost</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29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760" w:type="dxa"/>
            <w:vAlign w:val="bottom"/>
            <w:gridSpan w:val="3"/>
          </w:tcPr>
          <w:p>
            <w:pPr>
              <w:spacing w:after="0"/>
              <w:rPr>
                <w:sz w:val="20"/>
                <w:szCs w:val="20"/>
                <w:color w:val="auto"/>
              </w:rPr>
            </w:pPr>
            <w:r>
              <w:rPr>
                <w:rFonts w:ascii="Arial" w:cs="Arial" w:eastAsia="Arial" w:hAnsi="Arial"/>
                <w:sz w:val="18"/>
                <w:szCs w:val="18"/>
                <w:color w:val="auto"/>
                <w:w w:val="95"/>
              </w:rPr>
              <w:t>Information related to the Company’s right-of use assets and lease liabilities as of October 31, 2021 was as follows: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ind w:right="480"/>
              <w:spacing w:after="0"/>
              <w:rPr>
                <w:sz w:val="20"/>
                <w:szCs w:val="20"/>
                <w:color w:val="auto"/>
              </w:rPr>
            </w:pPr>
            <w:r>
              <w:rPr>
                <w:rFonts w:ascii="Arial" w:cs="Arial" w:eastAsia="Arial" w:hAnsi="Arial"/>
                <w:sz w:val="18"/>
                <w:szCs w:val="18"/>
                <w:color w:val="auto"/>
                <w:w w:val="96"/>
              </w:rPr>
              <w:t>October 31, 2021</w:t>
            </w:r>
          </w:p>
        </w:tc>
      </w:tr>
      <w:tr>
        <w:trPr>
          <w:trHeight w:val="224"/>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8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760" w:type="dxa"/>
            <w:vAlign w:val="bottom"/>
            <w:gridSpan w:val="3"/>
          </w:tcPr>
          <w:p>
            <w:pPr>
              <w:spacing w:after="0"/>
              <w:rPr>
                <w:sz w:val="20"/>
                <w:szCs w:val="20"/>
                <w:color w:val="auto"/>
              </w:rPr>
            </w:pPr>
            <w:r>
              <w:rPr>
                <w:rFonts w:ascii="Arial" w:cs="Arial" w:eastAsia="Arial" w:hAnsi="Arial"/>
                <w:sz w:val="18"/>
                <w:szCs w:val="18"/>
                <w:color w:val="auto"/>
              </w:rPr>
              <w:t>Operating right-of-use asset, net</w:t>
            </w:r>
          </w:p>
        </w:tc>
        <w:tc>
          <w:tcPr>
            <w:tcW w:w="6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4"/>
                <w:szCs w:val="24"/>
                <w:color w:val="auto"/>
              </w:rPr>
            </w:pP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60" w:type="dxa"/>
            <w:vAlign w:val="bottom"/>
            <w:gridSpan w:val="3"/>
          </w:tcPr>
          <w:p>
            <w:pPr>
              <w:ind w:left="180"/>
              <w:spacing w:after="0"/>
              <w:rPr>
                <w:sz w:val="20"/>
                <w:szCs w:val="20"/>
                <w:color w:val="auto"/>
              </w:rPr>
            </w:pPr>
            <w:r>
              <w:rPr>
                <w:rFonts w:ascii="Arial" w:cs="Arial" w:eastAsia="Arial" w:hAnsi="Arial"/>
                <w:sz w:val="18"/>
                <w:szCs w:val="18"/>
                <w:color w:val="auto"/>
              </w:rPr>
              <w:t>Right-of-use liability- current</w:t>
            </w:r>
          </w:p>
        </w:tc>
        <w:tc>
          <w:tcPr>
            <w:tcW w:w="6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r>
      <w:tr>
        <w:trPr>
          <w:trHeight w:val="229"/>
        </w:trPr>
        <w:tc>
          <w:tcPr>
            <w:tcW w:w="8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Right-of-use liability- long term</w:t>
            </w: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r>
      <w:tr>
        <w:trPr>
          <w:trHeight w:val="263"/>
        </w:trPr>
        <w:tc>
          <w:tcPr>
            <w:tcW w:w="8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lease liability</w:t>
            </w:r>
          </w:p>
        </w:tc>
        <w:tc>
          <w:tcPr>
            <w:tcW w:w="4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60" w:type="dxa"/>
            <w:vAlign w:val="bottom"/>
            <w:gridSpan w:val="3"/>
          </w:tcPr>
          <w:p>
            <w:pPr>
              <w:spacing w:after="0"/>
              <w:rPr>
                <w:sz w:val="20"/>
                <w:szCs w:val="20"/>
                <w:color w:val="auto"/>
              </w:rPr>
            </w:pPr>
            <w:r>
              <w:rPr>
                <w:rFonts w:ascii="Arial" w:cs="Arial" w:eastAsia="Arial" w:hAnsi="Arial"/>
                <w:sz w:val="18"/>
                <w:szCs w:val="18"/>
                <w:color w:val="auto"/>
              </w:rPr>
              <w:t>Weighted average remaining lease term- operating leases</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2.86 years</w:t>
            </w:r>
          </w:p>
        </w:tc>
      </w:tr>
      <w:tr>
        <w:trPr>
          <w:trHeight w:val="216"/>
        </w:trPr>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r>
      <w:tr>
        <w:trPr>
          <w:trHeight w:val="432"/>
        </w:trPr>
        <w:tc>
          <w:tcPr>
            <w:tcW w:w="8760" w:type="dxa"/>
            <w:vAlign w:val="bottom"/>
            <w:gridSpan w:val="3"/>
          </w:tcPr>
          <w:p>
            <w:pPr>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3"/>
          </w:tcPr>
          <w:p>
            <w:pPr>
              <w:jc w:val="right"/>
              <w:ind w:right="440"/>
              <w:spacing w:after="0"/>
              <w:rPr>
                <w:sz w:val="20"/>
                <w:szCs w:val="20"/>
                <w:color w:val="auto"/>
              </w:rPr>
            </w:pPr>
            <w:r>
              <w:rPr>
                <w:rFonts w:ascii="Arial" w:cs="Arial" w:eastAsia="Arial" w:hAnsi="Arial"/>
                <w:sz w:val="18"/>
                <w:szCs w:val="18"/>
                <w:color w:val="auto"/>
                <w:w w:val="99"/>
              </w:rPr>
              <w:t>October 31, 2021</w:t>
            </w:r>
          </w:p>
        </w:tc>
      </w:tr>
      <w:tr>
        <w:trPr>
          <w:trHeight w:val="224"/>
        </w:trPr>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9"/>
                <w:szCs w:val="19"/>
                <w:color w:val="auto"/>
              </w:rPr>
            </w:pPr>
          </w:p>
        </w:tc>
      </w:tr>
      <w:tr>
        <w:trPr>
          <w:trHeight w:val="202"/>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fiscal year 2022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391</w:t>
            </w: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29"/>
        </w:trPr>
        <w:tc>
          <w:tcPr>
            <w:tcW w:w="118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182</w:t>
            </w:r>
          </w:p>
        </w:tc>
      </w:tr>
      <w:tr>
        <w:trPr>
          <w:trHeight w:val="209"/>
        </w:trPr>
        <w:tc>
          <w:tcPr>
            <w:tcW w:w="87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760" w:type="dxa"/>
            <w:vAlign w:val="bottom"/>
            <w:gridSpan w:val="3"/>
          </w:tcPr>
          <w:p>
            <w:pPr>
              <w:spacing w:after="0"/>
              <w:rPr>
                <w:sz w:val="20"/>
                <w:szCs w:val="20"/>
                <w:color w:val="auto"/>
              </w:rPr>
            </w:pPr>
            <w:r>
              <w:rPr>
                <w:rFonts w:ascii="Arial" w:cs="Arial" w:eastAsia="Arial" w:hAnsi="Arial"/>
                <w:sz w:val="18"/>
                <w:szCs w:val="18"/>
                <w:color w:val="auto"/>
              </w:rPr>
              <w:t>Less imputed interest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(117)</w:t>
            </w:r>
          </w:p>
        </w:tc>
      </w:tr>
      <w:tr>
        <w:trPr>
          <w:trHeight w:val="223"/>
        </w:trPr>
        <w:tc>
          <w:tcPr>
            <w:tcW w:w="8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October 31, 2021 and April 30, 2021:</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October 31, 2021</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30, 2021</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Contract loss reserve</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shd w:val="clear" w:color="auto" w:fill="CCEEFF"/>
          </w:tcPr>
          <w:p>
            <w:pPr>
              <w:spacing w:after="0"/>
              <w:rPr>
                <w:sz w:val="19"/>
                <w:szCs w:val="19"/>
                <w:color w:val="auto"/>
              </w:rPr>
            </w:pPr>
          </w:p>
        </w:tc>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vMerge w:val="restart"/>
          </w:tcPr>
          <w:p>
            <w:pPr>
              <w:jc w:val="right"/>
              <w:ind w:right="163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will expire on December 3, 2021, five years following the Initial Exercise Date. As of October 31, 2021, none of the warrants had been exercised.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will expire on the fifth (5th) anniversary of the initial exercise date of January 23, 2017. As of October 31, 2021, none of the warrants had been exercised.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October 31, 2021, all of the pre-funded warrants had been exercised. The common stock warrants have an exercise price of $3.85 per share and expire five years from the issuance date. As of October 31, 2021, all of the common warrants had been exercised.</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warrants issued in connection with its June 2016 and July 2016 public offerings in accordance with the guidance on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in Topic 480 which provides that the Company classify the warrant instruments as a liability at its fair value. The warrant liabilities are subject to re-measurement at each balance sheet date using the Black-Scholes option pricing model. The June 2016 and July 2016 warrants contain a feature whereby they could require the transfer of assets and therefore are classified as a liability award in accordance with the guidance in Topic 480. The warrants had a value near zero at October 31, 2021 and April 30, 2021. The pre-funded and common warrants issued in the Company’s April 8, 2019 public offering did not meet the criteria to be classified as a liability award and therefore were treated as an equity award and recorded as a component of shareholders’ equity in the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Paycheck Protection Program Loan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as the lender for approximately $891,000 in support through the Small Business Association (“SBA”) under the PPP Loan. The PPP Loan was unsecured and evidenced by a note in favor of Santander as the lender and governed by a Loan Agreement with Santander. The loan contained an interest rate of 1% and was repayable over two years. The loan contained customary events of defaults relating to, among other things, payment defaults or breaches of the terms of the loan. Upon the occurrence of an event of default, the lender could have required immediate repayment of all outstanding amounts under the loan. Interest and principal payments were deferred for the first 6 months from the date of the loan. Principal and interest were payable monthly commencing 6 months after the disbursement date and were allowed to be repaid by the Company at any time prior to maturity with no prepayment penalties. The Company received the proceeds on May 5,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filed its loan forgiveness application at the end of February 2021 asking for 100% forgiveness of the loan. In June 2021, the Company was informed that its application was approved, and that the loan is now fully forgiven. The Company recognized a gain on extinguishment of PPP loan of approximately $891,000 during the six months ended October 31, 2021 as reflected on the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October 31, 2021,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authorized 100,000,000 shares of common stock with a par value of $0.001 per share. As of October 31, 2021, 52,499,051 shares had been issued and are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each of the six months ended October 31, 2021 and 2020, no shares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October 31, 2021, the Company has 193,928 shares available for future issuance under the 2015 Plan which reflects adjustments made for the departure of our former CEO as well as other departures.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October 31, 2021, there were 11,487 shares available for grant under the 2018 Inducement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is estimated using the “simplified” method as permitted by the SEC’s Staff Accounting Bulletin No. 110,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is based on the Company’s historical volatility over the expected life of the stock option granted. The Company did not grant any stock options during the three and six months ended October 31, 2021 and 2020. A summary of stock options under our stock incentive plans is detailed in the following table.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Weighted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300" w:type="dxa"/>
            <w:vAlign w:val="bottom"/>
          </w:tcPr>
          <w:p>
            <w:pPr>
              <w:spacing w:after="0"/>
              <w:rPr>
                <w:sz w:val="18"/>
                <w:szCs w:val="18"/>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Average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5300" w:type="dxa"/>
            <w:vAlign w:val="bottom"/>
          </w:tcPr>
          <w:p>
            <w:pPr>
              <w:spacing w:after="0"/>
              <w:rPr>
                <w:sz w:val="18"/>
                <w:szCs w:val="18"/>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Underlying</w:t>
            </w: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86"/>
              </w:rPr>
              <w:t>Exercise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5300" w:type="dxa"/>
            <w:vAlign w:val="bottom"/>
          </w:tcPr>
          <w:p>
            <w:pPr>
              <w:spacing w:after="0"/>
              <w:rPr>
                <w:sz w:val="20"/>
                <w:szCs w:val="20"/>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Options</w:t>
            </w:r>
          </w:p>
        </w:tc>
        <w:tc>
          <w:tcPr>
            <w:tcW w:w="12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Price</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2021</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2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(6,666)</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Expired</w:t>
            </w:r>
          </w:p>
        </w:tc>
        <w:tc>
          <w:tcPr>
            <w:tcW w:w="2160" w:type="dxa"/>
            <w:vAlign w:val="bottom"/>
            <w:gridSpan w:val="2"/>
          </w:tcPr>
          <w:p>
            <w:pPr>
              <w:jc w:val="right"/>
              <w:ind w:right="300"/>
              <w:spacing w:after="0"/>
              <w:rPr>
                <w:sz w:val="20"/>
                <w:szCs w:val="20"/>
                <w:color w:val="auto"/>
              </w:rPr>
            </w:pPr>
            <w:r>
              <w:rPr>
                <w:rFonts w:ascii="Arial" w:cs="Arial" w:eastAsia="Arial" w:hAnsi="Arial"/>
                <w:sz w:val="18"/>
                <w:szCs w:val="18"/>
                <w:color w:val="auto"/>
              </w:rPr>
              <w:t>(1,806)</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32.62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Cancelled/forfeited</w:t>
            </w:r>
          </w:p>
        </w:tc>
        <w:tc>
          <w:tcPr>
            <w:tcW w:w="2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(110,382)</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October 31, 2021</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397,973</w:t>
            </w:r>
          </w:p>
        </w:tc>
        <w:tc>
          <w:tcPr>
            <w:tcW w:w="3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0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4.16</w:t>
            </w:r>
          </w:p>
        </w:tc>
        <w:tc>
          <w:tcPr>
            <w:tcW w:w="17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197"/>
        </w:trPr>
        <w:tc>
          <w:tcPr>
            <w:tcW w:w="53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as of October 31, 2021</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239,780</w:t>
            </w: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1050"/>
              <w:spacing w:after="0" w:line="19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320"/>
              <w:spacing w:after="0" w:line="190" w:lineRule="exact"/>
              <w:rPr>
                <w:sz w:val="20"/>
                <w:szCs w:val="20"/>
                <w:color w:val="auto"/>
              </w:rPr>
            </w:pPr>
            <w:r>
              <w:rPr>
                <w:rFonts w:ascii="Arial" w:cs="Arial" w:eastAsia="Arial" w:hAnsi="Arial"/>
                <w:sz w:val="18"/>
                <w:szCs w:val="18"/>
                <w:color w:val="auto"/>
              </w:rPr>
              <w:t>4.98</w:t>
            </w:r>
          </w:p>
        </w:tc>
        <w:tc>
          <w:tcPr>
            <w:tcW w:w="178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7.8</w:t>
            </w:r>
          </w:p>
        </w:tc>
      </w:tr>
      <w:tr>
        <w:trPr>
          <w:trHeight w:val="20"/>
        </w:trPr>
        <w:tc>
          <w:tcPr>
            <w:tcW w:w="53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October 31, 2021, the total intrinsic value of outstanding and exercisable options was approximately $0.2 million. As of October 31, 2021, approximately 158,000 additional options were unvested, which had an intrinsic value of zero and a weighted average remaining contractual term of 9.2 years. There was approximately $115,000 and $188,000 of total recognized compensation cost related to stock options during each of the six months ended October 31, 2021 and 2020, respectively. As of October 31, 2021, there was approximately $0.2 million of total unrecognized compensation cost related to non-vested stock options granted under the plans. This cost is expected to be recognized over a weighted-average period of 1.0 year.</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acquisition of 3Dent (See Note 18) was valued at the fair value of the stock on the acquisition date of $1,451,584 (361,991 shares at $4.01). Since the shares will be restricted for one year and lack marketability, the Company applied a 20% discount to the purchase price making the adjusted fair value $1,161,267. Additionally, as the sellers must be employed for 12 months from the date of acquisition to retain all of their shares, the difference between the calculated fair value and the net assets acquired represents the value of the compensation expense to be recognized over the period of the agreed upon employment.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Purchase</w:t>
            </w:r>
          </w:p>
        </w:tc>
        <w:tc>
          <w:tcPr>
            <w:tcW w:w="40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1,161,267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Total Acquired Assets</w:t>
            </w:r>
          </w:p>
        </w:tc>
        <w:tc>
          <w:tcPr>
            <w:tcW w:w="40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(593,571)</w:t>
            </w:r>
          </w:p>
        </w:tc>
      </w:tr>
      <w:tr>
        <w:trPr>
          <w:trHeight w:val="23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Acquired Liabilities</w:t>
            </w:r>
          </w:p>
        </w:tc>
        <w:tc>
          <w:tcPr>
            <w:tcW w:w="40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117,106</w:t>
            </w:r>
          </w:p>
        </w:tc>
      </w:tr>
      <w:tr>
        <w:trPr>
          <w:trHeight w:val="210"/>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Compensation Expense</w:t>
            </w:r>
          </w:p>
        </w:tc>
        <w:tc>
          <w:tcPr>
            <w:tcW w:w="33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684,802</w:t>
            </w:r>
          </w:p>
        </w:tc>
        <w:tc>
          <w:tcPr>
            <w:tcW w:w="100" w:type="dxa"/>
            <w:vAlign w:val="bottom"/>
            <w:tcBorders>
              <w:bottom w:val="single" w:sz="8" w:color="CCEEFF"/>
            </w:tcBorders>
          </w:tcPr>
          <w:p>
            <w:pPr>
              <w:spacing w:after="0"/>
              <w:rPr>
                <w:sz w:val="18"/>
                <w:szCs w:val="18"/>
                <w:color w:val="auto"/>
              </w:rPr>
            </w:pP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Compensation Expense</w:t>
            </w:r>
          </w:p>
        </w:tc>
        <w:tc>
          <w:tcPr>
            <w:tcW w:w="33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recognize approximately $171,000 of compensation expense on a quarterly basis for the consideration paid until 12 months from the acquisition date of February 2,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January of 2020, the Company issued 81,337 performance-based stock options to two of its executives. There were 40,668 shares that were unvested and outstanding at October 31, 2021 which expire on December 15, 2021, 40,000 of which were exercised in December 2021.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of 2021, the Company issued 344,723 performance-based stock options to employees and executives. The awards vest over 2 years provided there is positive total shareholder return (e.g. share price increase) as measured by the closing share price on January 14, 2022 and January 14, 2023. There were 257,356 shares unvested and outstanding at October 31, 2021. None of the shares granted to our former President and CEO under this issuance vested and lapsed as of June 18, 2021. A summary of performance stock options under our stock incentive plans is detailed in the following table.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center"/>
              <w:ind w:left="290"/>
              <w:spacing w:after="0"/>
              <w:rPr>
                <w:sz w:val="20"/>
                <w:szCs w:val="20"/>
                <w:color w:val="auto"/>
              </w:rPr>
            </w:pPr>
            <w:r>
              <w:rPr>
                <w:rFonts w:ascii="Arial" w:cs="Arial" w:eastAsia="Arial" w:hAnsi="Arial"/>
                <w:sz w:val="18"/>
                <w:szCs w:val="18"/>
                <w:color w:val="auto"/>
                <w:w w:val="89"/>
              </w:rPr>
              <w:t>Weighted</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tcPr>
          <w:p>
            <w:pPr>
              <w:jc w:val="center"/>
              <w:ind w:left="290"/>
              <w:spacing w:after="0"/>
              <w:rPr>
                <w:sz w:val="20"/>
                <w:szCs w:val="20"/>
                <w:color w:val="auto"/>
              </w:rPr>
            </w:pPr>
            <w:r>
              <w:rPr>
                <w:rFonts w:ascii="Arial" w:cs="Arial" w:eastAsia="Arial" w:hAnsi="Arial"/>
                <w:sz w:val="18"/>
                <w:szCs w:val="18"/>
                <w:color w:val="auto"/>
                <w:w w:val="89"/>
              </w:rPr>
              <w:t>Average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3"/>
              </w:rPr>
              <w:t>Underlying</w:t>
            </w:r>
          </w:p>
        </w:tc>
        <w:tc>
          <w:tcPr>
            <w:tcW w:w="1260" w:type="dxa"/>
            <w:vAlign w:val="bottom"/>
          </w:tcPr>
          <w:p>
            <w:pPr>
              <w:jc w:val="center"/>
              <w:ind w:left="270"/>
              <w:spacing w:after="0"/>
              <w:rPr>
                <w:sz w:val="20"/>
                <w:szCs w:val="20"/>
                <w:color w:val="auto"/>
              </w:rPr>
            </w:pPr>
            <w:r>
              <w:rPr>
                <w:rFonts w:ascii="Arial" w:cs="Arial" w:eastAsia="Arial" w:hAnsi="Arial"/>
                <w:sz w:val="18"/>
                <w:szCs w:val="18"/>
                <w:color w:val="auto"/>
                <w:w w:val="89"/>
              </w:rPr>
              <w:t>Exercise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Options</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Price</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424,790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66,667</w:t>
            </w:r>
          </w:p>
        </w:tc>
        <w:tc>
          <w:tcPr>
            <w:tcW w:w="340" w:type="dxa"/>
            <w:vAlign w:val="bottom"/>
          </w:tcPr>
          <w:p>
            <w:pPr>
              <w:spacing w:after="0"/>
              <w:rPr>
                <w:sz w:val="18"/>
                <w:szCs w:val="18"/>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0.62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(13,334)</w:t>
            </w: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Cancelled/forfeited</w:t>
            </w:r>
          </w:p>
        </w:tc>
        <w:tc>
          <w:tcPr>
            <w:tcW w:w="2060" w:type="dxa"/>
            <w:vAlign w:val="bottom"/>
            <w:gridSpan w:val="3"/>
          </w:tcPr>
          <w:p>
            <w:pPr>
              <w:jc w:val="right"/>
              <w:ind w:right="300"/>
              <w:spacing w:after="0"/>
              <w:rPr>
                <w:sz w:val="20"/>
                <w:szCs w:val="20"/>
                <w:color w:val="auto"/>
              </w:rPr>
            </w:pPr>
            <w:r>
              <w:rPr>
                <w:rFonts w:ascii="Arial" w:cs="Arial" w:eastAsia="Arial" w:hAnsi="Arial"/>
                <w:sz w:val="18"/>
                <w:szCs w:val="18"/>
                <w:color w:val="auto"/>
              </w:rPr>
              <w:t>(193,433)</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2.80</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2021</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Exercisable as of October 31, 2021</w:t>
            </w: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vMerge w:val="restart"/>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1.05</w:t>
            </w:r>
          </w:p>
        </w:tc>
        <w:tc>
          <w:tcPr>
            <w:tcW w:w="1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27,334</w:t>
            </w: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October 31, 2021, the total intrinsic value of both outstanding and exercisable options was approximately $30,000 and zero, respectively. As of October 31, 2021, approximately 257,000 additional options were unvested, which had an intrinsic value of $30,000 and a weighted average remaining contractual term of 9.1 years. There was approximately $61,000 and $187,000 of total recognized compensation cost related to stock options during each of the six months ended October 31, 2021 and 2020, respectively. As of October 31, 2021, there was approximately $0.3 million of total unrecognized compensation cost related to non-vested stock options granted under the plans. This cost is expected to be recognized over a weighted-average period of 1.3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six months ended October 31, 2021 and 2020, the Company granted 33,333 shares that were subject to service-based vesting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non-vested restricted stock under our stock incentive plans is as follows: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Issued and unvested at April 30,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Cancelled/forfeited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Issued and unvested at October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Average Price</w:t>
            </w:r>
          </w:p>
        </w:tc>
      </w:tr>
      <w:tr>
        <w:trPr>
          <w:trHeight w:val="234"/>
        </w:trPr>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20"/>
                <w:szCs w:val="20"/>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per Share</w:t>
            </w:r>
          </w:p>
        </w:tc>
      </w:tr>
      <w:tr>
        <w:trPr>
          <w:trHeight w:val="195"/>
        </w:trPr>
        <w:tc>
          <w:tcPr>
            <w:tcW w:w="1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10,000</w:t>
            </w:r>
          </w:p>
        </w:tc>
        <w:tc>
          <w:tcPr>
            <w:tcW w:w="320" w:type="dxa"/>
            <w:vAlign w:val="bottom"/>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2.93</w:t>
            </w:r>
          </w:p>
        </w:tc>
        <w:tc>
          <w:tcPr>
            <w:tcW w:w="40" w:type="dxa"/>
            <w:vAlign w:val="bottom"/>
            <w:gridSpan w:val="2"/>
          </w:tcPr>
          <w:p>
            <w:pPr>
              <w:spacing w:after="0"/>
              <w:rPr>
                <w:sz w:val="16"/>
                <w:szCs w:val="16"/>
                <w:color w:val="auto"/>
              </w:rPr>
            </w:pPr>
          </w:p>
        </w:tc>
      </w:tr>
      <w:tr>
        <w:trPr>
          <w:trHeight w:val="216"/>
        </w:trPr>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33,333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2.37</w:t>
            </w:r>
          </w:p>
        </w:tc>
      </w:tr>
      <w:tr>
        <w:trPr>
          <w:trHeight w:val="230"/>
        </w:trPr>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43,333</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w:t>
            </w:r>
          </w:p>
        </w:tc>
        <w:tc>
          <w:tcPr>
            <w:tcW w:w="20" w:type="dxa"/>
            <w:vAlign w:val="bottom"/>
            <w:tcBorders>
              <w:bottom w:val="single" w:sz="8" w:color="auto"/>
            </w:tcBorders>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-745490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-462280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-179705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800"/>
          </w:cols>
          <w:pgMar w:left="320" w:top="233" w:right="3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$29,000 and $10,000 of total recognized compensation cost related to restricted stock for the six months ended October 31, 2021 and 2020, respectively. As of October 31, 2021, there is approximately $70,000 of unrecognized compensation cost remaining related to unvested restricted stock granted under our plans. This cost is expected to be recognized over a weighted-average period of 1.5 years.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December 2019, the Company granted 51,547 shares to an employee, subject to service-based vesting requirements, that were outside the Company stock incentive plans. There was approximately zero and $12,000 of total recognized compensation cost related to this award for the three months ended October 31, 2021 and 2020, respectively. As of October 31, 2021, there was no unrecognized compensation cost remaining related to this award.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that are unobservable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values of these financial instruments approximate their fair values and are viewed as Level 1 items. The Company’s warrant liabilities represent the only asset or liability classified financial instrument that is measured at fair value on a recurring basis.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the Company’s warrant liabilities (refer to Note 8) is based on the Black-Scholes pricing model which is based on Level 3 unobservable inputs for which there is little or no market data, requiring the Company to develop its own assumptions. The assumptions used by the Company are the quoted price of the Company’s common stock in an active market, risk-free interest rate, volatility and expected life, and assumes no dividends.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 The fair value on a recurring basis as of October 31, 2021 and April 30, 2021 was near zero.</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unrealized gains or losses for the three and six months ended October 31, 2021 and 2020. When incurred, gains and losses are included within “Gain (loss) due to change in fair value of warrant liabilities” in the Consolidated Statements of Operations. The Company determined the fair value using the Black-Scholes pricing model with the following assumptions: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October 31, 2021</w:t>
            </w: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October 31, 2020</w:t>
            </w:r>
          </w:p>
        </w:tc>
      </w:tr>
      <w:tr>
        <w:trPr>
          <w:trHeight w:val="209"/>
        </w:trPr>
        <w:tc>
          <w:tcPr>
            <w:tcW w:w="736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Risk-free rate</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0.06% - 0.08%</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0.12% - 0.13%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0.8 - 1.1</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122.2%</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139.1%</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three and six months ended October 31, 2021 and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28, 2018, counsel for Charles Dunleavy, the Company’s former President &amp; Chief Executive Officer who was terminated for cause effective June 9, 2014, filed a demand for arbitration, captioned Charles F. Dunleavy v. Ocean Power Technologies, Inc., Case No. 01-18-0003-2374, before the American Arbitration Association in New Jersey. The demand alleged various claims relating to Mr. Dunleavy’s termination. After the hearings in the proceeding were conducted, on December 11, 2020, the arbitration panel issued an interim award finding, among other things, that the termination for cause of Mr. Dunleavy was in breach of his employment contract and awarded him compensatory damages in the amount of $438,254.54. On May 3, 2021, the panel issued a second interim award and therein awarded Mr. Dunleavy attorneys’ fees, costs and pre-judgment interest. The Company agreed, on May 24, 2021, to pay Mr. Dunleavy $1,223,963.14, representing the total compensatory damages, attorneys’ fees, costs and pre-judgment interest, which is the full amount awarded by the arbitration panel. The Company made the required payment on May 26, 2021, and the matter is now closed.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underwent an income tax audit in Spain for the period from 2011 to 2014, when our Spanish branch was closed. On July 30, 2018, the Spanish tax inspector concluded that although there was no tax owed in light of losses reported, the Company’s Spanish branch owed penalties for failure to properly account for the income associated with the funding grant. During the six months ended October 31, 2020, the Company received notice from the Spanish Central Economic and Administrative Tribunal that it agreed with the inspector and ruled that the Company owes the full amount of the penalty in the amount of €279,870 or approximately $331,000. On January 25, 2021, the Company paid to the Spanish Tax Administration €279,870. Notwithstanding that payment, on April 30, 2021, the Company filed its appeal of the decision of the Central Court to the Spanish National Court. There is no schedule for a ruling from the Spanish National Court.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October 31, 2021, the Company had no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sold New Jersey State net operating losses and research development credits (“NJ NOL”) under the NJEDA Tax Transfer program in the amount of approximately $12 million for the year ended April 30, 2021, for net proceeds of approximately $1.0 million which was received in May 2021 and recorded in the Company’s Statement of Operations in fiscal year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how our Chief Operating Decision Maker views the Company’s operations and financial position. The Company operates on a worldwide basis with one operating company in the U.S. and subsidiaries in the UK and in Australia. Revenues and expenses are generally attributed to the operating company that bills the customers. During each of the six months ended October 31, 2021 and 2020, the Company’s primary business operations were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Acquisition of 3dent Technologies, LLC</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1, 2021, the Company acquired all of the outstanding equity interest of 3dent Technologies, LLC (“3Dent”), a Houston, Texas based company that offers offshore energy engineering and design services that are complementary to the Company’s technology and products. As consideration for the purchase, the Company issued 361,991 shares of its common stock to the sellers, subject to a 12-month post acquisition employment condition. In addition, the former owners of 3Dent will be eligible for awards of performance stock with a potential value of $360,000 if certain revenue targets are achieved over the 12 month-period post acquisition. There were no changes during the three and six months ended October 31, 2021 that would affect this valuation.</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accounted for the transaction as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Accordingly, the assets and liabilities acquired were recorded at their estimated fair value on the date of acquisition. Under ASC 805, acquisition-related transaction costs (such as advisory, legal, valuation, other professional fees) were expensed in the Consolidated Statement of Operations in the period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15, 2021, the Company acquired all of the outstanding equity interest of Marine Advanced Robotics, Inc. (“MAR”), a Richmond (San Francisco Bay Area), California-based developer and manufacturer of autonomous surface vehicles (ASVs).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paid $11.0 million at closing, consisting of $4.0 million in cash and $7.0 million in common stock (3,330,162 shares). Additional earn-out opportunities for the selling shareholders of MAR exist based on revenue performance through April 2023. The MAR management team and employees have joined the Company and MAR continues to operate under its current brand name as a wholly owned subsidiary of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2021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2021 refers to the year ended April 30,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marine power equipment, data solutions and consulting services provider. We control the design, manufacture, sales, installation, operations and maintenance of our solutions and services while working closely with commercial, technical, and other development partners that provide software, controls, mechatronics, sensors, integration services, and marine installation services. We believe our renewable autonomous ocean solutions deliver power and data collection, analysis and communication in remote ocean environments, allowing users to generate actionable intelligence and control certain equipment. Our mission and purpose are to provide intelligent maritime solutions and services that enable safer and more productive ocean operations for the defense and security, offshore oil and gas, science and research, and offshore wind markets. We achieve this through our proprietary, state-of-the-art technologies that are at the core of our clean and renewable energy platforms upon which we offer our solutions and services as well as through working with select partners.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continue to develop and commercialize our proprietary systems that generate electricity by harnessing the renewable energy of ocean waves for our PowerBuoy® (“PB3”), and solar power for our hybrid PowerBuoy® (the “hybrid”). The PB3 uses proprietary technologies that convert the kinetic energy created by the heaving motion of ocean waves into electricity. Our strategy includes developing complete solutions and services, including cloud-based delivery systems for ocean data and predictive analytics to provide actionable intelligence for our clients. Based on feedback from our current customers, discussions with potential customers in the defense and security, offshore oil and gas, science and research, and offshore wind markets, as well as government applications in fishery protection and marine protected areas, together with our market research and publicly available data, we believe that numerous markets have a direct need for our solutions. Our recent projects have been in the offshore oil and gas and science and research industries. We believe there is an increasing need for our products and services in areas such as fishery protection, offshore windfarm support, and maritime domain awareness applications.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and communications, either by supplying electric power to payloads that are integrated directly with our product or located in its vicinity, such as on the seabed and in the water column. We believe we can become a leader in offshore autonomous ocean wave power conversion technology which provides renewable power for offshore operations that were previously logistically problematic and difficult to decarbonize.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were incorporated under the laws of the State of New Jersey in April 1984 and began commercial operations in 1994. On April 23, 2007, we reincorporated in Delaware. We are continuing to build upon our mission of connecting the oceans with those who operate, and manage the resource, in that environment. We do this through our solutions’ offerings, that are based on our proprietary renewable power platforms and engineering skills. Our solutions focus on three major services areas, Data as a Service, supported and enabled by Power as a Service, and underpinned by our Strategic Consulting Services, which we expanded with the acquisition of 3dent Technology, LLC (“3Dent”), in February 2021. Over the course of fiscal 2022, we intend to continue to grow our service sectors and develop, evolve, and strengthen our solutions through internal developments, partnerships, and potential acquisitions. On November 15, 2021, the Company acquired all of the outstanding equity interest of MAR. This acquisition immediately provided the Company with an established, innovative offshore product line that features roaming capability that highly complements the Company’s business strategy.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Founded in 2004, MAR is the developer of Wave Adaptive Modular Vessel (WAM-V®) technology, which enables roaming capabilities for uncrewed equipment in waters around the world. MAR launched the first WAM-V in 2007 as a new vessel class with a mission to manufacture and deliver to customers the most reliable and robust ASVs available on the market.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Power as a Service solutions deliver value to customers by utilizing our managed power platforms, such as the PB3 PowerBuoy® or hybrid PowerBuoy®, and subsea battery for topside and subsea power applications. Our focus for these solutions is on bringing autonomous clean power to our customers wherever it is required. On our project with Eni S.p.A. (“Eni”), we utilized a PB3 PowerBuoy®, which operated in the Adriatic Sea for over 700 days of continuous operation as part of Eni’s resident autonomous underwater vehicle (“AUV”) feasibility studies. During commercial operations, an AUV would remain on site to perform various inspection, maintenance, and repair tasks. As demonstrated during our project with Eni, our solutions generated sufficient power that could, with client assets, extend missions for longer durations.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Data as a Service solution, initially based on the work we did for Harbour Energy (formerly known as Premier Oil) in 2019 in the North Sea, has further evolved based on feedback from participants in the government, defense, and security markets. We have been developing a Maritime Domain Awareness solution (“MDA-S” or “MDA”) to introduce edge computing and artificial intelligence modules that can be delivered to customers via cyber secure cloud environments.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Strategic Consulting Services, materially strengthened by the acquired 3Dent team, focus on delivering value to our customers in the areas of ocean engineering, structural and dynamic analysis, Front End Engineering and Design (“FEED”) studies, and motion simulation. These services can be delivered as part of our broader Power and/or Data as a Service solution utilizing our solutions or on a standalone basis. In the near term, we will focus on increasing our market share in the offshore wind market and the broader floating foundation design market, as well as our business with offshore oil and gas customers.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Throughout fiscal 2021 we delivered several transactions and projects laying the foundation for our growth in fiscal 2022. We have identified, and are pursuing, several new applications for our PowerBuoys® in the areas of defense, security and maritime domain awareness solutions. In February 2021, the Company acquired all the outstanding equity interest of 3Dent, a company based in Houston, Texas, that offers offshore engineering and design services that are complementary to our technology and products and strengthen our Strategic Consulting Services. During the first quarter of fiscal 2022, we initiated several research and development (“R&amp;D”) and commercial development programs, including commencing our custom software development efforts with Greensea and Fathom5 to further extend our edge computing and cloud hosting capabilities.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2020, the Company entered into an agreement with the Offshore Operators Committee (“OOC”) under which the Company provided engineering and technical services for a new project under the DeepStar Global Technology Consortium Program. This project showcased our Power as a Service offering among well-known operators in the industry. This project completed in July 2021, and we have used the findings of the study to advance marketing activities for our Power as a Service solution.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2020, the Company entered into an agreement with Adams Communication &amp; Engineering Technology, Inc. (“ACET”) to conduct a feasibility study for the evaluation of a PB3 power and 5G communications solution in support of the U.S. Navy’s Naval Postgraduate School’s Sea, Land, Air, Military Research Initiative (“SLAMR”). This forms part of our Data as a Service division. The project sponsor released an update to the market on November 1, 2021, which showcased the concept of operations for the vehicles and buoy system under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COVID-19</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presented substantial health and economic risks, uncertainties and challenges to our business, the global economy and financial markets. In March 2020, one of the Company’s customers cancelled a portion of their contract due to the outbreak of COVID-19 and instead extended an existing lease. In April 2020, the Company declared force majeure on a contract with a different customer and delayed the deployment of its PB3 PowerBouy® in Chile. For additional information on various uncertainties and risks posed by the COVID-19 pandemic, see Part I, Item 1A “Risk Factors” of our Annual Report on Form 10-K for the year ended April 30,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as the lender for approximately $891,000 in support through the Small Business Association (“SBA”) under the PPP loan. The PPP loan was unsecured and evidenced by a note in favor of Santander as the lender and governed by a Loan Agreement with Santander. The loan contained an interest rate of 1% and was repayable over two years. The loan contained customary events of defaults relating to, among other things, payment defaults or breaches of the terms of the loan. Upon the occurrence of an event of default, the lender could have required immediate repayment of all outstanding amounts under the loan. Interest and principal payments were deferred for the first 6 months from the date of the loan. Principal and interest were payable monthly commencing 6 months after the disbursement date and were allowed to be repaid by the Company at any time prior to maturity with no prepayment penalties. The Company received the proceeds on May 5, 2020.</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filed its loan forgiveness application at the end of February 2021 asking for 100% forgiveness of the loan. In June 2021, the Company was informed that its application was approved, and that the loan is now fully forgiven. The Company recognized a gain on extinguishment of PPP loan of approximately $891,000 in the Consolidated Statement of Operations for the six months ending October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Power Generating Platform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r>
        <w:rPr>
          <w:rFonts w:ascii="Arial" w:cs="Arial" w:eastAsia="Arial" w:hAnsi="Arial"/>
          <w:sz w:val="29"/>
          <w:szCs w:val="29"/>
          <w:color w:val="auto"/>
          <w:vertAlign w:val="superscript"/>
        </w:rPr>
        <w:t>®</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PB3 generates electricity by harnessing the renewable energy of ocean waves. The PB3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Our standard energy storage system (“ESS”) has an energy capacity of up to a nominal 150 kW-hours to meet specific application requirements.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is designed to generate power for use independent of the power grid in remote offshore locations. The hull consists of a main spar structure loosely moored to the seabed and surrounded by a floating annular structure that can freely move up and down in response to the passage of the waves. The PTO system includes a mechanical actuating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 The operation of the PB3 is controlled by our customized, proprietary control system.</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a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using wave energy for electricity generation has the following potential benefits, compared to existing incumbent solutions.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the electricity may be aggregated to supply larger</w:t>
      </w:r>
      <w:r>
        <w:rPr>
          <w:rFonts w:ascii="Arial" w:cs="Arial" w:eastAsia="Arial" w:hAnsi="Arial"/>
          <w:sz w:val="18"/>
          <w:szCs w:val="18"/>
          <w:i w:val="1"/>
          <w:iCs w:val="1"/>
          <w:color w:val="auto"/>
        </w:rPr>
        <w:t xml:space="preserve"> </w:t>
      </w:r>
      <w:r>
        <w:rPr>
          <w:rFonts w:ascii="Arial" w:cs="Arial" w:eastAsia="Arial" w:hAnsi="Arial"/>
          <w:sz w:val="18"/>
          <w:szCs w:val="18"/>
          <w:color w:val="auto"/>
        </w:rPr>
        <w:t>payloads, as a result, for example, of multiple PB3s which are placed in an array, occupying a relatively small area. We believe the array of a larger number of PB3s could offer end users a variety of advantages in availability, reliability and scalability.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Predictability. </w:t>
      </w:r>
      <w:r>
        <w:rPr>
          <w:rFonts w:ascii="Arial" w:cs="Arial" w:eastAsia="Arial" w:hAnsi="Arial"/>
          <w:sz w:val="18"/>
          <w:szCs w:val="18"/>
          <w:color w:val="auto"/>
        </w:rPr>
        <w:t>The generation of power from wave energy can be forecasted several days in advance. Available wave energy can be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high degree of accuracy based on satellite images and meteorological data, even when the wave field is hundreds of miles away and days from reaching a PB3. Therefore, we believe end-users relying on PB3 for power may be able to proactively plan their logistics, payload scheduling and other operational activities based on such data.</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occurrence of waves at specific sites can be relatively persistent and defined with relatively high accuracy.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studies and analyses of various sites of interest, we believe that we will be able to deploy our PB3 in locations where the waves could produce usable electricity for most of the year.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that numerous markets may have a direct need for our PB3, including defense and security, offshore oil and gas, science and research, and offshore wind, as well as government applications in fishery protection and marine protected areas. Depending on payload power requirements, sensor types and other considerations, we have found that our PB3 could satisfy several application requirements within these markets. The Company believes that the PB3 can generate sufficient power to meet the requirements of many potential customer applications within our target markets, and that the hybrid could provide ample power in geographies where wave conditions may not be sufficient to allow the PB3 to generate sufficient power.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hybrid PowerBuoy®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product launched a hybrid PowerBuoy® (“hPB”) that is a solar powered surface buoy, compared to the wave power generating PB3. The hybrid PowerBuoy® is powered primarily through solar panels with an efficient and clean burning external combustion Stirling engine to provide back-up power and is capable of providing reliable power in remote offshore locations, regardless of ocean wave conditions. We believe this product is complementary to the PB3 by providing the Company the opportunity to address a broader spectrum of customer deployment needs, including low-wave environments, with the potential for greater product integration within each customer project. It is intended for agile deployment applications, such as recharging and surface communications hub for electric remotely operated vehicles (“eROV”) and autonomous underwater vehicles (“AUV”) used for underwater inspections and short-term maintenance, subsea equipment monitoring and control, and provides a flexible platform to optimize power storage based on the environment and the application. The hybrid can be quickly deployed and offers customers a cost-effective solution. The design has a high payload capacity for communications and surveillance, with the capability of being tethered to subsea payloads such as batteries, or with a conventional anchor mooring system. The hybrid generates power from both an array of solar panels and an efficient, clean burning 1 kW Stirling engine fueled by liquid propane. This energy is stored in onboard batteries which power subsea and topside payloads. The Company has designed the hybrid with a Stirling engine backup system to outperform traditional diesel buoys, which we believe have more frequent service and refueling intervals and higher carbon intensities. We believe the hybrid will be able to operate over a broad range of temperature and ocean wave conditions.</w:t>
      </w:r>
    </w:p>
    <w:p>
      <w:pPr>
        <w:spacing w:after="0" w:line="1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towable, boat-shaped hull design of the hybrid is appropriate for deployment throughout the world. Power is generated independent of wave activity, making it a good solution for providing power in relatively calm, low wave environments with high solar intensity and is complimentary to the PB3.</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with the PB3, the control system uses sensors and an onboard computer to continuously monitor the hybrid subsystems. We believe that this ability to optimize and manage the electric power output of the hybrid is a significant advantage of our technology. In the event of extended cloudy periods, the control system automatically switches electricity generation from the solar panels to the backup engine. However, the load center, either the on-board payload or one in the vicinity of the hybrid, may continue to receive power from the on-board ESS. When more suitable solar power generation conditions return, the control system automatically stops the backup up engine and ESS replenishment recommences by way of solar electricity generation.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hybrid is designed for use with a single point umbilical and mooring but can be adapted for a 3-point mooring installation for use as a temporary replacement for PB3 installations during planned maintenance or repairs.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hybrid can be transported over land to the deployment port using conventional transportation methods. Once at port, the hybrid can be fitted with additional stabilizing outriggers if required for the specific solution, and then can be lifted into the water or onboard a vessel using a readily available crane of appropriate capacity. The hybrid may then be towed to a site using a standard vessel (if the location is within an appropriate distance from the port), or the hybrid may be carried aboard a vessel to its offshore location and craned into the water at site. The hybrid is then attached to the single point mooring system, which is installed during a separate operation, after which a brief commissioning process places the hybrid into operation.</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hybrid is configured with a nominal 30 kW-hours of battery energy storage and approximately 1 megawatt-hour (“MWh”) of stored energy in the propane system. While the batteries are primarily charged through solar power generation, the propane powered Stirling engine system on the hybrid can be considered reserve energy storage, with propane having a much higher energy storage density than lithium-ion batteries. It can be utilized when needed based on load demand and will provide approximately 1 MWh of stored energy capacity. We believe that this amount of stored energy offers an attractive local, autonomous energy solution for clients in a range of industries, including but not limited to offshore oil and gas and marine observation, particularly for shorter term deployments.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six months of fiscal 2022, we commenced efforts to upgrade the current version of the hPB to host our MDA-S (as defined below) offering by adding further stabilizing features. During the second quarter of fiscal 2022, these efforts were largely completed together with our manufacturing partners.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 Battery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product launched a subsea battery that is complementary to both the PB3 and hybrid products and can be deployed together with our PowerBuoys® or on its own. It offers customers the option of placing additional modular and expandable energy storage on the seabed near existing, or to be installed, subsea equipment. Our lithium-ion subsea batteries supply power that can enable subsea equipment, sensors, communications and AUV and eROV recharge. Our PB3 and hybrid are complimentary to the subsea batteries by providing a means for recharging during longer term deployments, or the batteries can be used independently for shorter term deployments.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 kW-hours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subsea battery can be integrated into other subsea equipment on land prior to deployment. The battery is then connected to the other components on the seabed with the use of an eROV.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Maritime Domain Awareness Solution (“MDA-S”)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International Maritime Organization defines Maritime Domain Awareness as the effective understanding of any activity that could impact upon the security, safety, economy, or environment. Since 2002 the United States of America, for example, has had an active strategy to secure the Maritime Domain. Furthermore, in 2020 the U.S. Coast Guard elevated Illegal, Unreported and Unregulated (“IUU”) fisheries, one aspect of MDA security, as the leading global maritime threat. It is estimated that tens of billions of Dollars are lost every year to IUU fishing alone.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our MDA-S payload to consist of a high-definition radar, gyro-stabilized high-definition optical and thermal imaging cameras, vessel automatic identification system (“AIS”) detection, and integrated command and control software as customer needs dictate. Capabilities include 24/7 vessel tracking, automatic radar plotting, automated vessel warnings, and high-definition optical and thermal video surveillance capable of providing evidentiary backup of activity to aid in prosecution.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intend data from our MDA-S will be processed onboard our buoys using edge computing, developed together with our software partners, transmitted to shore-based command stations via cyber-secure Wi-Fi, cellular, and/or satellite systems, depending upon location, and then further processed in our cloud-based analytics platform. Surveillance data can be integrated with readily available marine monitoring software or with our own MDA software solution developed together with leading partners in the technology industry to provide command and control features of a multi-buoy surveillance network. The data can also be integrated with satellite, weather, bathymetric, and other data feeds to form a detailed surface and subsea picture of a monitored area.</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single MDA-S equipped PB3 PowerBuoy®, can monitor vessel traffic, with or without AIS turned on, across an area approximately 1,300 square nautical miles of ocean territory on a permanent or temporary basis, with the ability to link multiple surveillance assets together over large ocean areas giving end-users visibility into potentially damaging environmental or illegal activities. Customized solutions are also available including the addition of subsea sensors to monitor for acoustic signatures, including tsunami, and water quality.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development of our MDA-S is underway, and we launched the first offshore system supporting the demonstration of the newly developed system in October 2021. We also installed the mooring systems to deploy additional demonstration units during the second quarter of fiscal 2022 and intend to demonstrate the MDA-S on additional systems during third and fourth quarter of fiscal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Consulting Services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work being performed by the Company for the DeepStar project, through our technology subsidiary, 3Dent, we also offer a full range of high-level offshore engineering, including providing consulting engineering and design services to offshore wind developers, offshore construction companies, drilling contractors, major oil companies, service companies, shipyards, and engineering firms. 3Dent’s team of dedicated consultants/designers has expertise in structural engineering, hydrodynamics and naval architecture. Among its services is a focus on addressing the issues current or would-be owners of offshore floaters, jackups, and lift boats have with their fleet. 3Dent’s services include simulation engineering, software engineering, concept design and motion analysis. During the second quarter of fiscal 2022, the Company saw an increase in consulting services activity for oil and gas and offshore wind projects.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The table below shows the percentage of the Company’s revenues derived from customers whose revenues accounted for at least 10% of the Company’s consolidated revenues for at least one of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620" w:type="dxa"/>
            <w:vAlign w:val="bottom"/>
            <w:gridSpan w:val="4"/>
          </w:tcPr>
          <w:p>
            <w:pPr>
              <w:jc w:val="right"/>
              <w:ind w:right="730"/>
              <w:spacing w:after="0"/>
              <w:rPr>
                <w:sz w:val="20"/>
                <w:szCs w:val="20"/>
                <w:color w:val="auto"/>
              </w:rPr>
            </w:pPr>
            <w:r>
              <w:rPr>
                <w:rFonts w:ascii="Arial" w:cs="Arial" w:eastAsia="Arial" w:hAnsi="Arial"/>
                <w:sz w:val="18"/>
                <w:szCs w:val="18"/>
                <w:color w:val="auto"/>
              </w:rPr>
              <w:t>Three months ended October 31,</w:t>
            </w:r>
          </w:p>
        </w:tc>
        <w:tc>
          <w:tcPr>
            <w:tcW w:w="3420" w:type="dxa"/>
            <w:vAlign w:val="bottom"/>
            <w:gridSpan w:val="5"/>
          </w:tcPr>
          <w:p>
            <w:pPr>
              <w:ind w:left="540"/>
              <w:spacing w:after="0"/>
              <w:rPr>
                <w:sz w:val="20"/>
                <w:szCs w:val="20"/>
                <w:color w:val="auto"/>
              </w:rPr>
            </w:pPr>
            <w:r>
              <w:rPr>
                <w:rFonts w:ascii="Arial" w:cs="Arial" w:eastAsia="Arial" w:hAnsi="Arial"/>
                <w:sz w:val="18"/>
                <w:szCs w:val="18"/>
                <w:color w:val="auto"/>
              </w:rPr>
              <w:t>Six months ended October 31,</w:t>
            </w:r>
          </w:p>
        </w:tc>
      </w:tr>
      <w:tr>
        <w:trPr>
          <w:trHeight w:val="223"/>
        </w:trPr>
        <w:tc>
          <w:tcPr>
            <w:tcW w:w="42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Department of Energy</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33%</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Clark Hill</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7%</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Matthews</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Valaris</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26%</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23"/>
        </w:trPr>
        <w:tc>
          <w:tcPr>
            <w:tcW w:w="42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achieve success in commercializing our products, we must expand our customer base and obtain commercial contracts to lease or sell our solutions and services to customers. Our potential customer base for our solutions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as well as consultative and other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Recent Customers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June 2021, the Company was notified of a pre-award for a Department of Energy (“DOE”) Small Business Innovation Research program (“SBIR”) to support the development of the next generation of our wave energy conversion systems. In August 2021, we completed all required documentation, signed the DOE contract and initiated the 9-month project which began in the second quarter of fiscal 2022.</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Throughout the first six months of fiscal 2022, our strategic consulting services, continued to generate revenues from prior and new customers of approximately $342,000. Notably, we advanced several large projects in the pipeline to an advanced stage with larger oil and gas operators and offshore wind developers.</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November 2020, the Company entered into an agreement with the OOC to provide engineering and technical services for a new project under the DeepStar Global Technology Consortium Program. This project showcased our Power as a Service solution among well-known operators in the industry. This project was completed in July 2021.</w:t>
      </w:r>
    </w:p>
    <w:p>
      <w:pPr>
        <w:spacing w:after="0" w:line="183"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October 2020, the Company entered into an agreement with ACET to conduct a feasibility study for the evaluation of a PB3 power and 5G communications solution in support of the U.S. Navy Naval Postgraduate School’s SLAMR initiative. The study was completed, and the Company is currently in active discussions with the SLAMR Consortium on the project’s next steps on providing the data and power solution.The SLAMR initiative is ongoing and October 29, 2021 the SLAMR Consortium released additional information about the project into the market.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March 2020, Eni exercised their option from the March 2018 contract to extend their lease of the PB3 for an additional 18 months. The initial provision in March 2018 agreement provided for a minimum 24-month contract that included an 18-month PB3 lease and associated project management. In November 2020, Eni retrieved the PB3 and returned it to shore due to a mooring issue. The PB3 has since been returned to our headquarters in New Jersey and has completed its refurbishment and is being readied to deploy as part of our MDA-S demonstration off the coast of New Jersey.</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2019, we entered into two contracts with subsidiaries of EGP, which included the sale of a PB3 and the development and supply of a turn-key integrated Open Sea Lab (“OSL”) that was expected to be the Company’s first deployment off the coast of Chile. Due to the COVID-19 pandemic, force majeure was declared in April 2020 and delayed the deployment. In March 2021, the Company began the deployment process and placed the PB3 in the water. During the first six months of fiscal 2022, deployment installation activities were performed, and additional activities expected to be performed over the next fiscal quarter.</w:t>
      </w:r>
    </w:p>
    <w:p>
      <w:pPr>
        <w:spacing w:after="0" w:line="18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June 2018, we entered into a contract with Harbour Energy for the lease of a PB3 to be deployed in one of Harbour Energy’s offshore fields in the North Sea. During its deployment, the PB3 provided unmanned EZM service. In early March 2020 the Company and Harbour Energy retrieved the PB3. This PB3 has since been returned to our headquarters in New Jersey and is currently being refurbished to be redeployed. During second quarter fiscal 2022 we entered into a contract with Aker Solutions to support a study integrating the PB3 system for the next phase of Harbour Energy’s development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our solutions are best developed, sold, deployed, and maintained together with subject matter experts in their respective fields. This enables the Company to protect, maintain, and evolve our power platforms and integrate them with surface and subsea payloads. the Company has previously entered into partnerships focused on including, but not limited to, deployment and installations, sourcing of surface payloads, and integration with autonomous vehicles. To further develop the MDA-S, we recently entered into strategic software and robotics partnerships with two software companies, Greensea Systems, Inc. and Fathom5. We believe, the partnerships with Greensea and Fathom5 will further the development of our next-generation MDA-S product for the maritime industrial market and governmental defense and security organizations.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Greensea Systems, Inc. will be contributing to the Company’s MDA-S by providing integration software, control software, autonomy and systems integration for the buoy sensor payload.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Fathom5 will be designing and building a customized industrial analytics platform to support the Company’s MDA-S. The Fathom5 customized platform will integrate sensor technologies, combine data feeds, and provide a flexible plug-in analytic capability to apply artificial intelligence and machine learning to sensor feeds. Fathom5 is also building the user interface that will allow remote operators to control the MDA-S payload and view sensor data in real time.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active dialogues with several offshore deployment and marine operations partners in the North Sea and North America to support our projects.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Discussions with autonomous vehicle providers are ongoing to integrate autonomous and roaming capabilities into our Data as a Service offering.</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we are in active discussions with larger systems integrators to develop partnerships focused on selling our platforms and solutions as part of larger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2021 and the first six months of fiscal 2022, we advanced our marketing programs, products, and solutions. We have made progress in transitioning from R&amp;D to commercialization and moving further into the ocean data as a service market. We intend to build on these efforts by implementing processes and solutions that cover the entire life cycle, from demand generation to close of contract, and from channel strategies to customer care.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Most of the Company’s opportunities with potential customers have been for projects in Western Europe, including the North Sea, as well as North America and South East Asia. Nearly two-thirds of these opportunities have progressed past initial feasibility and non-disclosure agreement stages to more detailed, confidential discussions around specific customer applications.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proposal requests are for projects where one of our PowerBuoy® products, either the PB3, the hybrid, or our subsea battery is part of a larger solution deployment, and typically include the potential lease or sale of one or more of our solutions deployed on our PowerBuoy® platforms, as well as required services and maintenance support. A majority of hybrid inquiries are for shorter term deployments in calmer waters. Historically, demonstration projects have been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the Company and capabilities and may include negotiation of standard terms and conditions. Many proposals contain provisions which would mandate the sale or lease of our PowerBuoy® product upon successful conclusion of the demonstration project.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this is an accurate depiction of the overall sales cycle for new technology in each of our target markets, including our products and solutions. Cycle times for each step of the sales’ cycle will vary depending on several customer factors, including, but not limited to, technical evaluation, project priorities, project funding approval process, and alignment of new technology integration with the customer’s broader operational strategy. We believe that the resulting evidence of potential demand, vis-à-vis specific application proposal requests, is indicative of progress in our commercialization strategy. We believe that we have the potential for growth as a result of our positioning for higher volume production of our PowerBuoy® products and the initial indications of demand for our PowerBuoy® products in multiple customer applications.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pursuing a long-term growth strategy to expand its market value proposition while building the Company’s revenue base. This strategy includes partnerships with leading companies in adjacent and complementary markets. We continue to commercialize our PowerBuoy® products for use in remote offshore power and real-time data communications applications, and in order to achieve this goal, we are pursuing the following business objectives:</w:t>
      </w:r>
    </w:p>
    <w:p>
      <w:pPr>
        <w:spacing w:after="0" w:line="187" w:lineRule="exact"/>
        <w:rPr>
          <w:sz w:val="20"/>
          <w:szCs w:val="20"/>
          <w:color w:val="auto"/>
        </w:rPr>
      </w:pPr>
    </w:p>
    <w:p>
      <w:pPr>
        <w:jc w:val="both"/>
        <w:ind w:left="66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Integrated turn-key solutions sales or leases incorporating our products and services. </w:t>
      </w:r>
      <w:r>
        <w:rPr>
          <w:rFonts w:ascii="Arial" w:cs="Arial" w:eastAsia="Arial" w:hAnsi="Arial"/>
          <w:sz w:val="17"/>
          <w:szCs w:val="17"/>
          <w:color w:val="auto"/>
        </w:rPr>
        <w:t>We believe our PB3 hybrid and our subsea battery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our MDA-S, are well suited to enable many uncrewed, autonomous (non-grid connected) offshore solutions, such as topside and subsea surveillance and communications, subsea equipment monitoring, early warning systems platform and subsea power and buffering, and weather and climate data collection. We have investigated and realized market demand for some of these solutions and we intend to sell and lease our products to these markets as part of these broader integrated solutions. Additionally, we intend to provide services associated with our solution offerings such as paid engineering studies, value-added engineering, maintenance, remote monitoring and diagnostic, application engineering, planning, training, project management, and marine and logistics support required for our solution life cycle. We continue to increase our commercial capabilities through new hires in sales and application support, and through engagement of expert market consultants in various geographies. As our MDA-S grows, we expect that this will also include data and cloud services.</w:t>
      </w:r>
    </w:p>
    <w:p>
      <w:pPr>
        <w:spacing w:after="0" w:line="180" w:lineRule="exact"/>
        <w:rPr>
          <w:rFonts w:ascii="Arial" w:cs="Arial" w:eastAsia="Arial" w:hAnsi="Arial"/>
          <w:sz w:val="17"/>
          <w:szCs w:val="17"/>
          <w:color w:val="auto"/>
        </w:rPr>
      </w:pPr>
    </w:p>
    <w:p>
      <w:pPr>
        <w:jc w:val="both"/>
        <w:ind w:left="660" w:hanging="328"/>
        <w:spacing w:after="0" w:line="28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Expand customer system solution offerings through new complimentary products that enable shorter and more cost-efficient deployments.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hybrid is highly complementary to the PB3 by providing the Company the opportunity to address a broader spectrum of customer deployment needs, including low-wave environments, with the potential for greater system integration within each customer project. The hybrid is primarily intended for shorter term deployment applications such as eROV and AUV inspections and short-term maintenance, topside surveillance and communications, and subsea equipment and controls. The Company has developed a subsea battery system that is complimentary to the Company’s PowerBuoy® products. The subsea battery system offers the possibility of creating a sea floor energy storage solution for remote offshore operations. These subsea battery systems contain lithium-ion batteries, which provide high power density to supply power to subsea equipment, sensors, communications, and the recharging of AUVs and eROVs. Ideal for many remote offshore customer applications, these subsea battery systems are anticipated to be safe, high performance, cost-efficient, and quickly deployable.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Focus sales and marketing efforts in global markets. </w:t>
      </w:r>
      <w:r>
        <w:rPr>
          <w:rFonts w:ascii="Arial" w:cs="Arial" w:eastAsia="Arial" w:hAnsi="Arial"/>
          <w:sz w:val="17"/>
          <w:szCs w:val="17"/>
          <w:color w:val="auto"/>
        </w:rPr>
        <w:t>We are currently focusing our marketing efforts globally. We believe that each of these areas</w:t>
      </w:r>
      <w:r>
        <w:rPr>
          <w:rFonts w:ascii="Arial" w:cs="Arial" w:eastAsia="Arial" w:hAnsi="Arial"/>
          <w:sz w:val="17"/>
          <w:szCs w:val="17"/>
          <w:i w:val="1"/>
          <w:iCs w:val="1"/>
          <w:color w:val="auto"/>
        </w:rPr>
        <w:t xml:space="preserve"> </w:t>
      </w:r>
      <w:r>
        <w:rPr>
          <w:rFonts w:ascii="Arial" w:cs="Arial" w:eastAsia="Arial" w:hAnsi="Arial"/>
          <w:sz w:val="17"/>
          <w:szCs w:val="17"/>
          <w:color w:val="auto"/>
        </w:rPr>
        <w:t>has demand for our solutions, sizable end market opportunities, political and economic stability, and high levels of industrialization and economic development. In fiscal 2021, we opened an office in Houston, Texas to further support our customers and strengthen our dialogue with our solution partners. During the first six months of fiscal 2022, we optimized our European footprint, concentrating on our North Sea resource. We are in active discussions with potential partners in South America and West Africa.</w:t>
      </w:r>
    </w:p>
    <w:p>
      <w:pPr>
        <w:spacing w:after="0" w:line="176"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commercializing new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Since our acquisition of 3Dent, we have been actively pursuing additional opportunities to bring in-house skills, capabilities, and solutions that are complementary to our strategy and enable us to scale more quickly.</w:t>
      </w:r>
    </w:p>
    <w:p>
      <w:pPr>
        <w:spacing w:after="0" w:line="191"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Partnering with fabrication, deployment and service support</w:t>
      </w:r>
      <w:r>
        <w:rPr>
          <w:rFonts w:ascii="Arial" w:cs="Arial" w:eastAsia="Arial" w:hAnsi="Arial"/>
          <w:sz w:val="17"/>
          <w:szCs w:val="17"/>
          <w:color w:val="auto"/>
        </w:rPr>
        <w:t>. In order to minimize our capital requirements as we scale our business, we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optimize and utilize state of the art fabrication, anchoring, mooring, cabling supply, and in some cases, deployment of our products and solutions. Our PTO is a proprietary subsystem that is assembled and tested at our facility. We believe this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76"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Cost reduction and PowerBuoy</w:t>
      </w:r>
      <w:r>
        <w:rPr>
          <w:rFonts w:ascii="Arial" w:cs="Arial" w:eastAsia="Arial" w:hAnsi="Arial"/>
          <w:sz w:val="16"/>
          <w:szCs w:val="16"/>
          <w:color w:val="auto"/>
        </w:rPr>
        <w:t>®</w:t>
      </w:r>
      <w:r>
        <w:rPr>
          <w:rFonts w:ascii="Arial" w:cs="Arial" w:eastAsia="Arial" w:hAnsi="Arial"/>
          <w:sz w:val="16"/>
          <w:szCs w:val="16"/>
          <w:i w:val="1"/>
          <w:iCs w:val="1"/>
          <w:color w:val="auto"/>
        </w:rPr>
        <w:t xml:space="preserve"> solution development. </w:t>
      </w:r>
      <w:r>
        <w:rPr>
          <w:rFonts w:ascii="Arial" w:cs="Arial" w:eastAsia="Arial" w:hAnsi="Arial"/>
          <w:sz w:val="16"/>
          <w:szCs w:val="16"/>
          <w:color w:val="auto"/>
        </w:rPr>
        <w:t>Our engineering efforts are mainly focused on addressing customer solutions; product and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 sales; reducing production, installation, and product life-cycle costs; and improving the energy output, reliability, maintenance interval and expected operating life of our products. We continue to optimize the manufacturing of our designs with a focus on cost competitiveness, and we believe we will be able to address new applications by developing new payloads and solutions that address customer needs.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 our 3Dent subsidiary, we plan to expand our customer base and increase our revenue base, by providing consulting engineering and design services to offshore wind developers, offshore construction companies, drilling contractors, major oil companies, service companies, and engineering firms.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first six months ending October 31, 2021, the Company incurred a net loss of approximately $8.3 million and used cash in operations of approximately $10.4 million.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performance of its products, its ability to market and commercialize its products and new products that it may develop, technology development, scalability of technology and production, dependence on skills of key personnel, concentration of customers and suppliers, deployment risks and integration of acquisitions, pending or threatened litigation, and the continued impact of COVID-19 and its variants on its business. The Company currently has committed sources of equity financing through its At the Market Offering Agreement with A.G.P/Alliance Global Partners (“AGP”) and the Aspire Capital financing, but the Company cannot be sure that additional equity and/or debt financing will be available to the Company as needed on acceptable terms, or at all. Management believes the Company’s current cash balance of $73.0 million is sufficient to fund its planned expenditures through at least December 30, 2022. In addition to the acquisition of 3Dent in the prior year, the Company is looking at further organic and inorganic growth opportunities to advance our data and power services and solutions. Consistent with this strategy, the Company finalized the acquisition of MAR on November 15, 2021, subsequent to the quarter ending on October 31, 2021.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Agreements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and paid AGP a sales commission of approximately $0.8 million related to those shares. The agreement was fully utilized and terminated on December 8, 2020.</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20, 2020, the Company entered into an At the Market Offering Agreement with AGP (the “2020 ATM Facility”).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April 30, 2021, the Company sold and issued an aggregate of 17,179,883 shares of its common stock with an aggregate market value of $50.0 million at an average price of $2.91 per share and paid AGP a sales commission of approximately $1.6 million related to those shares. A prospectus supplement would need to be filed for the Company to sell additional amounts under the 2020 ATM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The agreement was fully utilized and terminated on September 18, 2020.</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exceeds the 19.99% limit of outstanding common stock on the date of the agreement. Through October 31, 2021, the Company had sold an aggregate of 3,722,251 shares of common stock with an aggregate market value of $11.8 million at an average price of $3.17 per share pursuant to this common stock purchase agreement. The Company is able to purchase an additional $0.7 million in shares under the agreement with Aspire Capital, which expires in March of 2023.</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sale of additional equity or convertible securities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has obtained equity financing through its At the Market Offering Agreement with AGP and the Aspire Capital financing, but the Company cannot be sure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31, 2021, the Company’s backlog was $0.3 million. As of April 30, 2021, backlog was $0.2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input method used to measure completion over time of customer contracts, and changes in estimates from time to time may have a significant effect on revenue and backlog. Our backlog is also typically subject to large variations from time to time due to the timing of new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2021. There were no material changes to our critical accounting estimates or accounting policies during the six months ended October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October 31, 2021 and 2020.</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six-month periods ended October 31, 2021 and 2020, all of the Company’s contracts were classified as firm fixed price.</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October 31, 2021, the Company’s total remaining performance obligations, also referred to as backlog, totaled $0.3 million. The Company expects to recognize approximately 100%, or $0.3 million, of the remaining performance obligations as revenue over the next twelve months.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enters into lease arrangements for its PB3 with certain customers.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an operating lease.</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and is presented in Revenues in the Consolidated Statement of Operations. The lease income for the six months ended October 31, 2021 and 2020 was immaterial.</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six months ended October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color w:val="auto"/>
                <w:w w:val="88"/>
              </w:rPr>
              <w:t>Three months ended October 31,</w:t>
            </w: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tcBorders>
              <w:bottom w:val="single" w:sz="8" w:color="auto"/>
            </w:tcBorders>
            <w:gridSpan w:val="5"/>
          </w:tcPr>
          <w:p>
            <w:pPr>
              <w:jc w:val="center"/>
              <w:ind w:left="316"/>
              <w:spacing w:after="0"/>
              <w:rPr>
                <w:sz w:val="20"/>
                <w:szCs w:val="20"/>
                <w:color w:val="auto"/>
              </w:rPr>
            </w:pPr>
            <w:r>
              <w:rPr>
                <w:rFonts w:ascii="Arial" w:cs="Arial" w:eastAsia="Arial" w:hAnsi="Arial"/>
                <w:sz w:val="18"/>
                <w:szCs w:val="18"/>
                <w:color w:val="auto"/>
                <w:w w:val="89"/>
              </w:rPr>
              <w:t>Six months ended October 31,</w:t>
            </w:r>
          </w:p>
        </w:tc>
        <w:tc>
          <w:tcPr>
            <w:tcW w:w="4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3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3"/>
          </w:tcPr>
          <w:p>
            <w:pPr>
              <w:jc w:val="center"/>
              <w:ind w:right="590"/>
              <w:spacing w:after="0"/>
              <w:rPr>
                <w:sz w:val="20"/>
                <w:szCs w:val="20"/>
                <w:color w:val="auto"/>
              </w:rPr>
            </w:pPr>
            <w:r>
              <w:rPr>
                <w:rFonts w:ascii="Arial" w:cs="Arial" w:eastAsia="Arial" w:hAnsi="Arial"/>
                <w:sz w:val="18"/>
                <w:szCs w:val="18"/>
                <w:color w:val="auto"/>
                <w:w w:val="89"/>
              </w:rPr>
              <w:t>(in thousands)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20" w:type="dxa"/>
            <w:vAlign w:val="bottom"/>
            <w:gridSpan w:val="4"/>
          </w:tcPr>
          <w:p>
            <w:pPr>
              <w:jc w:val="center"/>
              <w:ind w:right="600"/>
              <w:spacing w:after="0"/>
              <w:rPr>
                <w:sz w:val="20"/>
                <w:szCs w:val="20"/>
                <w:color w:val="auto"/>
              </w:rPr>
            </w:pPr>
            <w:r>
              <w:rPr>
                <w:rFonts w:ascii="Arial" w:cs="Arial" w:eastAsia="Arial" w:hAnsi="Arial"/>
                <w:sz w:val="18"/>
                <w:szCs w:val="18"/>
                <w:color w:val="auto"/>
                <w:w w:val="89"/>
              </w:rPr>
              <w:t>(in thousands)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0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Department of Energy</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81</w:t>
            </w:r>
          </w:p>
        </w:tc>
        <w:tc>
          <w:tcPr>
            <w:tcW w:w="1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Clark Hill</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Matthews</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Valaris</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1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r>
      <w:tr>
        <w:trPr>
          <w:trHeight w:val="223"/>
        </w:trPr>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globally. The following table shows the percentage of our revenues by geographical location of our customers for the six months ended October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5"/>
          </w:tcPr>
          <w:p>
            <w:pPr>
              <w:jc w:val="right"/>
              <w:ind w:right="940"/>
              <w:spacing w:after="0"/>
              <w:rPr>
                <w:sz w:val="20"/>
                <w:szCs w:val="20"/>
                <w:color w:val="auto"/>
              </w:rPr>
            </w:pPr>
            <w:r>
              <w:rPr>
                <w:rFonts w:ascii="Arial" w:cs="Arial" w:eastAsia="Arial" w:hAnsi="Arial"/>
                <w:sz w:val="18"/>
                <w:szCs w:val="18"/>
                <w:color w:val="auto"/>
              </w:rPr>
              <w:t>Six months ended October 31,</w:t>
            </w: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Customer Location</w:t>
            </w:r>
          </w:p>
        </w:tc>
        <w:tc>
          <w:tcPr>
            <w:tcW w:w="16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7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South America</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31%</w:t>
            </w:r>
          </w:p>
        </w:tc>
        <w:tc>
          <w:tcPr>
            <w:tcW w:w="184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r>
      <w:tr>
        <w:trPr>
          <w:trHeight w:val="22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w w:val="87"/>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supplied by third-party suppliers. Cost of revenues also includes PowerBuoy® system delivery and deployment expenses and may include anticipated losses at completion on certain contracts.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to enhance and optimize data monitoring and controls systems, and to the development of new products, product applications and complementary technologies. We expense all of our engineering and product development costs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consists of interest received on cash, cash equivalents and money market fund and interest paid on certain obligations to third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foreign-denominated accounts had a balance of $32,000 as of October 31, 2021 and October 31, 2020, compared to our total cash, cash equivalents and restricted cash balances of $73.2 million as of October 31, 2021 and $15.9 million as of October 31, 2020. These foreign currency balances are translated each month into our functional currency, and any resulting gain or loss is recognized in our results of operations.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2021 compared to the three months ended October 31,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314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color w:val="auto"/>
                <w:w w:val="92"/>
              </w:rPr>
              <w:t>Three months ended October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247</w:t>
            </w:r>
          </w:p>
        </w:tc>
        <w:tc>
          <w:tcPr>
            <w:tcW w:w="1120" w:type="dxa"/>
            <w:vAlign w:val="bottom"/>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300</w:t>
            </w:r>
          </w:p>
        </w:tc>
        <w:tc>
          <w:tcPr>
            <w:tcW w:w="1120" w:type="dxa"/>
            <w:vAlign w:val="bottom"/>
          </w:tcPr>
          <w:p>
            <w:pPr>
              <w:spacing w:after="0"/>
              <w:rPr>
                <w:sz w:val="19"/>
                <w:szCs w:val="19"/>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216</w:t>
            </w:r>
          </w:p>
        </w:tc>
      </w:tr>
      <w:tr>
        <w:trPr>
          <w:trHeight w:val="209"/>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profit/(loss)</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3,082</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1,063</w:t>
            </w: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1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2,050</w:t>
            </w:r>
          </w:p>
        </w:tc>
        <w:tc>
          <w:tcPr>
            <w:tcW w:w="1120" w:type="dxa"/>
            <w:vAlign w:val="bottom"/>
          </w:tcPr>
          <w:p>
            <w:pPr>
              <w:spacing w:after="0"/>
              <w:rPr>
                <w:sz w:val="19"/>
                <w:szCs w:val="19"/>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1,841</w:t>
            </w: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Operating loss</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(5,185)</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(3,002)</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income, net</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19</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8</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3</w:t>
            </w: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(5,171)</w:t>
            </w:r>
          </w:p>
        </w:tc>
        <w:tc>
          <w:tcPr>
            <w:tcW w:w="1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09"/>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three months ended October 31, 2021 and 2020 were $0.2 million and $0.1 million, respectively. The year-over-year increase was primarily due to higher levels of revenue derived from our EGP contract and new consulting services work from 3Dent projects as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for the three months ended October 31, 2021 and 2020 were $0.3 million and $0.2 million, respectively. The increase over 2020 was mostly due to higher deployment and material costs incurred on the EGP contract for the three months ended October 31, 2021 as compared to the three months ended October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three months ended October 31, 2021 and 2020 were $3.1 million and $1.1 million, respectively. The year over year increase is the result of higher spending on new product development related to increases in materials, labor, overhead and costs associated with subcontractors Greensea and Fathom5.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for the three months ended October 31, 2021 and 2020 were $2.1 million and $1.8 million, respectively. The increase of $0.2 million for the three months ended October 31, 2021 was primarily due to higher professional fees of $0.3 million, investor relations expenses of $0.1 million and software licenses and maintenance of $0.1 million. This was offset partially by a decrease in employee relations costs of $0.3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October 31, 2021 compared to the six months ended October 31,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2021 and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8"/>
                <w:szCs w:val="18"/>
                <w:color w:val="auto"/>
              </w:rPr>
              <w:t>Six months ended October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519</w:t>
            </w:r>
          </w:p>
        </w:tc>
        <w:tc>
          <w:tcPr>
            <w:tcW w:w="1120" w:type="dxa"/>
            <w:vAlign w:val="bottom"/>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Cost of revenues</w:t>
            </w:r>
          </w:p>
        </w:tc>
        <w:tc>
          <w:tcPr>
            <w:tcW w:w="108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723</w:t>
            </w:r>
          </w:p>
        </w:tc>
        <w:tc>
          <w:tcPr>
            <w:tcW w:w="112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550</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profit/(loss)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5,053</w:t>
            </w:r>
          </w:p>
        </w:tc>
        <w:tc>
          <w:tcPr>
            <w:tcW w:w="1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108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4,958</w:t>
            </w:r>
          </w:p>
        </w:tc>
        <w:tc>
          <w:tcPr>
            <w:tcW w:w="1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3,828</w:t>
            </w:r>
          </w:p>
        </w:tc>
        <w:tc>
          <w:tcPr>
            <w:tcW w:w="80" w:type="dxa"/>
            <w:vAlign w:val="bottom"/>
          </w:tcPr>
          <w:p>
            <w:pPr>
              <w:spacing w:after="0"/>
              <w:rPr>
                <w:sz w:val="19"/>
                <w:szCs w:val="19"/>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(10,215)</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(6,406)</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income, net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Gain on extinguishment of PPP loan</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891</w:t>
            </w:r>
          </w:p>
        </w:tc>
        <w:tc>
          <w:tcPr>
            <w:tcW w:w="11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(6,409)</w:t>
            </w:r>
          </w:p>
        </w:tc>
        <w:tc>
          <w:tcPr>
            <w:tcW w:w="100" w:type="dxa"/>
            <w:vAlign w:val="bottom"/>
            <w:gridSpan w:val="2"/>
          </w:tcPr>
          <w:p>
            <w:pPr>
              <w:spacing w:after="0"/>
              <w:rPr>
                <w:sz w:val="18"/>
                <w:szCs w:val="18"/>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1,041</w:t>
            </w:r>
          </w:p>
        </w:tc>
        <w:tc>
          <w:tcPr>
            <w:tcW w:w="1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for the six months ended October 31, 2021 and 2020 were $0.5 million and $0.3 million, respectively. The year-over-year increase was primarily due to higher levels of revenue derived from our EGP contract and new work with 3Dent consulting services projects as compared to the same period in the prior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for the six months ended October 31, 2021 and 2020 were $0.7 million and $0.6 million, respectively. The increase over 2020 was mostly due to higher deployment and material costs incurred on the EGP contract for the six months ended October 31, 2021 as compared to the six months ended October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Engineering and product development costs for the six months ended October 31, 2021 and 2020 were $5.1 million and $2.3 million, respectively. The increase of approximately $2.7 million is the result of higher spending on new product development costs related to increases in materials, labor, overhead and costs associated with subcontractors Greensea and Fathom5.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for the six months ended October 31, 2021 and 2020 were $5.0 million and $3.8 million, respectively. The increase of $1.1 million for the three months ended October 31, 2021 was primarily due to higher professional fees related to consultants, contractors, legal and accounting of $0.7 million and employee related costs of $0.3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Extinguishment of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the loan is now fully forgiven, and the Company recognized a gain on extinguishment of PPP loan of $0.9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$8.3 million and $6.4 million for the six months ended October 31, 2021 and 2020, respectively. Refer to “Liquidity Outlook” below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October 31, 2021, net cash flows used in operating activities was $10.4 million, an increase of $4.7 million compared to net cash used in operating activities during the six months ended October 31, 2020. This increase is primarily due to higher project and employee related costs and the payment on the settlement of litigation, discussed in Note 15 to the Consolidated Financial Statements under Part I, Item 1 of this report, of approximately $1.2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investing activities during the six months ended October 31, 2021 was $24,000, compared to zero cash used for investing activities during the six months ended October 31, 2020. The net cash used in investing activities was due to spending on the purchase of property, plant and equipment.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the six months ended October 31, 2021 was $21,000 compared to net cash provided by financing activities during the six months ended October 31, 2020 of $10.6 million. The decrease in net cash provided by financing activities reflects the combination of no capital raises during the first half of fiscal 2022 in addition to proceeds related to the PPP loan and capital raises related to Aspire and AGP in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exchange rates on cash and cash equivalents was a decrease of approximately $20,000 during the six months ended October 31, 2021.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For the two years ended April 30, 2021 and 2020, our aggregate revenues were $2.9 million, our aggregate net losses were $25.1 million and our aggregate net cash used in operating activities was $22.3 million.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is capital intensive, and up through October 31, 2021, we have been funding our business principally through sales of our securities. As of October 31, 2021, cash and cash equivalents was $73.0 million and we expect to fund our business with this amount and, to a limited extent, with our revenues until, we generate sufficient cash flow to internally fund our business. Management believes the Company’s current cash and cash equivalents is sufficient to fund its planned expenditures through at least December, 2022. In addition to the acquisition of 3Dent in the prior year, the Company is looking at further organic and inorganic growth opportunities to advance our data and power services and solutions. This includes the acquisition of MAR on November 15, 2021 for $11.0 million, consisting of $4.0 million in cash and $7.0 million in common stock (3,330,162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impact of COVID-19 pandemic and variants on our business, operations, customers, suppliers and manufacturers, and personnel;</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acquisitions, which may use significant resources, may be unsuccessful or may expose us to unforeseen liabilities, as well as our ability to integrate such acquisitions into our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that we will be successful in our efforts to commercialize our products or the timetable upon which commercialization can be achieved, if at all;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and our wave energy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reliability of our technology and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our Chief Financial Officer, evaluated the effectiveness of the design and operation of our disclosure controls and procedures as of October 31, 2021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October 31, 2021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October 31, 2021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jc w:val="both"/>
        <w:ind w:left="40" w:right="20"/>
        <w:spacing w:after="0" w:line="277" w:lineRule="auto"/>
        <w:rPr>
          <w:sz w:val="20"/>
          <w:szCs w:val="20"/>
          <w:color w:val="auto"/>
        </w:rPr>
      </w:pPr>
      <w:r>
        <w:rPr>
          <w:rFonts w:ascii="Arial" w:cs="Arial" w:eastAsia="Arial" w:hAnsi="Arial"/>
          <w:sz w:val="18"/>
          <w:szCs w:val="18"/>
          <w:color w:val="auto"/>
        </w:rPr>
        <w:t>For information on matters in dispute, see Note 16 to the Consolidated Financial Statements in our Annual Report on Form10-K for the year ended April 30, 2021, and Note 15 to the Consolidated Financial Statements under Part I,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2021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19,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$8.3 million during the first six months of fiscal year 2022 and $14.8 million in fiscal year 2021. As of October 31, 2021, we had an accumulated deficit of $243.2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no shares during the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890"/>
              <w:spacing w:after="0"/>
              <w:rPr>
                <w:sz w:val="20"/>
                <w:szCs w:val="20"/>
                <w:color w:val="auto"/>
              </w:rPr>
            </w:pPr>
            <w:r>
              <w:rPr>
                <w:rFonts w:ascii="Arial" w:cs="Arial" w:eastAsia="Arial" w:hAnsi="Arial"/>
                <w:sz w:val="18"/>
                <w:szCs w:val="18"/>
                <w:color w:val="auto"/>
                <w:w w:val="85"/>
              </w:rPr>
              <w:t>10.1</w:t>
            </w:r>
          </w:p>
        </w:tc>
        <w:tc>
          <w:tcPr>
            <w:tcW w:w="9940" w:type="dxa"/>
            <w:vAlign w:val="bottom"/>
            <w:tcBorders>
              <w:bottom w:val="single" w:sz="8" w:color="0000EE"/>
            </w:tcBorders>
            <w:gridSpan w:val="5"/>
          </w:tcPr>
          <w:p>
            <w:pPr>
              <w:spacing w:after="0"/>
              <w:rPr>
                <w:rFonts w:ascii="Arial" w:cs="Arial" w:eastAsia="Arial" w:hAnsi="Arial"/>
                <w:sz w:val="18"/>
                <w:szCs w:val="18"/>
                <w:color w:val="0000EE"/>
                <w:w w:val="95"/>
              </w:rPr>
            </w:pPr>
            <w:hyperlink r:id="rId68">
              <w:r>
                <w:rPr>
                  <w:rFonts w:ascii="Arial" w:cs="Arial" w:eastAsia="Arial" w:hAnsi="Arial"/>
                  <w:sz w:val="18"/>
                  <w:szCs w:val="18"/>
                  <w:color w:val="0000EE"/>
                  <w:w w:val="95"/>
                </w:rPr>
                <w:t>Employment Agreement between the Company and Philipp Stratmann dated effective June 18, 2021 (incorporated by reference to</w:t>
              </w:r>
            </w:hyperlink>
          </w:p>
        </w:tc>
      </w:tr>
      <w:tr>
        <w:trPr>
          <w:trHeight w:val="196"/>
        </w:trPr>
        <w:tc>
          <w:tcPr>
            <w:tcW w:w="1300" w:type="dxa"/>
            <w:vAlign w:val="bottom"/>
          </w:tcPr>
          <w:p>
            <w:pPr>
              <w:spacing w:after="0"/>
              <w:rPr>
                <w:sz w:val="17"/>
                <w:szCs w:val="17"/>
                <w:color w:val="auto"/>
              </w:rPr>
            </w:pPr>
          </w:p>
        </w:tc>
        <w:tc>
          <w:tcPr>
            <w:tcW w:w="60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Exhibit 10.1 to the Company’s Current Report on Form 8-K filed on June 21, 2021).</w:t>
              </w:r>
            </w:hyperlink>
          </w:p>
        </w:tc>
        <w:tc>
          <w:tcPr>
            <w:tcW w:w="3860" w:type="dxa"/>
            <w:vAlign w:val="bottom"/>
            <w:gridSpan w:val="3"/>
          </w:tcPr>
          <w:p>
            <w:pPr>
              <w:spacing w:after="0"/>
              <w:rPr>
                <w:sz w:val="17"/>
                <w:szCs w:val="17"/>
                <w:color w:val="auto"/>
              </w:rPr>
            </w:pPr>
          </w:p>
        </w:tc>
      </w:tr>
      <w:tr>
        <w:trPr>
          <w:trHeight w:val="412"/>
        </w:trPr>
        <w:tc>
          <w:tcPr>
            <w:tcW w:w="1300" w:type="dxa"/>
            <w:vAlign w:val="bottom"/>
          </w:tcPr>
          <w:p>
            <w:pPr>
              <w:jc w:val="right"/>
              <w:ind w:right="890"/>
              <w:spacing w:after="0"/>
              <w:rPr>
                <w:sz w:val="20"/>
                <w:szCs w:val="20"/>
                <w:color w:val="auto"/>
              </w:rPr>
            </w:pPr>
            <w:r>
              <w:rPr>
                <w:rFonts w:ascii="Arial" w:cs="Arial" w:eastAsia="Arial" w:hAnsi="Arial"/>
                <w:sz w:val="18"/>
                <w:szCs w:val="18"/>
                <w:color w:val="auto"/>
                <w:w w:val="85"/>
              </w:rPr>
              <w:t>10.2</w:t>
            </w:r>
          </w:p>
        </w:tc>
        <w:tc>
          <w:tcPr>
            <w:tcW w:w="9940" w:type="dxa"/>
            <w:vAlign w:val="bottom"/>
            <w:tcBorders>
              <w:bottom w:val="single" w:sz="8" w:color="0000EE"/>
            </w:tcBorders>
            <w:gridSpan w:val="5"/>
          </w:tcPr>
          <w:p>
            <w:pPr>
              <w:spacing w:after="0"/>
              <w:rPr>
                <w:rFonts w:ascii="Arial" w:cs="Arial" w:eastAsia="Arial" w:hAnsi="Arial"/>
                <w:sz w:val="18"/>
                <w:szCs w:val="18"/>
                <w:color w:val="0000EE"/>
                <w:w w:val="92"/>
              </w:rPr>
            </w:pPr>
            <w:hyperlink r:id="rId69">
              <w:r>
                <w:rPr>
                  <w:rFonts w:ascii="Arial" w:cs="Arial" w:eastAsia="Arial" w:hAnsi="Arial"/>
                  <w:sz w:val="18"/>
                  <w:szCs w:val="18"/>
                  <w:color w:val="0000EE"/>
                  <w:w w:val="92"/>
                </w:rPr>
                <w:t>Letter Agreement between the Company and George H. Kirby III dated effective July 16, 2021(incorporated by reference to Exhibit 10.1</w:t>
              </w:r>
            </w:hyperlink>
          </w:p>
        </w:tc>
      </w:tr>
      <w:tr>
        <w:trPr>
          <w:trHeight w:val="196"/>
        </w:trPr>
        <w:tc>
          <w:tcPr>
            <w:tcW w:w="1300" w:type="dxa"/>
            <w:vAlign w:val="bottom"/>
          </w:tcPr>
          <w:p>
            <w:pPr>
              <w:spacing w:after="0"/>
              <w:rPr>
                <w:sz w:val="17"/>
                <w:szCs w:val="17"/>
                <w:color w:val="auto"/>
              </w:rPr>
            </w:pPr>
          </w:p>
        </w:tc>
        <w:tc>
          <w:tcPr>
            <w:tcW w:w="512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to the Company’s Current Report on Form 8-K filed on July 16, 2021).</w:t>
              </w:r>
            </w:hyperlink>
          </w:p>
        </w:tc>
        <w:tc>
          <w:tcPr>
            <w:tcW w:w="4820" w:type="dxa"/>
            <w:vAlign w:val="bottom"/>
            <w:gridSpan w:val="4"/>
          </w:tcPr>
          <w:p>
            <w:pPr>
              <w:spacing w:after="0"/>
              <w:rPr>
                <w:sz w:val="17"/>
                <w:szCs w:val="17"/>
                <w:color w:val="auto"/>
              </w:rPr>
            </w:pPr>
          </w:p>
        </w:tc>
      </w:tr>
      <w:tr>
        <w:trPr>
          <w:trHeight w:val="412"/>
        </w:trPr>
        <w:tc>
          <w:tcPr>
            <w:tcW w:w="1300" w:type="dxa"/>
            <w:vAlign w:val="bottom"/>
          </w:tcPr>
          <w:p>
            <w:pPr>
              <w:jc w:val="right"/>
              <w:ind w:right="890"/>
              <w:spacing w:after="0"/>
              <w:rPr>
                <w:sz w:val="20"/>
                <w:szCs w:val="20"/>
                <w:color w:val="auto"/>
              </w:rPr>
            </w:pPr>
            <w:r>
              <w:rPr>
                <w:rFonts w:ascii="Arial" w:cs="Arial" w:eastAsia="Arial" w:hAnsi="Arial"/>
                <w:sz w:val="18"/>
                <w:szCs w:val="18"/>
                <w:color w:val="auto"/>
                <w:w w:val="85"/>
              </w:rPr>
              <w:t>31.1</w:t>
            </w:r>
          </w:p>
        </w:tc>
        <w:tc>
          <w:tcPr>
            <w:tcW w:w="994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Chief Executive Officer pursuant to Section 302 of the Sarbanes-Oxley Act of 2002</w:t>
              </w:r>
            </w:hyperlink>
          </w:p>
        </w:tc>
      </w:tr>
      <w:tr>
        <w:trPr>
          <w:trHeight w:val="412"/>
        </w:trPr>
        <w:tc>
          <w:tcPr>
            <w:tcW w:w="1300" w:type="dxa"/>
            <w:vAlign w:val="bottom"/>
          </w:tcPr>
          <w:p>
            <w:pPr>
              <w:jc w:val="right"/>
              <w:ind w:right="890"/>
              <w:spacing w:after="0"/>
              <w:rPr>
                <w:sz w:val="20"/>
                <w:szCs w:val="20"/>
                <w:color w:val="auto"/>
              </w:rPr>
            </w:pPr>
            <w:r>
              <w:rPr>
                <w:rFonts w:ascii="Arial" w:cs="Arial" w:eastAsia="Arial" w:hAnsi="Arial"/>
                <w:sz w:val="18"/>
                <w:szCs w:val="18"/>
                <w:color w:val="auto"/>
                <w:w w:val="85"/>
              </w:rPr>
              <w:t>31.2</w:t>
            </w:r>
          </w:p>
        </w:tc>
        <w:tc>
          <w:tcPr>
            <w:tcW w:w="71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r>
      <w:tr>
        <w:trPr>
          <w:trHeight w:val="412"/>
        </w:trPr>
        <w:tc>
          <w:tcPr>
            <w:tcW w:w="1300" w:type="dxa"/>
            <w:vAlign w:val="bottom"/>
          </w:tcPr>
          <w:p>
            <w:pPr>
              <w:jc w:val="right"/>
              <w:ind w:right="890"/>
              <w:spacing w:after="0"/>
              <w:rPr>
                <w:sz w:val="20"/>
                <w:szCs w:val="20"/>
                <w:color w:val="auto"/>
              </w:rPr>
            </w:pPr>
            <w:r>
              <w:rPr>
                <w:rFonts w:ascii="Arial" w:cs="Arial" w:eastAsia="Arial" w:hAnsi="Arial"/>
                <w:sz w:val="18"/>
                <w:szCs w:val="18"/>
                <w:color w:val="auto"/>
                <w:w w:val="85"/>
              </w:rPr>
              <w:t>32.1</w:t>
            </w:r>
          </w:p>
        </w:tc>
        <w:tc>
          <w:tcPr>
            <w:tcW w:w="994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Certification of Chief Executive Officer pursuant to Section 302 of the Sarbanes-Oxley Act of 2002</w:t>
              </w:r>
            </w:hyperlink>
          </w:p>
        </w:tc>
      </w:tr>
      <w:tr>
        <w:trPr>
          <w:trHeight w:val="412"/>
        </w:trPr>
        <w:tc>
          <w:tcPr>
            <w:tcW w:w="1300" w:type="dxa"/>
            <w:vAlign w:val="bottom"/>
          </w:tcPr>
          <w:p>
            <w:pPr>
              <w:jc w:val="right"/>
              <w:ind w:right="890"/>
              <w:spacing w:after="0"/>
              <w:rPr>
                <w:sz w:val="20"/>
                <w:szCs w:val="20"/>
                <w:color w:val="auto"/>
              </w:rPr>
            </w:pPr>
            <w:r>
              <w:rPr>
                <w:rFonts w:ascii="Arial" w:cs="Arial" w:eastAsia="Arial" w:hAnsi="Arial"/>
                <w:sz w:val="18"/>
                <w:szCs w:val="18"/>
                <w:color w:val="auto"/>
                <w:w w:val="85"/>
              </w:rPr>
              <w:t>32.2</w:t>
            </w:r>
          </w:p>
        </w:tc>
        <w:tc>
          <w:tcPr>
            <w:tcW w:w="71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Chief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r>
    </w:tbl>
    <w:p>
      <w:pPr>
        <w:spacing w:after="0" w:line="229" w:lineRule="exact"/>
        <w:rPr>
          <w:sz w:val="20"/>
          <w:szCs w:val="20"/>
          <w:color w:val="auto"/>
        </w:rPr>
      </w:pPr>
    </w:p>
    <w:p>
      <w:pPr>
        <w:jc w:val="both"/>
        <w:ind w:left="1300" w:hanging="1292"/>
        <w:spacing w:after="0" w:line="286"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Quarterly Report on Form 10-Q for the quarter ended October 31, 2021, formatted in eXtensible Business Reporting Language (XBRL): (i) Consolidated Balance Sheets – October 31, 2021 (unaudited) and April 30, 2021, (ii) Consolidated Statements of Operations (unaudited) – three and six months ended October 31, 2021 and 2020, (iii) Consolidated Statements of Comprehensive Loss (unaudited) – three and six months ended October 31, 2021 and 2020,</w:t>
      </w:r>
    </w:p>
    <w:p>
      <w:pPr>
        <w:spacing w:after="0" w:line="1" w:lineRule="exact"/>
        <w:rPr>
          <w:rFonts w:ascii="Arial" w:cs="Arial" w:eastAsia="Arial" w:hAnsi="Arial"/>
          <w:sz w:val="16"/>
          <w:szCs w:val="16"/>
          <w:color w:val="auto"/>
        </w:rPr>
      </w:pPr>
    </w:p>
    <w:p>
      <w:pPr>
        <w:jc w:val="both"/>
        <w:ind w:left="1300" w:firstLine="4"/>
        <w:spacing w:after="0" w:line="255" w:lineRule="auto"/>
        <w:tabs>
          <w:tab w:leader="none" w:pos="1653"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Consolidated Statement of Shareholders’ Equity (unaudited) – three and six months ended October 31, 2021 and 2020 (v) Consolidated Statements of Cash Flows (unaudited) –six months ended October 31, 2021 and 2020, (vi) Notes to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5260" w:type="dxa"/>
            <w:vAlign w:val="bottom"/>
          </w:tcPr>
          <w:p>
            <w:pPr>
              <w:ind w:left="30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526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5260" w:type="dxa"/>
            <w:vAlign w:val="bottom"/>
          </w:tcPr>
          <w:p>
            <w:pPr>
              <w:ind w:left="30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5260" w:type="dxa"/>
            <w:vAlign w:val="bottom"/>
          </w:tcPr>
          <w:p>
            <w:pPr>
              <w:ind w:left="30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526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5260" w:type="dxa"/>
            <w:vAlign w:val="bottom"/>
          </w:tcPr>
          <w:p>
            <w:pPr>
              <w:ind w:left="30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202" w:lineRule="exact"/>
        <w:rPr>
          <w:sz w:val="20"/>
          <w:szCs w:val="20"/>
          <w:color w:val="auto"/>
        </w:rPr>
      </w:pPr>
    </w:p>
    <w:p>
      <w:pPr>
        <w:ind w:left="1300" w:hanging="129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1300" w:hanging="324"/>
        <w:spacing w:after="0" w:line="286" w:lineRule="auto"/>
        <w:rPr>
          <w:rFonts w:ascii="Arial" w:cs="Arial" w:eastAsia="Arial" w:hAnsi="Arial"/>
          <w:sz w:val="18"/>
          <w:szCs w:val="18"/>
          <w:color w:val="auto"/>
        </w:rPr>
      </w:pPr>
      <w:r>
        <w:rPr>
          <w:rFonts w:ascii="Arial" w:cs="Arial" w:eastAsia="Arial" w:hAnsi="Arial"/>
          <w:sz w:val="17"/>
          <w:szCs w:val="17"/>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6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14, 2021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14, 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Philipp Stratmann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Robert P.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14605</wp:posOffset>
            </wp:positionV>
            <wp:extent cx="33515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Robert P. Powers</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233" w:right="3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P. Powers,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Robert P.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2021, as filed with the Securities and Exchange Commission on the date hereof (the “Report”), the undersigned, Philipp Stratmann, President and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460" w:firstLine="8"/>
        <w:spacing w:after="0" w:line="500"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14,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2021, as filed with the Securities and Exchange Commission on the date hereof (the “Report”), the undersigned, Robert P. Powers, Senior Vice President and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460" w:firstLine="8"/>
        <w:spacing w:after="0" w:line="500"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14,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Robert P.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P. Powers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6"/>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01"/>
    </w:lvl>
    <w:lvl w:ilvl="1">
      <w:lvlJc w:val="left"/>
      <w:lvlText w:val="(%2)"/>
      <w:numFmt w:val="lowerRoman"/>
      <w:start w:val="4"/>
    </w:lvl>
  </w:abstractNum>
  <w:abstractNum w:abstractNumId="13">
    <w:nsid w:val="257130A3"/>
    <w:multiLevelType w:val="hybridMultilevel"/>
    <w:lvl w:ilvl="0">
      <w:lvlJc w:val="left"/>
      <w:lvlText w:val="%1"/>
      <w:numFmt w:val="decimal"/>
      <w:start w:val="104"/>
    </w:lvl>
    <w:lvl w:ilvl="1">
      <w:lvlJc w:val="left"/>
      <w:lvlText w:val="*"/>
      <w:numFmt w:val="bullet"/>
      <w:start w:val="1"/>
    </w:lvl>
  </w:abstractNum>
  <w:abstractNum w:abstractNumId="14">
    <w:nsid w:val="62BBD95A"/>
    <w:multiLevelType w:val="hybridMultilevel"/>
    <w:lvl w:ilvl="0">
      <w:lvlJc w:val="left"/>
      <w:lvlText w:val="%1"/>
      <w:numFmt w:val="decimal"/>
      <w:start w:val="1"/>
    </w:lvl>
    <w:lvl w:ilvl="1">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68" Type="http://schemas.openxmlformats.org/officeDocument/2006/relationships/hyperlink" Target="https://www.sec.gov/Archives/edgar/data/1378140/000149315221014799/ex10-1.htm" TargetMode="External"/><Relationship Id="rId69" Type="http://schemas.openxmlformats.org/officeDocument/2006/relationships/hyperlink" Target="https://www.sec.gov/Archives/edgar/data/1378140/00014931522101708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2021-12-14T15:35:39Z</dcterms:created>
  <dcterms:modified xsi:type="dcterms:W3CDTF">2021-12-14T15:35:39Z</dcterms:modified>
</cp:coreProperties>
</file>