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197485</wp:posOffset>
            </wp:positionV>
            <wp:extent cx="5614035" cy="23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14035" cy="2349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228600</wp:posOffset>
            </wp:positionV>
            <wp:extent cx="56140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14035" cy="762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center"/>
        <w:ind w:right="799"/>
        <w:spacing w:after="0"/>
        <w:rPr>
          <w:sz w:val="20"/>
          <w:szCs w:val="20"/>
          <w:color w:val="auto"/>
        </w:rPr>
      </w:pPr>
      <w:r>
        <w:rPr>
          <w:rFonts w:ascii="Arial" w:cs="Arial" w:eastAsia="Arial" w:hAnsi="Arial"/>
          <w:sz w:val="23"/>
          <w:szCs w:val="23"/>
          <w:b w:val="1"/>
          <w:bCs w:val="1"/>
          <w:color w:val="auto"/>
        </w:rPr>
        <w:t>UNITED STATES SECURITIES AND EXCHANGE COMMISSION</w:t>
      </w:r>
    </w:p>
    <w:p>
      <w:pPr>
        <w:spacing w:after="0" w:line="24" w:lineRule="exact"/>
        <w:rPr>
          <w:sz w:val="20"/>
          <w:szCs w:val="20"/>
          <w:color w:val="auto"/>
        </w:rPr>
      </w:pPr>
    </w:p>
    <w:p>
      <w:pPr>
        <w:jc w:val="center"/>
        <w:ind w:right="799"/>
        <w:spacing w:after="0"/>
        <w:rPr>
          <w:sz w:val="20"/>
          <w:szCs w:val="20"/>
          <w:color w:val="auto"/>
        </w:rPr>
      </w:pPr>
      <w:r>
        <w:rPr>
          <w:rFonts w:ascii="Arial" w:cs="Arial" w:eastAsia="Arial" w:hAnsi="Arial"/>
          <w:sz w:val="20"/>
          <w:szCs w:val="20"/>
          <w:b w:val="1"/>
          <w:bCs w:val="1"/>
          <w:color w:val="auto"/>
        </w:rPr>
        <w:t>Washington, D.C. 20549</w:t>
      </w:r>
    </w:p>
    <w:p>
      <w:pPr>
        <w:spacing w:after="0" w:line="127" w:lineRule="exact"/>
        <w:rPr>
          <w:sz w:val="20"/>
          <w:szCs w:val="20"/>
          <w:color w:val="auto"/>
        </w:rPr>
      </w:pPr>
    </w:p>
    <w:p>
      <w:pPr>
        <w:ind w:left="4020"/>
        <w:spacing w:after="0"/>
        <w:rPr>
          <w:sz w:val="20"/>
          <w:szCs w:val="20"/>
          <w:color w:val="auto"/>
        </w:rPr>
      </w:pPr>
      <w:r>
        <w:rPr>
          <w:rFonts w:ascii="Arial" w:cs="Arial" w:eastAsia="Arial" w:hAnsi="Arial"/>
          <w:sz w:val="29"/>
          <w:szCs w:val="29"/>
          <w:b w:val="1"/>
          <w:bCs w:val="1"/>
          <w:color w:val="auto"/>
        </w:rPr>
        <w:t>Form 10-Q</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(Mark One)</w:t>
      </w:r>
    </w:p>
    <w:p>
      <w:pPr>
        <w:spacing w:after="0" w:line="196" w:lineRule="exact"/>
        <w:rPr>
          <w:sz w:val="20"/>
          <w:szCs w:val="20"/>
          <w:color w:val="auto"/>
        </w:rPr>
      </w:pPr>
    </w:p>
    <w:p>
      <w:pPr>
        <w:ind w:left="1360" w:right="1279" w:hanging="840"/>
        <w:spacing w:after="0" w:line="256" w:lineRule="auto"/>
        <w:tabs>
          <w:tab w:leader="none" w:pos="13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20"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auto"/>
        </w:rPr>
        <w:t>For the Quarterly Period Ended October 31, 2011</w:t>
      </w:r>
    </w:p>
    <w:p>
      <w:pPr>
        <w:spacing w:after="0" w:line="184" w:lineRule="exact"/>
        <w:rPr>
          <w:sz w:val="20"/>
          <w:szCs w:val="20"/>
          <w:color w:val="auto"/>
        </w:rPr>
      </w:pPr>
    </w:p>
    <w:p>
      <w:pPr>
        <w:ind w:left="4620"/>
        <w:spacing w:after="0"/>
        <w:rPr>
          <w:sz w:val="20"/>
          <w:szCs w:val="20"/>
          <w:color w:val="auto"/>
        </w:rPr>
      </w:pPr>
      <w:r>
        <w:rPr>
          <w:rFonts w:ascii="Arial" w:cs="Arial" w:eastAsia="Arial" w:hAnsi="Arial"/>
          <w:sz w:val="16"/>
          <w:szCs w:val="16"/>
          <w:b w:val="1"/>
          <w:bCs w:val="1"/>
          <w:color w:val="auto"/>
        </w:rPr>
        <w:t>Or</w:t>
      </w:r>
    </w:p>
    <w:p>
      <w:pPr>
        <w:spacing w:after="0" w:line="200" w:lineRule="exact"/>
        <w:rPr>
          <w:sz w:val="20"/>
          <w:szCs w:val="20"/>
          <w:color w:val="auto"/>
        </w:rPr>
      </w:pPr>
    </w:p>
    <w:p>
      <w:pPr>
        <w:ind w:left="1360" w:right="1279" w:hanging="803"/>
        <w:spacing w:after="0" w:line="256" w:lineRule="auto"/>
        <w:tabs>
          <w:tab w:leader="none" w:pos="136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20" w:lineRule="exact"/>
        <w:rPr>
          <w:sz w:val="20"/>
          <w:szCs w:val="20"/>
          <w:color w:val="auto"/>
        </w:rPr>
      </w:pPr>
    </w:p>
    <w:p>
      <w:pPr>
        <w:ind w:left="1360"/>
        <w:spacing w:after="0"/>
        <w:tabs>
          <w:tab w:leader="none" w:pos="44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2289810</wp:posOffset>
            </wp:positionH>
            <wp:positionV relativeFrom="paragraph">
              <wp:posOffset>-4445</wp:posOffset>
            </wp:positionV>
            <wp:extent cx="117792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77925" cy="7620"/>
                    </a:xfrm>
                    <a:prstGeom prst="rect">
                      <a:avLst/>
                    </a:prstGeom>
                    <a:noFill/>
                  </pic:spPr>
                </pic:pic>
              </a:graphicData>
            </a:graphic>
          </wp:anchor>
        </w:drawing>
      </w:r>
    </w:p>
    <w:p>
      <w:pPr>
        <w:spacing w:after="0" w:line="152"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Commission file number: 001-33417</w:t>
      </w:r>
    </w:p>
    <w:p>
      <w:pPr>
        <w:spacing w:after="0" w:line="163" w:lineRule="exact"/>
        <w:rPr>
          <w:sz w:val="20"/>
          <w:szCs w:val="20"/>
          <w:color w:val="auto"/>
        </w:rPr>
      </w:pPr>
    </w:p>
    <w:p>
      <w:pPr>
        <w:jc w:val="center"/>
        <w:ind w:right="799"/>
        <w:spacing w:after="0"/>
        <w:rPr>
          <w:sz w:val="20"/>
          <w:szCs w:val="20"/>
          <w:color w:val="auto"/>
        </w:rPr>
      </w:pPr>
      <w:r>
        <w:rPr>
          <w:rFonts w:ascii="Arial" w:cs="Arial" w:eastAsia="Arial" w:hAnsi="Arial"/>
          <w:sz w:val="39"/>
          <w:szCs w:val="39"/>
          <w:b w:val="1"/>
          <w:bCs w:val="1"/>
          <w:color w:val="auto"/>
        </w:rPr>
        <w:t>OCEAN POWER TECHNOLOGIES, INC.</w:t>
      </w:r>
    </w:p>
    <w:p>
      <w:pPr>
        <w:spacing w:after="0" w:line="45" w:lineRule="exact"/>
        <w:rPr>
          <w:sz w:val="20"/>
          <w:szCs w:val="20"/>
          <w:color w:val="auto"/>
        </w:rPr>
      </w:pPr>
    </w:p>
    <w:p>
      <w:pPr>
        <w:ind w:left="2940"/>
        <w:spacing w:after="0"/>
        <w:rPr>
          <w:sz w:val="20"/>
          <w:szCs w:val="20"/>
          <w:color w:val="auto"/>
        </w:rPr>
      </w:pPr>
      <w:r>
        <w:rPr>
          <w:rFonts w:ascii="Arial" w:cs="Arial" w:eastAsia="Arial" w:hAnsi="Arial"/>
          <w:sz w:val="16"/>
          <w:szCs w:val="16"/>
          <w:i w:val="1"/>
          <w:iCs w:val="1"/>
          <w:color w:val="auto"/>
        </w:rPr>
        <w:t>(Exact Name of Registrant as Specified in Its Charter)</w:t>
      </w:r>
    </w:p>
    <w:p>
      <w:pPr>
        <w:sectPr>
          <w:pgSz w:w="11900" w:h="16838" w:orient="portrait"/>
          <w:cols w:equalWidth="0" w:num="1">
            <w:col w:w="10219"/>
          </w:cols>
          <w:pgMar w:left="240" w:top="124" w:right="1440" w:bottom="1440" w:gutter="0" w:footer="0" w:header="0"/>
        </w:sectPr>
      </w:pPr>
    </w:p>
    <w:p>
      <w:pPr>
        <w:spacing w:after="0" w:line="191" w:lineRule="exact"/>
        <w:rPr>
          <w:sz w:val="20"/>
          <w:szCs w:val="20"/>
          <w:color w:val="auto"/>
        </w:rPr>
      </w:pPr>
    </w:p>
    <w:p>
      <w:pPr>
        <w:jc w:val="center"/>
        <w:ind w:right="220"/>
        <w:spacing w:after="0"/>
        <w:rPr>
          <w:sz w:val="20"/>
          <w:szCs w:val="20"/>
          <w:color w:val="auto"/>
        </w:rPr>
      </w:pPr>
      <w:r>
        <w:rPr>
          <w:rFonts w:ascii="Arial" w:cs="Arial" w:eastAsia="Arial" w:hAnsi="Arial"/>
          <w:sz w:val="16"/>
          <w:szCs w:val="16"/>
          <w:b w:val="1"/>
          <w:bCs w:val="1"/>
          <w:color w:val="auto"/>
        </w:rPr>
        <w:t>Delaware</w:t>
      </w:r>
    </w:p>
    <w:p>
      <w:pPr>
        <w:spacing w:after="0" w:line="28" w:lineRule="exact"/>
        <w:rPr>
          <w:sz w:val="20"/>
          <w:szCs w:val="20"/>
          <w:color w:val="auto"/>
        </w:rPr>
      </w:pPr>
    </w:p>
    <w:p>
      <w:pPr>
        <w:jc w:val="center"/>
        <w:ind w:right="220"/>
        <w:spacing w:after="0"/>
        <w:rPr>
          <w:sz w:val="20"/>
          <w:szCs w:val="20"/>
          <w:color w:val="auto"/>
        </w:rPr>
      </w:pPr>
      <w:r>
        <w:rPr>
          <w:rFonts w:ascii="Arial" w:cs="Arial" w:eastAsia="Arial" w:hAnsi="Arial"/>
          <w:sz w:val="15"/>
          <w:szCs w:val="15"/>
          <w:i w:val="1"/>
          <w:iCs w:val="1"/>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ind w:right="2059"/>
        <w:spacing w:after="0"/>
        <w:rPr>
          <w:sz w:val="20"/>
          <w:szCs w:val="20"/>
          <w:color w:val="auto"/>
        </w:rPr>
      </w:pPr>
      <w:r>
        <w:rPr>
          <w:rFonts w:ascii="Arial" w:cs="Arial" w:eastAsia="Arial" w:hAnsi="Arial"/>
          <w:sz w:val="16"/>
          <w:szCs w:val="16"/>
          <w:b w:val="1"/>
          <w:bCs w:val="1"/>
          <w:color w:val="auto"/>
        </w:rPr>
        <w:t>22-2535818</w:t>
      </w:r>
    </w:p>
    <w:p>
      <w:pPr>
        <w:spacing w:after="0" w:line="28" w:lineRule="exact"/>
        <w:rPr>
          <w:sz w:val="20"/>
          <w:szCs w:val="20"/>
          <w:color w:val="auto"/>
        </w:rPr>
      </w:pPr>
    </w:p>
    <w:p>
      <w:pPr>
        <w:jc w:val="center"/>
        <w:ind w:right="2059"/>
        <w:spacing w:after="0"/>
        <w:rPr>
          <w:sz w:val="20"/>
          <w:szCs w:val="20"/>
          <w:color w:val="auto"/>
        </w:rPr>
      </w:pPr>
      <w:r>
        <w:rPr>
          <w:rFonts w:ascii="Arial" w:cs="Arial" w:eastAsia="Arial" w:hAnsi="Arial"/>
          <w:sz w:val="15"/>
          <w:szCs w:val="15"/>
          <w:i w:val="1"/>
          <w:iCs w:val="1"/>
          <w:color w:val="auto"/>
        </w:rPr>
        <w:t>(I.R.S. Employer Identification No.)</w:t>
      </w:r>
    </w:p>
    <w:p>
      <w:pPr>
        <w:spacing w:after="0" w:line="168" w:lineRule="exact"/>
        <w:rPr>
          <w:sz w:val="20"/>
          <w:szCs w:val="20"/>
          <w:color w:val="auto"/>
        </w:rPr>
      </w:pPr>
    </w:p>
    <w:p>
      <w:pPr>
        <w:sectPr>
          <w:pgSz w:w="11900" w:h="16838" w:orient="portrait"/>
          <w:cols w:equalWidth="0" w:num="2">
            <w:col w:w="5100" w:space="720"/>
            <w:col w:w="4399"/>
          </w:cols>
          <w:pgMar w:left="240" w:top="124" w:right="1440" w:bottom="1440" w:gutter="0" w:footer="0" w:header="0"/>
          <w:type w:val="continuous"/>
        </w:sectPr>
      </w:pPr>
    </w:p>
    <w:p>
      <w:pPr>
        <w:jc w:val="center"/>
        <w:ind w:right="799"/>
        <w:spacing w:after="0"/>
        <w:rPr>
          <w:sz w:val="20"/>
          <w:szCs w:val="20"/>
          <w:color w:val="auto"/>
        </w:rPr>
      </w:pPr>
      <w:r>
        <w:rPr>
          <w:rFonts w:ascii="Arial" w:cs="Arial" w:eastAsia="Arial" w:hAnsi="Arial"/>
          <w:sz w:val="16"/>
          <w:szCs w:val="16"/>
          <w:b w:val="1"/>
          <w:bCs w:val="1"/>
          <w:color w:val="auto"/>
        </w:rPr>
        <w:t>1590 REED ROAD, PENNINGTON, NJ 08534</w:t>
      </w:r>
    </w:p>
    <w:p>
      <w:pPr>
        <w:spacing w:after="0" w:line="28" w:lineRule="exact"/>
        <w:rPr>
          <w:sz w:val="20"/>
          <w:szCs w:val="20"/>
          <w:color w:val="auto"/>
        </w:rPr>
      </w:pPr>
    </w:p>
    <w:p>
      <w:pPr>
        <w:jc w:val="center"/>
        <w:ind w:right="799"/>
        <w:spacing w:after="0"/>
        <w:rPr>
          <w:sz w:val="20"/>
          <w:szCs w:val="20"/>
          <w:color w:val="auto"/>
        </w:rPr>
      </w:pPr>
      <w:r>
        <w:rPr>
          <w:rFonts w:ascii="Arial" w:cs="Arial" w:eastAsia="Arial" w:hAnsi="Arial"/>
          <w:sz w:val="16"/>
          <w:szCs w:val="16"/>
          <w:i w:val="1"/>
          <w:iCs w:val="1"/>
          <w:color w:val="auto"/>
        </w:rPr>
        <w:t>(Address of Principal Executive Offices, Including Zip Code)</w:t>
      </w:r>
    </w:p>
    <w:p>
      <w:pPr>
        <w:spacing w:after="0" w:line="157"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(609) 730-0400</w:t>
      </w:r>
    </w:p>
    <w:p>
      <w:pPr>
        <w:spacing w:after="0" w:line="28" w:lineRule="exact"/>
        <w:rPr>
          <w:sz w:val="20"/>
          <w:szCs w:val="20"/>
          <w:color w:val="auto"/>
        </w:rPr>
      </w:pPr>
    </w:p>
    <w:p>
      <w:pPr>
        <w:jc w:val="center"/>
        <w:ind w:right="799"/>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173" w:lineRule="exact"/>
        <w:rPr>
          <w:sz w:val="20"/>
          <w:szCs w:val="20"/>
          <w:color w:val="auto"/>
        </w:rPr>
      </w:pPr>
    </w:p>
    <w:p>
      <w:pPr>
        <w:ind w:left="300" w:right="1159"/>
        <w:spacing w:after="0" w:line="20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30" w:lineRule="exact"/>
        <w:rPr>
          <w:sz w:val="20"/>
          <w:szCs w:val="20"/>
          <w:color w:val="auto"/>
        </w:rPr>
      </w:pPr>
    </w:p>
    <w:p>
      <w:pPr>
        <w:ind w:left="300" w:right="1119"/>
        <w:spacing w:after="0" w:line="206" w:lineRule="exact"/>
        <w:rPr>
          <w:sz w:val="20"/>
          <w:szCs w:val="20"/>
          <w:color w:val="auto"/>
        </w:rPr>
      </w:pPr>
      <w:r>
        <w:rPr>
          <w:rFonts w:ascii="Arial" w:cs="Arial" w:eastAsia="Arial" w:hAnsi="Arial"/>
          <w:sz w:val="15"/>
          <w:szCs w:val="15"/>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132" w:lineRule="exact"/>
        <w:rPr>
          <w:sz w:val="20"/>
          <w:szCs w:val="20"/>
          <w:color w:val="auto"/>
        </w:rPr>
      </w:pPr>
    </w:p>
    <w:p>
      <w:pPr>
        <w:ind w:left="300" w:right="1179"/>
        <w:spacing w:after="0" w:line="27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0219"/>
          </w:cols>
          <w:pgMar w:left="240" w:top="124" w:right="1440" w:bottom="1440" w:gutter="0" w:footer="0" w:header="0"/>
          <w:type w:val="continuous"/>
        </w:sectPr>
      </w:pPr>
    </w:p>
    <w:p>
      <w:pPr>
        <w:spacing w:after="0" w:line="163" w:lineRule="exact"/>
        <w:rPr>
          <w:sz w:val="20"/>
          <w:szCs w:val="20"/>
          <w:color w:val="auto"/>
        </w:rPr>
      </w:pPr>
    </w:p>
    <w:p>
      <w:pPr>
        <w:ind w:left="300"/>
        <w:spacing w:after="0"/>
        <w:rPr>
          <w:sz w:val="20"/>
          <w:szCs w:val="20"/>
          <w:color w:val="auto"/>
        </w:rPr>
      </w:pPr>
      <w:r>
        <w:rPr>
          <w:rFonts w:ascii="Arial" w:cs="Arial" w:eastAsia="Arial" w:hAnsi="Arial"/>
          <w:sz w:val="14"/>
          <w:szCs w:val="14"/>
          <w:color w:val="auto"/>
        </w:rPr>
        <w:t>Large accelerated filer o</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cente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Non-accelerated filer 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Smaller reporting company o</w:t>
      </w:r>
    </w:p>
    <w:p>
      <w:pPr>
        <w:spacing w:after="0" w:line="361" w:lineRule="exact"/>
        <w:rPr>
          <w:sz w:val="20"/>
          <w:szCs w:val="20"/>
          <w:color w:val="auto"/>
        </w:rPr>
      </w:pPr>
    </w:p>
    <w:p>
      <w:pPr>
        <w:sectPr>
          <w:pgSz w:w="11900" w:h="16838" w:orient="portrait"/>
          <w:cols w:equalWidth="0" w:num="4">
            <w:col w:w="1880" w:space="400"/>
            <w:col w:w="1280" w:space="380"/>
            <w:col w:w="3040" w:space="220"/>
            <w:col w:w="3019"/>
          </w:cols>
          <w:pgMar w:left="240" w:top="124" w:right="1440" w:bottom="1440" w:gutter="0" w:footer="0" w:header="0"/>
          <w:type w:val="continuous"/>
        </w:sectPr>
      </w:pPr>
    </w:p>
    <w:p>
      <w:pPr>
        <w:ind w:left="300" w:right="1659"/>
        <w:spacing w:after="0" w:line="297"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o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30, 2011, the number of outstanding shares of common stock of the registrant was 10,414,389.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118110</wp:posOffset>
            </wp:positionV>
            <wp:extent cx="5614035" cy="31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14035" cy="311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731520</wp:posOffset>
            </wp:positionV>
            <wp:extent cx="7263765"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0219"/>
          </w:cols>
          <w:pgMar w:left="240" w:top="124" w:right="1440" w:bottom="1440" w:gutter="0" w:footer="0" w:header="0"/>
          <w:type w:val="continuous"/>
        </w:sectPr>
      </w:pPr>
    </w:p>
    <w:bookmarkStart w:id="2" w:name="page3"/>
    <w:bookmarkEnd w:id="2"/>
    <w:p>
      <w:pPr>
        <w:jc w:val="center"/>
        <w:ind w:right="1099"/>
        <w:spacing w:after="0"/>
        <w:rPr>
          <w:sz w:val="20"/>
          <w:szCs w:val="20"/>
          <w:color w:val="auto"/>
        </w:rPr>
      </w:pPr>
      <w:r>
        <w:rPr>
          <w:rFonts w:ascii="Arial" w:cs="Arial" w:eastAsia="Arial" w:hAnsi="Arial"/>
          <w:sz w:val="16"/>
          <w:szCs w:val="16"/>
          <w:b w:val="1"/>
          <w:bCs w:val="1"/>
          <w:color w:val="auto"/>
        </w:rPr>
        <w:t>OCEAN POWER TECHNOLOGIES, INC.</w:t>
      </w:r>
    </w:p>
    <w:p>
      <w:pPr>
        <w:spacing w:after="0" w:line="28" w:lineRule="exact"/>
        <w:rPr>
          <w:sz w:val="20"/>
          <w:szCs w:val="20"/>
          <w:color w:val="auto"/>
        </w:rPr>
      </w:pPr>
    </w:p>
    <w:p>
      <w:pPr>
        <w:jc w:val="center"/>
        <w:ind w:right="1099"/>
        <w:spacing w:after="0"/>
        <w:rPr>
          <w:sz w:val="20"/>
          <w:szCs w:val="20"/>
          <w:color w:val="auto"/>
        </w:rPr>
      </w:pPr>
      <w:r>
        <w:rPr>
          <w:rFonts w:ascii="Arial" w:cs="Arial" w:eastAsia="Arial" w:hAnsi="Arial"/>
          <w:sz w:val="16"/>
          <w:szCs w:val="16"/>
          <w:b w:val="1"/>
          <w:bCs w:val="1"/>
          <w:color w:val="auto"/>
        </w:rPr>
        <w:t>INDEX TO FORM 10-Q</w:t>
      </w:r>
    </w:p>
    <w:p>
      <w:pPr>
        <w:spacing w:after="0" w:line="12" w:lineRule="exact"/>
        <w:rPr>
          <w:sz w:val="20"/>
          <w:szCs w:val="20"/>
          <w:color w:val="auto"/>
        </w:rPr>
      </w:pPr>
    </w:p>
    <w:p>
      <w:pPr>
        <w:jc w:val="center"/>
        <w:ind w:right="1099"/>
        <w:spacing w:after="0"/>
        <w:rPr>
          <w:sz w:val="20"/>
          <w:szCs w:val="20"/>
          <w:color w:val="auto"/>
        </w:rPr>
      </w:pPr>
      <w:r>
        <w:rPr>
          <w:rFonts w:ascii="Arial" w:cs="Arial" w:eastAsia="Arial" w:hAnsi="Arial"/>
          <w:sz w:val="16"/>
          <w:szCs w:val="16"/>
          <w:b w:val="1"/>
          <w:bCs w:val="1"/>
          <w:color w:val="auto"/>
        </w:rPr>
        <w:t>FOR THE THREE AND SIX MONTHS ENDED OCTOBER 31, 2011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jc w:val="right"/>
              <w:ind w:right="178"/>
              <w:spacing w:after="0"/>
              <w:rPr>
                <w:sz w:val="20"/>
                <w:szCs w:val="20"/>
                <w:color w:val="auto"/>
              </w:rPr>
            </w:pPr>
            <w:r>
              <w:rPr>
                <w:rFonts w:ascii="Arial" w:cs="Arial" w:eastAsia="Arial" w:hAnsi="Arial"/>
                <w:sz w:val="16"/>
                <w:szCs w:val="16"/>
                <w:b w:val="1"/>
                <w:bCs w:val="1"/>
                <w:color w:val="auto"/>
              </w:rPr>
              <w:t>Page</w:t>
            </w:r>
          </w:p>
        </w:tc>
      </w:tr>
      <w:tr>
        <w:trPr>
          <w:trHeight w:val="212"/>
        </w:trPr>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Number</w:t>
            </w:r>
          </w:p>
        </w:tc>
      </w:tr>
      <w:tr>
        <w:trPr>
          <w:trHeight w:val="349"/>
        </w:trPr>
        <w:tc>
          <w:tcPr>
            <w:tcW w:w="7880" w:type="dxa"/>
            <w:vAlign w:val="bottom"/>
            <w:gridSpan w:val="23"/>
          </w:tcPr>
          <w:p>
            <w:pPr>
              <w:spacing w:after="0"/>
              <w:rPr>
                <w:rFonts w:ascii="Arial" w:cs="Arial" w:eastAsia="Arial" w:hAnsi="Arial"/>
                <w:sz w:val="16"/>
                <w:szCs w:val="16"/>
                <w:b w:val="1"/>
                <w:bCs w:val="1"/>
                <w:color w:val="0000EE"/>
              </w:rPr>
            </w:pPr>
            <w:hyperlink w:anchor="page5">
              <w:r>
                <w:rPr>
                  <w:rFonts w:ascii="Arial" w:cs="Arial" w:eastAsia="Arial" w:hAnsi="Arial"/>
                  <w:sz w:val="16"/>
                  <w:szCs w:val="16"/>
                  <w:b w:val="1"/>
                  <w:bCs w:val="1"/>
                  <w:color w:val="0000EE"/>
                </w:rPr>
                <w:t>PART I — FINANCIAL INFORMATION</w:t>
              </w:r>
            </w:hyperlink>
          </w:p>
        </w:tc>
        <w:tc>
          <w:tcPr>
            <w:tcW w:w="860" w:type="dxa"/>
            <w:vAlign w:val="bottom"/>
          </w:tcPr>
          <w:p>
            <w:pPr>
              <w:spacing w:after="0"/>
              <w:rPr>
                <w:sz w:val="24"/>
                <w:szCs w:val="24"/>
                <w:color w:val="auto"/>
              </w:rPr>
            </w:pPr>
          </w:p>
        </w:tc>
      </w:tr>
      <w:tr>
        <w:trPr>
          <w:trHeight w:val="373"/>
        </w:trPr>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720" w:type="dxa"/>
            <w:vAlign w:val="bottom"/>
            <w:tcBorders>
              <w:top w:val="single" w:sz="8" w:color="0000EE"/>
              <w:bottom w:val="single" w:sz="8" w:color="0000EE"/>
            </w:tcBorders>
            <w:gridSpan w:val="11"/>
          </w:tcPr>
          <w:p>
            <w:pPr>
              <w:spacing w:after="0"/>
              <w:rPr>
                <w:rFonts w:ascii="Arial" w:cs="Arial" w:eastAsia="Arial" w:hAnsi="Arial"/>
                <w:sz w:val="16"/>
                <w:szCs w:val="16"/>
                <w:color w:val="0000EE"/>
                <w:w w:val="92"/>
              </w:rPr>
            </w:pPr>
            <w:hyperlink w:anchor="page5">
              <w:r>
                <w:rPr>
                  <w:rFonts w:ascii="Arial" w:cs="Arial" w:eastAsia="Arial" w:hAnsi="Arial"/>
                  <w:sz w:val="16"/>
                  <w:szCs w:val="16"/>
                  <w:color w:val="0000EE"/>
                  <w:w w:val="92"/>
                </w:rPr>
                <w:t>Item 1. Financial Statements (unaudited):</w:t>
              </w:r>
            </w:hyperlink>
          </w:p>
        </w:tc>
        <w:tc>
          <w:tcPr>
            <w:tcW w:w="40" w:type="dxa"/>
            <w:vAlign w:val="bottom"/>
            <w:tcBorders>
              <w:top w:val="single" w:sz="8" w:color="0000EE"/>
            </w:tcBorders>
          </w:tcPr>
          <w:p>
            <w:pPr>
              <w:spacing w:after="0"/>
              <w:rPr>
                <w:sz w:val="24"/>
                <w:szCs w:val="24"/>
                <w:color w:val="auto"/>
              </w:rPr>
            </w:pPr>
          </w:p>
        </w:tc>
        <w:tc>
          <w:tcPr>
            <w:tcW w:w="4940" w:type="dxa"/>
            <w:vAlign w:val="bottom"/>
            <w:gridSpan w:val="9"/>
          </w:tcPr>
          <w:p>
            <w:pPr>
              <w:spacing w:after="0"/>
              <w:rPr>
                <w:sz w:val="24"/>
                <w:szCs w:val="24"/>
                <w:color w:val="auto"/>
              </w:rPr>
            </w:pPr>
          </w:p>
        </w:tc>
        <w:tc>
          <w:tcPr>
            <w:tcW w:w="860" w:type="dxa"/>
            <w:vAlign w:val="bottom"/>
          </w:tcPr>
          <w:p>
            <w:pPr>
              <w:spacing w:after="0"/>
              <w:rPr>
                <w:sz w:val="24"/>
                <w:szCs w:val="24"/>
                <w:color w:val="auto"/>
              </w:rPr>
            </w:pPr>
          </w:p>
        </w:tc>
      </w:tr>
      <w:tr>
        <w:trPr>
          <w:trHeight w:val="373"/>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20" w:type="dxa"/>
            <w:vAlign w:val="bottom"/>
            <w:gridSpan w:val="20"/>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Balance Sheets as of October 31, 2011 and April 30, 2011</w:t>
              </w:r>
            </w:hyperlink>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73"/>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20" w:type="dxa"/>
            <w:vAlign w:val="bottom"/>
            <w:tcBorders>
              <w:bottom w:val="single" w:sz="8" w:color="0000EE"/>
            </w:tcBorders>
            <w:gridSpan w:val="19"/>
          </w:tcPr>
          <w:p>
            <w:pPr>
              <w:spacing w:after="0"/>
              <w:rPr>
                <w:rFonts w:ascii="Arial" w:cs="Arial" w:eastAsia="Arial" w:hAnsi="Arial"/>
                <w:sz w:val="16"/>
                <w:szCs w:val="16"/>
                <w:color w:val="0000EE"/>
                <w:w w:val="91"/>
              </w:rPr>
            </w:pPr>
            <w:hyperlink w:anchor="page6">
              <w:r>
                <w:rPr>
                  <w:rFonts w:ascii="Arial" w:cs="Arial" w:eastAsia="Arial" w:hAnsi="Arial"/>
                  <w:sz w:val="16"/>
                  <w:szCs w:val="16"/>
                  <w:color w:val="0000EE"/>
                  <w:w w:val="91"/>
                </w:rPr>
                <w:t>Consolidated Statements of Operations for the Three and Six Months Ended October 31, 2011 and 2010</w:t>
              </w:r>
            </w:hyperlink>
          </w:p>
        </w:tc>
        <w:tc>
          <w:tcPr>
            <w:tcW w:w="7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73"/>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20" w:type="dxa"/>
            <w:vAlign w:val="bottom"/>
            <w:gridSpan w:val="20"/>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Consolidated Statements of Cash Flows for the Six Months Ended October 31, 2011 and 2010</w:t>
              </w:r>
            </w:hyperlink>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73"/>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60" w:type="dxa"/>
            <w:vAlign w:val="bottom"/>
            <w:tcBorders>
              <w:bottom w:val="single" w:sz="8" w:color="0000EE"/>
            </w:tcBorders>
            <w:gridSpan w:val="18"/>
          </w:tcPr>
          <w:p>
            <w:pPr>
              <w:spacing w:after="0"/>
              <w:rPr>
                <w:rFonts w:ascii="Arial" w:cs="Arial" w:eastAsia="Arial" w:hAnsi="Arial"/>
                <w:sz w:val="16"/>
                <w:szCs w:val="16"/>
                <w:color w:val="0000EE"/>
                <w:w w:val="92"/>
              </w:rPr>
            </w:pPr>
            <w:hyperlink w:anchor="page8">
              <w:r>
                <w:rPr>
                  <w:rFonts w:ascii="Arial" w:cs="Arial" w:eastAsia="Arial" w:hAnsi="Arial"/>
                  <w:sz w:val="16"/>
                  <w:szCs w:val="16"/>
                  <w:color w:val="0000EE"/>
                  <w:w w:val="92"/>
                </w:rPr>
                <w:t>Consolidated Statements of Stockholders’ Equity and Comprehensive Loss for the Six Months Ended</w:t>
              </w:r>
            </w:hyperlink>
          </w:p>
        </w:tc>
        <w:tc>
          <w:tcPr>
            <w:tcW w:w="860" w:type="dxa"/>
            <w:vAlign w:val="bottom"/>
            <w:gridSpan w:val="2"/>
          </w:tcPr>
          <w:p>
            <w:pPr>
              <w:spacing w:after="0"/>
              <w:rPr>
                <w:sz w:val="24"/>
                <w:szCs w:val="24"/>
                <w:color w:val="auto"/>
              </w:rPr>
            </w:pPr>
          </w:p>
        </w:tc>
        <w:tc>
          <w:tcPr>
            <w:tcW w:w="860" w:type="dxa"/>
            <w:vAlign w:val="bottom"/>
          </w:tcPr>
          <w:p>
            <w:pPr>
              <w:spacing w:after="0"/>
              <w:rPr>
                <w:sz w:val="24"/>
                <w:szCs w:val="24"/>
                <w:color w:val="auto"/>
              </w:rPr>
            </w:pPr>
          </w:p>
        </w:tc>
      </w:tr>
      <w:tr>
        <w:trPr>
          <w:trHeight w:val="176"/>
        </w:trPr>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340" w:type="dxa"/>
            <w:vAlign w:val="bottom"/>
            <w:gridSpan w:val="19"/>
          </w:tcPr>
          <w:p>
            <w:pPr>
              <w:spacing w:after="0" w:line="177" w:lineRule="exact"/>
              <w:rPr>
                <w:rFonts w:ascii="Arial" w:cs="Arial" w:eastAsia="Arial" w:hAnsi="Arial"/>
                <w:sz w:val="16"/>
                <w:szCs w:val="16"/>
                <w:color w:val="0000EE"/>
              </w:rPr>
            </w:pPr>
            <w:hyperlink w:anchor="page8">
              <w:r>
                <w:rPr>
                  <w:rFonts w:ascii="Arial" w:cs="Arial" w:eastAsia="Arial" w:hAnsi="Arial"/>
                  <w:sz w:val="16"/>
                  <w:szCs w:val="16"/>
                  <w:color w:val="0000EE"/>
                </w:rPr>
                <w:t>October 31, 2011 and 2010</w:t>
              </w:r>
            </w:hyperlink>
          </w:p>
        </w:tc>
        <w:tc>
          <w:tcPr>
            <w:tcW w:w="860" w:type="dxa"/>
            <w:vAlign w:val="bottom"/>
          </w:tcPr>
          <w:p>
            <w:pPr>
              <w:jc w:val="right"/>
              <w:spacing w:after="0" w:line="177" w:lineRule="exact"/>
              <w:rPr>
                <w:sz w:val="20"/>
                <w:szCs w:val="20"/>
                <w:color w:val="auto"/>
              </w:rPr>
            </w:pPr>
            <w:r>
              <w:rPr>
                <w:rFonts w:ascii="Arial" w:cs="Arial" w:eastAsia="Arial" w:hAnsi="Arial"/>
                <w:sz w:val="16"/>
                <w:szCs w:val="16"/>
                <w:color w:val="auto"/>
              </w:rPr>
              <w:t>6</w:t>
            </w: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73"/>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20" w:type="dxa"/>
            <w:vAlign w:val="bottom"/>
            <w:gridSpan w:val="20"/>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Notes to Consolidated Financial Statements</w:t>
              </w:r>
            </w:hyperlink>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73"/>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80" w:type="dxa"/>
            <w:vAlign w:val="bottom"/>
            <w:tcBorders>
              <w:bottom w:val="single" w:sz="8" w:color="0000EE"/>
            </w:tcBorders>
            <w:gridSpan w:val="18"/>
          </w:tcPr>
          <w:p>
            <w:pPr>
              <w:spacing w:after="0"/>
              <w:rPr>
                <w:rFonts w:ascii="Arial" w:cs="Arial" w:eastAsia="Arial" w:hAnsi="Arial"/>
                <w:sz w:val="16"/>
                <w:szCs w:val="16"/>
                <w:color w:val="0000EE"/>
                <w:w w:val="93"/>
              </w:rPr>
            </w:pPr>
            <w:hyperlink w:anchor="page19">
              <w:r>
                <w:rPr>
                  <w:rFonts w:ascii="Arial" w:cs="Arial" w:eastAsia="Arial" w:hAnsi="Arial"/>
                  <w:sz w:val="16"/>
                  <w:szCs w:val="16"/>
                  <w:color w:val="0000EE"/>
                  <w:w w:val="93"/>
                </w:rPr>
                <w:t>Item 2. Management’s Discussion and Analysis of Financial Condition and Results of Operations</w:t>
              </w:r>
            </w:hyperlink>
          </w:p>
        </w:tc>
        <w:tc>
          <w:tcPr>
            <w:tcW w:w="1320" w:type="dxa"/>
            <w:vAlign w:val="bottom"/>
            <w:gridSpan w:val="3"/>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73"/>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80" w:type="dxa"/>
            <w:vAlign w:val="bottom"/>
            <w:tcBorders>
              <w:bottom w:val="single" w:sz="8" w:color="0000EE"/>
            </w:tcBorders>
            <w:gridSpan w:val="15"/>
          </w:tcPr>
          <w:p>
            <w:pPr>
              <w:spacing w:after="0"/>
              <w:rPr>
                <w:rFonts w:ascii="Arial" w:cs="Arial" w:eastAsia="Arial" w:hAnsi="Arial"/>
                <w:sz w:val="16"/>
                <w:szCs w:val="16"/>
                <w:color w:val="0000EE"/>
                <w:w w:val="94"/>
              </w:rPr>
            </w:pPr>
            <w:hyperlink w:anchor="page30">
              <w:r>
                <w:rPr>
                  <w:rFonts w:ascii="Arial" w:cs="Arial" w:eastAsia="Arial" w:hAnsi="Arial"/>
                  <w:sz w:val="16"/>
                  <w:szCs w:val="16"/>
                  <w:color w:val="0000EE"/>
                  <w:w w:val="94"/>
                </w:rPr>
                <w:t>Item 3. Quantitative and Qualitative Disclosures About Market Risk</w:t>
              </w:r>
            </w:hyperlink>
          </w:p>
        </w:tc>
        <w:tc>
          <w:tcPr>
            <w:tcW w:w="3220" w:type="dxa"/>
            <w:vAlign w:val="bottom"/>
            <w:gridSpan w:val="6"/>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373"/>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Borders>
              <w:bottom w:val="single" w:sz="8" w:color="0000EE"/>
            </w:tcBorders>
            <w:gridSpan w:val="8"/>
          </w:tcPr>
          <w:p>
            <w:pPr>
              <w:spacing w:after="0"/>
              <w:rPr>
                <w:rFonts w:ascii="Arial" w:cs="Arial" w:eastAsia="Arial" w:hAnsi="Arial"/>
                <w:sz w:val="16"/>
                <w:szCs w:val="16"/>
                <w:color w:val="0000EE"/>
                <w:w w:val="91"/>
              </w:rPr>
            </w:pPr>
            <w:hyperlink w:anchor="page31">
              <w:r>
                <w:rPr>
                  <w:rFonts w:ascii="Arial" w:cs="Arial" w:eastAsia="Arial" w:hAnsi="Arial"/>
                  <w:sz w:val="16"/>
                  <w:szCs w:val="16"/>
                  <w:color w:val="0000EE"/>
                  <w:w w:val="91"/>
                </w:rPr>
                <w:t>Item 4. Controls and Procedures</w:t>
              </w:r>
            </w:hyperlink>
          </w:p>
        </w:tc>
        <w:tc>
          <w:tcPr>
            <w:tcW w:w="5560" w:type="dxa"/>
            <w:vAlign w:val="bottom"/>
            <w:gridSpan w:val="13"/>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373"/>
        </w:trPr>
        <w:tc>
          <w:tcPr>
            <w:tcW w:w="2680" w:type="dxa"/>
            <w:vAlign w:val="bottom"/>
            <w:tcBorders>
              <w:bottom w:val="single" w:sz="8" w:color="0000EE"/>
            </w:tcBorders>
            <w:gridSpan w:val="11"/>
          </w:tcPr>
          <w:p>
            <w:pPr>
              <w:spacing w:after="0"/>
              <w:rPr>
                <w:rFonts w:ascii="Arial" w:cs="Arial" w:eastAsia="Arial" w:hAnsi="Arial"/>
                <w:sz w:val="16"/>
                <w:szCs w:val="16"/>
                <w:b w:val="1"/>
                <w:bCs w:val="1"/>
                <w:color w:val="0000EE"/>
              </w:rPr>
            </w:pPr>
            <w:hyperlink w:anchor="page31">
              <w:r>
                <w:rPr>
                  <w:rFonts w:ascii="Arial" w:cs="Arial" w:eastAsia="Arial" w:hAnsi="Arial"/>
                  <w:sz w:val="16"/>
                  <w:szCs w:val="16"/>
                  <w:b w:val="1"/>
                  <w:bCs w:val="1"/>
                  <w:color w:val="0000EE"/>
                </w:rPr>
                <w:t>PART II — OTHER INFORMATION</w:t>
              </w:r>
            </w:hyperlink>
          </w:p>
        </w:tc>
        <w:tc>
          <w:tcPr>
            <w:tcW w:w="5200" w:type="dxa"/>
            <w:vAlign w:val="bottom"/>
            <w:gridSpan w:val="12"/>
          </w:tcPr>
          <w:p>
            <w:pPr>
              <w:spacing w:after="0"/>
              <w:rPr>
                <w:sz w:val="24"/>
                <w:szCs w:val="24"/>
                <w:color w:val="auto"/>
              </w:rPr>
            </w:pPr>
          </w:p>
        </w:tc>
        <w:tc>
          <w:tcPr>
            <w:tcW w:w="860" w:type="dxa"/>
            <w:vAlign w:val="bottom"/>
          </w:tcPr>
          <w:p>
            <w:pPr>
              <w:spacing w:after="0"/>
              <w:rPr>
                <w:sz w:val="24"/>
                <w:szCs w:val="24"/>
                <w:color w:val="auto"/>
              </w:rPr>
            </w:pPr>
          </w:p>
        </w:tc>
      </w:tr>
      <w:tr>
        <w:trPr>
          <w:trHeight w:val="373"/>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Borders>
              <w:bottom w:val="single" w:sz="8" w:color="0000EE"/>
            </w:tcBorders>
            <w:gridSpan w:val="7"/>
          </w:tcPr>
          <w:p>
            <w:pPr>
              <w:spacing w:after="0"/>
              <w:rPr>
                <w:rFonts w:ascii="Arial" w:cs="Arial" w:eastAsia="Arial" w:hAnsi="Arial"/>
                <w:sz w:val="16"/>
                <w:szCs w:val="16"/>
                <w:color w:val="0000EE"/>
                <w:w w:val="91"/>
              </w:rPr>
            </w:pPr>
            <w:hyperlink w:anchor="page31">
              <w:r>
                <w:rPr>
                  <w:rFonts w:ascii="Arial" w:cs="Arial" w:eastAsia="Arial" w:hAnsi="Arial"/>
                  <w:sz w:val="16"/>
                  <w:szCs w:val="16"/>
                  <w:color w:val="0000EE"/>
                  <w:w w:val="91"/>
                </w:rPr>
                <w:t>Item 1. Legal Proceedings</w:t>
              </w:r>
            </w:hyperlink>
          </w:p>
        </w:tc>
        <w:tc>
          <w:tcPr>
            <w:tcW w:w="5980" w:type="dxa"/>
            <w:vAlign w:val="bottom"/>
            <w:gridSpan w:val="14"/>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373"/>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700" w:type="dxa"/>
            <w:vAlign w:val="bottom"/>
            <w:gridSpan w:val="21"/>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Item 1A. Risk Factors</w:t>
              </w:r>
            </w:hyperlink>
          </w:p>
        </w:tc>
        <w:tc>
          <w:tcPr>
            <w:tcW w:w="8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324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73"/>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60" w:type="dxa"/>
            <w:vAlign w:val="bottom"/>
            <w:tcBorders>
              <w:bottom w:val="single" w:sz="8" w:color="0000EE"/>
            </w:tcBorders>
            <w:gridSpan w:val="14"/>
          </w:tcPr>
          <w:p>
            <w:pPr>
              <w:spacing w:after="0"/>
              <w:rPr>
                <w:rFonts w:ascii="Arial" w:cs="Arial" w:eastAsia="Arial" w:hAnsi="Arial"/>
                <w:sz w:val="16"/>
                <w:szCs w:val="16"/>
                <w:color w:val="0000EE"/>
                <w:w w:val="91"/>
              </w:rPr>
            </w:pPr>
            <w:hyperlink w:anchor="page32">
              <w:r>
                <w:rPr>
                  <w:rFonts w:ascii="Arial" w:cs="Arial" w:eastAsia="Arial" w:hAnsi="Arial"/>
                  <w:sz w:val="16"/>
                  <w:szCs w:val="16"/>
                  <w:color w:val="0000EE"/>
                  <w:w w:val="91"/>
                </w:rPr>
                <w:t>Item 2. Unregistered Sales of Equity Securities and Use of Proceeds</w:t>
              </w:r>
            </w:hyperlink>
          </w:p>
        </w:tc>
        <w:tc>
          <w:tcPr>
            <w:tcW w:w="3240" w:type="dxa"/>
            <w:vAlign w:val="bottom"/>
            <w:gridSpan w:val="7"/>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373"/>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tcBorders>
              <w:bottom w:val="single" w:sz="8" w:color="0000EE"/>
            </w:tcBorders>
            <w:gridSpan w:val="10"/>
          </w:tcPr>
          <w:p>
            <w:pPr>
              <w:spacing w:after="0"/>
              <w:rPr>
                <w:rFonts w:ascii="Arial" w:cs="Arial" w:eastAsia="Arial" w:hAnsi="Arial"/>
                <w:sz w:val="16"/>
                <w:szCs w:val="16"/>
                <w:color w:val="0000EE"/>
                <w:w w:val="92"/>
              </w:rPr>
            </w:pPr>
            <w:hyperlink w:anchor="page32">
              <w:r>
                <w:rPr>
                  <w:rFonts w:ascii="Arial" w:cs="Arial" w:eastAsia="Arial" w:hAnsi="Arial"/>
                  <w:sz w:val="16"/>
                  <w:szCs w:val="16"/>
                  <w:color w:val="0000EE"/>
                  <w:w w:val="92"/>
                </w:rPr>
                <w:t>Item 3. Defaults Upon Senior Securities</w:t>
              </w:r>
            </w:hyperlink>
          </w:p>
        </w:tc>
        <w:tc>
          <w:tcPr>
            <w:tcW w:w="5080" w:type="dxa"/>
            <w:vAlign w:val="bottom"/>
            <w:gridSpan w:val="11"/>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373"/>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Borders>
              <w:bottom w:val="single" w:sz="8" w:color="0000EE"/>
            </w:tcBorders>
            <w:gridSpan w:val="6"/>
          </w:tcPr>
          <w:p>
            <w:pPr>
              <w:spacing w:after="0"/>
              <w:rPr>
                <w:rFonts w:ascii="Arial" w:cs="Arial" w:eastAsia="Arial" w:hAnsi="Arial"/>
                <w:sz w:val="16"/>
                <w:szCs w:val="16"/>
                <w:color w:val="0000EE"/>
                <w:w w:val="94"/>
              </w:rPr>
            </w:pPr>
            <w:hyperlink w:anchor="page32">
              <w:r>
                <w:rPr>
                  <w:rFonts w:ascii="Arial" w:cs="Arial" w:eastAsia="Arial" w:hAnsi="Arial"/>
                  <w:sz w:val="16"/>
                  <w:szCs w:val="16"/>
                  <w:color w:val="0000EE"/>
                  <w:w w:val="94"/>
                </w:rPr>
                <w:t>Item 5. Other Information</w:t>
              </w:r>
            </w:hyperlink>
          </w:p>
        </w:tc>
        <w:tc>
          <w:tcPr>
            <w:tcW w:w="6000" w:type="dxa"/>
            <w:vAlign w:val="bottom"/>
            <w:gridSpan w:val="15"/>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373"/>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700" w:type="dxa"/>
            <w:vAlign w:val="bottom"/>
            <w:gridSpan w:val="21"/>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Item 6. Exhibits</w:t>
              </w:r>
            </w:hyperlink>
          </w:p>
        </w:tc>
        <w:tc>
          <w:tcPr>
            <w:tcW w:w="86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40" w:type="dxa"/>
            <w:vAlign w:val="bottom"/>
            <w:gridSpan w:val="1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73"/>
        </w:trPr>
        <w:tc>
          <w:tcPr>
            <w:tcW w:w="40" w:type="dxa"/>
            <w:vAlign w:val="bottom"/>
          </w:tcPr>
          <w:p>
            <w:pPr>
              <w:spacing w:after="0"/>
              <w:rPr>
                <w:sz w:val="24"/>
                <w:szCs w:val="24"/>
                <w:color w:val="auto"/>
              </w:rPr>
            </w:pPr>
          </w:p>
        </w:tc>
        <w:tc>
          <w:tcPr>
            <w:tcW w:w="7840" w:type="dxa"/>
            <w:vAlign w:val="bottom"/>
            <w:gridSpan w:val="22"/>
          </w:tcPr>
          <w:p>
            <w:pPr>
              <w:spacing w:after="0"/>
              <w:rPr>
                <w:sz w:val="20"/>
                <w:szCs w:val="20"/>
                <w:color w:val="auto"/>
              </w:rPr>
            </w:pPr>
            <w:r>
              <w:rPr>
                <w:rFonts w:ascii="Arial" w:cs="Arial" w:eastAsia="Arial" w:hAnsi="Arial"/>
                <w:sz w:val="16"/>
                <w:szCs w:val="16"/>
                <w:color w:val="0000EE"/>
              </w:rPr>
              <w:t>EX-31.1: CERTIFICATION</w:t>
            </w:r>
          </w:p>
        </w:tc>
        <w:tc>
          <w:tcPr>
            <w:tcW w:w="86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6040" w:type="dxa"/>
            <w:vAlign w:val="bottom"/>
            <w:gridSpan w:val="1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7840" w:type="dxa"/>
            <w:vAlign w:val="bottom"/>
            <w:gridSpan w:val="22"/>
          </w:tcPr>
          <w:p>
            <w:pPr>
              <w:spacing w:after="0" w:line="177" w:lineRule="exact"/>
              <w:rPr>
                <w:sz w:val="20"/>
                <w:szCs w:val="20"/>
                <w:color w:val="auto"/>
              </w:rPr>
            </w:pPr>
            <w:r>
              <w:rPr>
                <w:rFonts w:ascii="Arial" w:cs="Arial" w:eastAsia="Arial" w:hAnsi="Arial"/>
                <w:sz w:val="16"/>
                <w:szCs w:val="16"/>
                <w:color w:val="0000EE"/>
              </w:rPr>
              <w:t>EX-31.2: CERTIFICATION</w:t>
            </w:r>
          </w:p>
        </w:tc>
        <w:tc>
          <w:tcPr>
            <w:tcW w:w="860" w:type="dxa"/>
            <w:vAlign w:val="bottom"/>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6040" w:type="dxa"/>
            <w:vAlign w:val="bottom"/>
            <w:gridSpan w:val="1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7840" w:type="dxa"/>
            <w:vAlign w:val="bottom"/>
            <w:gridSpan w:val="22"/>
          </w:tcPr>
          <w:p>
            <w:pPr>
              <w:spacing w:after="0" w:line="177" w:lineRule="exact"/>
              <w:rPr>
                <w:sz w:val="20"/>
                <w:szCs w:val="20"/>
                <w:color w:val="auto"/>
              </w:rPr>
            </w:pPr>
            <w:r>
              <w:rPr>
                <w:rFonts w:ascii="Arial" w:cs="Arial" w:eastAsia="Arial" w:hAnsi="Arial"/>
                <w:sz w:val="16"/>
                <w:szCs w:val="16"/>
                <w:color w:val="0000EE"/>
              </w:rPr>
              <w:t>EX-32.1: CERTIFICATION</w:t>
            </w:r>
          </w:p>
        </w:tc>
        <w:tc>
          <w:tcPr>
            <w:tcW w:w="860" w:type="dxa"/>
            <w:vAlign w:val="bottom"/>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1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EE"/>
        </w:rPr>
        <w:t>EX-32.2: CERTIFICATION</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EE"/>
        </w:rPr>
        <w:t>EX-101 INSTANCE DOCUMENT</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EE"/>
        </w:rPr>
        <w:t>EX-101 SCHEMA DOCUMENT</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EE"/>
        </w:rPr>
        <w:t>EX-101 CALCULATION LINKBASE DOCUMENT</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EE"/>
        </w:rPr>
        <w:t>EX-101 LABELS LINKBASE DOCUMENT</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EE"/>
        </w:rPr>
        <w:t>EX-101 PRESENTATION LINKBASE DOCUMENT</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EE"/>
        </w:rPr>
        <w:t>EX-101 DEFINITION LINKBASE DOCUMENT</w:t>
      </w:r>
    </w:p>
    <w:p>
      <w:pPr>
        <w:spacing w:after="0" w:line="172" w:lineRule="exact"/>
        <w:rPr>
          <w:sz w:val="20"/>
          <w:szCs w:val="20"/>
          <w:color w:val="auto"/>
        </w:rPr>
      </w:pPr>
    </w:p>
    <w:p>
      <w:pPr>
        <w:ind w:right="1239"/>
        <w:spacing w:after="0" w:line="323" w:lineRule="auto"/>
        <w:rPr>
          <w:sz w:val="20"/>
          <w:szCs w:val="20"/>
          <w:color w:val="auto"/>
        </w:rPr>
      </w:pPr>
      <w:r>
        <w:rPr>
          <w:rFonts w:ascii="Arial" w:cs="Arial" w:eastAsia="Arial" w:hAnsi="Arial"/>
          <w:sz w:val="15"/>
          <w:szCs w:val="15"/>
          <w:color w:val="auto"/>
        </w:rPr>
        <w:t>PowerBuoy</w:t>
      </w:r>
      <w:r>
        <w:rPr>
          <w:rFonts w:ascii="Arial" w:cs="Arial" w:eastAsia="Arial" w:hAnsi="Arial"/>
          <w:sz w:val="12"/>
          <w:szCs w:val="12"/>
          <w:color w:val="auto"/>
        </w:rPr>
        <w:t>®</w:t>
      </w:r>
      <w:r>
        <w:rPr>
          <w:rFonts w:ascii="Arial" w:cs="Arial" w:eastAsia="Arial" w:hAnsi="Arial"/>
          <w:sz w:val="15"/>
          <w:szCs w:val="15"/>
          <w:color w:val="auto"/>
        </w:rPr>
        <w:t xml:space="preserve"> is a registered trademark of Ocean Power Technologies, Inc. and the Ocean Power Technologies logo is a trademark of Ocean Power Technologies, Inc. All other trademarks appearing in this report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537845</wp:posOffset>
            </wp:positionV>
            <wp:extent cx="7263765"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9919"/>
          </w:cols>
          <w:pgMar w:left="540" w:top="860" w:right="1440"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82" w:lineRule="exact"/>
        <w:rPr>
          <w:sz w:val="20"/>
          <w:szCs w:val="20"/>
          <w:color w:val="auto"/>
        </w:rPr>
      </w:pPr>
    </w:p>
    <w:p>
      <w:pPr>
        <w:ind w:left="2840"/>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188" w:lineRule="exact"/>
        <w:rPr>
          <w:sz w:val="20"/>
          <w:szCs w:val="20"/>
          <w:color w:val="auto"/>
        </w:rPr>
      </w:pPr>
    </w:p>
    <w:p>
      <w:pPr>
        <w:ind w:left="300" w:right="1179"/>
        <w:spacing w:after="0" w:line="262" w:lineRule="auto"/>
        <w:rPr>
          <w:sz w:val="20"/>
          <w:szCs w:val="20"/>
          <w:color w:val="auto"/>
        </w:rPr>
      </w:pPr>
      <w:r>
        <w:rPr>
          <w:rFonts w:ascii="Arial" w:cs="Arial" w:eastAsia="Arial" w:hAnsi="Arial"/>
          <w:sz w:val="16"/>
          <w:szCs w:val="16"/>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budgets, projected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133" w:lineRule="exact"/>
        <w:rPr>
          <w:sz w:val="20"/>
          <w:szCs w:val="20"/>
          <w:color w:val="auto"/>
        </w:rPr>
      </w:pPr>
    </w:p>
    <w:p>
      <w:pPr>
        <w:ind w:left="300" w:right="1219"/>
        <w:spacing w:after="0" w:line="281" w:lineRule="auto"/>
        <w:rPr>
          <w:sz w:val="20"/>
          <w:szCs w:val="20"/>
          <w:color w:val="auto"/>
        </w:rPr>
      </w:pPr>
      <w:r>
        <w:rPr>
          <w:rFonts w:ascii="Arial" w:cs="Arial" w:eastAsia="Arial" w:hAnsi="Arial"/>
          <w:sz w:val="15"/>
          <w:szCs w:val="15"/>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2011 and elsewhere in this report.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121" w:lineRule="exact"/>
        <w:rPr>
          <w:sz w:val="20"/>
          <w:szCs w:val="20"/>
          <w:color w:val="auto"/>
        </w:rPr>
      </w:pPr>
    </w:p>
    <w:p>
      <w:pPr>
        <w:jc w:val="both"/>
        <w:ind w:left="300" w:right="1099"/>
        <w:spacing w:after="0" w:line="271" w:lineRule="auto"/>
        <w:rPr>
          <w:sz w:val="20"/>
          <w:szCs w:val="20"/>
          <w:color w:val="auto"/>
        </w:rPr>
      </w:pPr>
      <w:r>
        <w:rPr>
          <w:rFonts w:ascii="Arial" w:cs="Arial" w:eastAsia="Arial" w:hAnsi="Arial"/>
          <w:sz w:val="16"/>
          <w:szCs w:val="16"/>
          <w:color w:val="auto"/>
        </w:rPr>
        <w:t>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200" w:lineRule="exact"/>
        <w:rPr>
          <w:sz w:val="20"/>
          <w:szCs w:val="20"/>
          <w:color w:val="auto"/>
        </w:rPr>
      </w:pPr>
    </w:p>
    <w:p>
      <w:pPr>
        <w:spacing w:after="0" w:line="294"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263765"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0219"/>
          </w:cols>
          <w:pgMar w:left="240" w:top="394" w:right="1440"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82"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auto"/>
        </w:rPr>
        <w:t>PART I — FINANCIAL INFORMATION</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 xml:space="preserve">Item 1. </w:t>
      </w:r>
      <w:r>
        <w:rPr>
          <w:rFonts w:ascii="Arial" w:cs="Arial" w:eastAsia="Arial" w:hAnsi="Arial"/>
          <w:sz w:val="16"/>
          <w:szCs w:val="16"/>
          <w:b w:val="1"/>
          <w:bCs w:val="1"/>
          <w:i w:val="1"/>
          <w:iCs w:val="1"/>
          <w:color w:val="auto"/>
        </w:rPr>
        <w:t>FINANCIAL STATEMENTS</w:t>
      </w:r>
    </w:p>
    <w:p>
      <w:pPr>
        <w:spacing w:after="0" w:line="172"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Ocean Power Technologies, Inc. and Subsidiaries</w:t>
      </w:r>
    </w:p>
    <w:p>
      <w:pPr>
        <w:spacing w:after="0" w:line="172"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Consolidated Balance Sheets</w:t>
      </w:r>
    </w:p>
    <w:p>
      <w:pPr>
        <w:spacing w:after="0" w:line="209" w:lineRule="exact"/>
        <w:rPr>
          <w:sz w:val="20"/>
          <w:szCs w:val="20"/>
          <w:color w:val="auto"/>
        </w:rPr>
      </w:pPr>
    </w:p>
    <w:tbl>
      <w:tblPr>
        <w:tblLayout w:type="fixed"/>
        <w:tblInd w:w="300" w:type="dxa"/>
        <w:tblCellMar>
          <w:top w:w="0" w:type="dxa"/>
          <w:left w:w="0" w:type="dxa"/>
          <w:bottom w:w="0" w:type="dxa"/>
          <w:right w:w="0" w:type="dxa"/>
        </w:tblCellMar>
      </w:tblPr>
      <w:tr>
        <w:trPr>
          <w:trHeight w:val="212"/>
        </w:trPr>
        <w:tc>
          <w:tcPr>
            <w:tcW w:w="6260" w:type="dxa"/>
            <w:vAlign w:val="bottom"/>
          </w:tcPr>
          <w:p>
            <w:pPr>
              <w:spacing w:after="0"/>
              <w:rPr>
                <w:sz w:val="18"/>
                <w:szCs w:val="18"/>
                <w:color w:val="auto"/>
              </w:rPr>
            </w:pPr>
          </w:p>
        </w:tc>
        <w:tc>
          <w:tcPr>
            <w:tcW w:w="1500" w:type="dxa"/>
            <w:vAlign w:val="bottom"/>
            <w:gridSpan w:val="4"/>
          </w:tcPr>
          <w:p>
            <w:pPr>
              <w:spacing w:after="0"/>
              <w:rPr>
                <w:sz w:val="20"/>
                <w:szCs w:val="20"/>
                <w:color w:val="auto"/>
              </w:rPr>
            </w:pPr>
            <w:r>
              <w:rPr>
                <w:rFonts w:ascii="Arial" w:cs="Arial" w:eastAsia="Arial" w:hAnsi="Arial"/>
                <w:sz w:val="16"/>
                <w:szCs w:val="16"/>
                <w:b w:val="1"/>
                <w:bCs w:val="1"/>
                <w:color w:val="auto"/>
              </w:rPr>
              <w:t>October 31, 2011</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93"/>
              </w:rPr>
              <w:t>April 30, 2011</w:t>
            </w:r>
          </w:p>
        </w:tc>
      </w:tr>
      <w:tr>
        <w:trPr>
          <w:trHeight w:val="190"/>
        </w:trPr>
        <w:tc>
          <w:tcPr>
            <w:tcW w:w="6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78"/>
              <w:spacing w:after="0"/>
              <w:rPr>
                <w:sz w:val="20"/>
                <w:szCs w:val="20"/>
                <w:color w:val="auto"/>
              </w:rPr>
            </w:pPr>
            <w:r>
              <w:rPr>
                <w:rFonts w:ascii="Arial" w:cs="Arial" w:eastAsia="Arial" w:hAnsi="Arial"/>
                <w:sz w:val="16"/>
                <w:szCs w:val="16"/>
                <w:b w:val="1"/>
                <w:bCs w:val="1"/>
                <w:color w:val="auto"/>
                <w:w w:val="98"/>
              </w:rPr>
              <w:t>(Unaudited)</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6260" w:type="dxa"/>
            <w:vAlign w:val="bottom"/>
            <w:shd w:val="clear" w:color="auto" w:fill="CCEEFF"/>
          </w:tcPr>
          <w:p>
            <w:pPr>
              <w:ind w:left="2700"/>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6"/>
        </w:trPr>
        <w:tc>
          <w:tcPr>
            <w:tcW w:w="6260" w:type="dxa"/>
            <w:vAlign w:val="bottom"/>
          </w:tcPr>
          <w:p>
            <w:pPr>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6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5,756,438</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4,376,136</w:t>
            </w:r>
          </w:p>
        </w:tc>
        <w:tc>
          <w:tcPr>
            <w:tcW w:w="100" w:type="dxa"/>
            <w:vAlign w:val="bottom"/>
            <w:shd w:val="clear" w:color="auto" w:fill="CCEEFF"/>
          </w:tcPr>
          <w:p>
            <w:pPr>
              <w:spacing w:after="0"/>
              <w:rPr>
                <w:sz w:val="17"/>
                <w:szCs w:val="17"/>
                <w:color w:val="auto"/>
              </w:rPr>
            </w:pPr>
          </w:p>
        </w:tc>
      </w:tr>
      <w:tr>
        <w:trPr>
          <w:trHeight w:val="196"/>
        </w:trPr>
        <w:tc>
          <w:tcPr>
            <w:tcW w:w="6260" w:type="dxa"/>
            <w:vAlign w:val="bottom"/>
          </w:tcPr>
          <w:p>
            <w:pPr>
              <w:ind w:left="180"/>
              <w:spacing w:after="0"/>
              <w:rPr>
                <w:sz w:val="20"/>
                <w:szCs w:val="20"/>
                <w:color w:val="auto"/>
              </w:rPr>
            </w:pPr>
            <w:r>
              <w:rPr>
                <w:rFonts w:ascii="Arial" w:cs="Arial" w:eastAsia="Arial" w:hAnsi="Arial"/>
                <w:sz w:val="16"/>
                <w:szCs w:val="16"/>
                <w:color w:val="auto"/>
              </w:rPr>
              <w:t>Marketable securities</w:t>
            </w:r>
          </w:p>
        </w:tc>
        <w:tc>
          <w:tcPr>
            <w:tcW w:w="12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29,568,777</w:t>
            </w:r>
          </w:p>
        </w:tc>
        <w:tc>
          <w:tcPr>
            <w:tcW w:w="3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26,018,594</w:t>
            </w:r>
          </w:p>
        </w:tc>
      </w:tr>
      <w:tr>
        <w:trPr>
          <w:trHeight w:val="196"/>
        </w:trPr>
        <w:tc>
          <w:tcPr>
            <w:tcW w:w="6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receivable</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657,178</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1,285,000</w:t>
            </w:r>
          </w:p>
        </w:tc>
        <w:tc>
          <w:tcPr>
            <w:tcW w:w="100" w:type="dxa"/>
            <w:vAlign w:val="bottom"/>
            <w:shd w:val="clear" w:color="auto" w:fill="CCEEFF"/>
          </w:tcPr>
          <w:p>
            <w:pPr>
              <w:spacing w:after="0"/>
              <w:rPr>
                <w:sz w:val="17"/>
                <w:szCs w:val="17"/>
                <w:color w:val="auto"/>
              </w:rPr>
            </w:pPr>
          </w:p>
        </w:tc>
      </w:tr>
      <w:tr>
        <w:trPr>
          <w:trHeight w:val="196"/>
        </w:trPr>
        <w:tc>
          <w:tcPr>
            <w:tcW w:w="6260" w:type="dxa"/>
            <w:vAlign w:val="bottom"/>
          </w:tcPr>
          <w:p>
            <w:pPr>
              <w:ind w:left="180"/>
              <w:spacing w:after="0"/>
              <w:rPr>
                <w:sz w:val="20"/>
                <w:szCs w:val="20"/>
                <w:color w:val="auto"/>
              </w:rPr>
            </w:pPr>
            <w:r>
              <w:rPr>
                <w:rFonts w:ascii="Arial" w:cs="Arial" w:eastAsia="Arial" w:hAnsi="Arial"/>
                <w:sz w:val="16"/>
                <w:szCs w:val="16"/>
                <w:color w:val="auto"/>
              </w:rPr>
              <w:t>Unbilled receivables</w:t>
            </w:r>
          </w:p>
        </w:tc>
        <w:tc>
          <w:tcPr>
            <w:tcW w:w="12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560,008</w:t>
            </w:r>
          </w:p>
        </w:tc>
        <w:tc>
          <w:tcPr>
            <w:tcW w:w="3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456,316</w:t>
            </w:r>
          </w:p>
        </w:tc>
      </w:tr>
      <w:tr>
        <w:trPr>
          <w:trHeight w:val="196"/>
        </w:trPr>
        <w:tc>
          <w:tcPr>
            <w:tcW w:w="6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901,232</w:t>
            </w: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832,142</w:t>
            </w:r>
          </w:p>
        </w:tc>
      </w:tr>
      <w:tr>
        <w:trPr>
          <w:trHeight w:val="200"/>
        </w:trPr>
        <w:tc>
          <w:tcPr>
            <w:tcW w:w="6260" w:type="dxa"/>
            <w:vAlign w:val="bottom"/>
          </w:tcPr>
          <w:p>
            <w:pPr>
              <w:ind w:left="360"/>
              <w:spacing w:after="0"/>
              <w:rPr>
                <w:sz w:val="20"/>
                <w:szCs w:val="20"/>
                <w:color w:val="auto"/>
              </w:rPr>
            </w:pPr>
            <w:r>
              <w:rPr>
                <w:rFonts w:ascii="Arial" w:cs="Arial" w:eastAsia="Arial" w:hAnsi="Arial"/>
                <w:sz w:val="16"/>
                <w:szCs w:val="16"/>
                <w:color w:val="auto"/>
              </w:rPr>
              <w:t>Total current assets</w:t>
            </w: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37,443,633</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32,968,188</w:t>
            </w:r>
          </w:p>
        </w:tc>
        <w:tc>
          <w:tcPr>
            <w:tcW w:w="100" w:type="dxa"/>
            <w:vAlign w:val="bottom"/>
          </w:tcPr>
          <w:p>
            <w:pPr>
              <w:spacing w:after="0"/>
              <w:rPr>
                <w:sz w:val="17"/>
                <w:szCs w:val="17"/>
                <w:color w:val="auto"/>
              </w:rPr>
            </w:pPr>
          </w:p>
        </w:tc>
      </w:tr>
      <w:tr>
        <w:trPr>
          <w:trHeight w:val="197"/>
        </w:trPr>
        <w:tc>
          <w:tcPr>
            <w:tcW w:w="6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626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764,136</w:t>
            </w: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792,092</w:t>
            </w:r>
          </w:p>
        </w:tc>
      </w:tr>
      <w:tr>
        <w:trPr>
          <w:trHeight w:val="196"/>
        </w:trPr>
        <w:tc>
          <w:tcPr>
            <w:tcW w:w="6260" w:type="dxa"/>
            <w:vAlign w:val="bottom"/>
          </w:tcPr>
          <w:p>
            <w:pPr>
              <w:spacing w:after="0"/>
              <w:rPr>
                <w:sz w:val="20"/>
                <w:szCs w:val="20"/>
                <w:color w:val="auto"/>
              </w:rPr>
            </w:pPr>
            <w:r>
              <w:rPr>
                <w:rFonts w:ascii="Arial" w:cs="Arial" w:eastAsia="Arial" w:hAnsi="Arial"/>
                <w:sz w:val="16"/>
                <w:szCs w:val="16"/>
                <w:color w:val="auto"/>
              </w:rPr>
              <w:t>Patents, net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1,296,698</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1,222,368</w:t>
            </w:r>
          </w:p>
        </w:tc>
        <w:tc>
          <w:tcPr>
            <w:tcW w:w="100" w:type="dxa"/>
            <w:vAlign w:val="bottom"/>
          </w:tcPr>
          <w:p>
            <w:pPr>
              <w:spacing w:after="0"/>
              <w:rPr>
                <w:sz w:val="17"/>
                <w:szCs w:val="17"/>
                <w:color w:val="auto"/>
              </w:rPr>
            </w:pPr>
          </w:p>
        </w:tc>
      </w:tr>
      <w:tr>
        <w:trPr>
          <w:trHeight w:val="196"/>
        </w:trPr>
        <w:tc>
          <w:tcPr>
            <w:tcW w:w="626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1,518,224</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1,624,669</w:t>
            </w:r>
          </w:p>
        </w:tc>
        <w:tc>
          <w:tcPr>
            <w:tcW w:w="100" w:type="dxa"/>
            <w:vAlign w:val="bottom"/>
            <w:shd w:val="clear" w:color="auto" w:fill="CCEEFF"/>
          </w:tcPr>
          <w:p>
            <w:pPr>
              <w:spacing w:after="0"/>
              <w:rPr>
                <w:sz w:val="17"/>
                <w:szCs w:val="17"/>
                <w:color w:val="auto"/>
              </w:rPr>
            </w:pPr>
          </w:p>
        </w:tc>
      </w:tr>
      <w:tr>
        <w:trPr>
          <w:trHeight w:val="196"/>
        </w:trPr>
        <w:tc>
          <w:tcPr>
            <w:tcW w:w="6260" w:type="dxa"/>
            <w:vAlign w:val="bottom"/>
          </w:tcPr>
          <w:p>
            <w:pPr>
              <w:spacing w:after="0"/>
              <w:rPr>
                <w:sz w:val="20"/>
                <w:szCs w:val="20"/>
                <w:color w:val="auto"/>
              </w:rPr>
            </w:pPr>
            <w:r>
              <w:rPr>
                <w:rFonts w:ascii="Arial" w:cs="Arial" w:eastAsia="Arial" w:hAnsi="Arial"/>
                <w:sz w:val="16"/>
                <w:szCs w:val="16"/>
                <w:color w:val="auto"/>
              </w:rPr>
              <w:t>Marketable securities</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3,019,224</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16,323,016</w:t>
            </w:r>
          </w:p>
        </w:tc>
      </w:tr>
      <w:tr>
        <w:trPr>
          <w:trHeight w:val="196"/>
        </w:trPr>
        <w:tc>
          <w:tcPr>
            <w:tcW w:w="626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assets</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534,411</w:t>
            </w: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622,245</w:t>
            </w:r>
          </w:p>
        </w:tc>
      </w:tr>
      <w:tr>
        <w:trPr>
          <w:trHeight w:val="201"/>
        </w:trPr>
        <w:tc>
          <w:tcPr>
            <w:tcW w:w="6260" w:type="dxa"/>
            <w:vAlign w:val="bottom"/>
          </w:tcPr>
          <w:p>
            <w:pPr>
              <w:ind w:left="360"/>
              <w:spacing w:after="0"/>
              <w:rPr>
                <w:sz w:val="20"/>
                <w:szCs w:val="20"/>
                <w:color w:val="auto"/>
              </w:rPr>
            </w:pPr>
            <w:r>
              <w:rPr>
                <w:rFonts w:ascii="Arial" w:cs="Arial" w:eastAsia="Arial" w:hAnsi="Arial"/>
                <w:sz w:val="16"/>
                <w:szCs w:val="16"/>
                <w:color w:val="auto"/>
              </w:rPr>
              <w:t>Total assets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44,576,326</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53,552,578</w:t>
            </w:r>
          </w:p>
        </w:tc>
        <w:tc>
          <w:tcPr>
            <w:tcW w:w="100" w:type="dxa"/>
            <w:vAlign w:val="bottom"/>
          </w:tcPr>
          <w:p>
            <w:pPr>
              <w:spacing w:after="0"/>
              <w:rPr>
                <w:sz w:val="17"/>
                <w:szCs w:val="17"/>
                <w:color w:val="auto"/>
              </w:rPr>
            </w:pPr>
          </w:p>
        </w:tc>
      </w:tr>
      <w:tr>
        <w:trPr>
          <w:trHeight w:val="20"/>
        </w:trPr>
        <w:tc>
          <w:tcPr>
            <w:tcW w:w="6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6"/>
        </w:trPr>
        <w:tc>
          <w:tcPr>
            <w:tcW w:w="6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6260" w:type="dxa"/>
            <w:vAlign w:val="bottom"/>
            <w:shd w:val="clear" w:color="auto" w:fill="CCEEFF"/>
          </w:tcPr>
          <w:p>
            <w:pPr>
              <w:ind w:left="1140"/>
              <w:spacing w:after="0"/>
              <w:rPr>
                <w:sz w:val="20"/>
                <w:szCs w:val="20"/>
                <w:color w:val="auto"/>
              </w:rPr>
            </w:pPr>
            <w:r>
              <w:rPr>
                <w:rFonts w:ascii="Arial" w:cs="Arial" w:eastAsia="Arial" w:hAnsi="Arial"/>
                <w:sz w:val="16"/>
                <w:szCs w:val="16"/>
                <w:b w:val="1"/>
                <w:bCs w:val="1"/>
                <w:color w:val="auto"/>
              </w:rPr>
              <w:t>LIABILITIES AND STOCKHOLDERS’ EQUITY</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392"/>
        </w:trPr>
        <w:tc>
          <w:tcPr>
            <w:tcW w:w="6260" w:type="dxa"/>
            <w:vAlign w:val="bottom"/>
          </w:tcPr>
          <w:p>
            <w:pPr>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6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595,888</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1,224,728</w:t>
            </w:r>
          </w:p>
        </w:tc>
        <w:tc>
          <w:tcPr>
            <w:tcW w:w="100" w:type="dxa"/>
            <w:vAlign w:val="bottom"/>
            <w:shd w:val="clear" w:color="auto" w:fill="CCEEFF"/>
          </w:tcPr>
          <w:p>
            <w:pPr>
              <w:spacing w:after="0"/>
              <w:rPr>
                <w:sz w:val="17"/>
                <w:szCs w:val="17"/>
                <w:color w:val="auto"/>
              </w:rPr>
            </w:pPr>
          </w:p>
        </w:tc>
      </w:tr>
      <w:tr>
        <w:trPr>
          <w:trHeight w:val="196"/>
        </w:trPr>
        <w:tc>
          <w:tcPr>
            <w:tcW w:w="6260" w:type="dxa"/>
            <w:vAlign w:val="bottom"/>
          </w:tcPr>
          <w:p>
            <w:pPr>
              <w:ind w:left="180"/>
              <w:spacing w:after="0"/>
              <w:rPr>
                <w:sz w:val="20"/>
                <w:szCs w:val="20"/>
                <w:color w:val="auto"/>
              </w:rPr>
            </w:pPr>
            <w:r>
              <w:rPr>
                <w:rFonts w:ascii="Arial" w:cs="Arial" w:eastAsia="Arial" w:hAnsi="Arial"/>
                <w:sz w:val="16"/>
                <w:szCs w:val="16"/>
                <w:color w:val="auto"/>
              </w:rPr>
              <w:t>Accrued expenses</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3,689,028</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4,302,952</w:t>
            </w:r>
          </w:p>
        </w:tc>
        <w:tc>
          <w:tcPr>
            <w:tcW w:w="100" w:type="dxa"/>
            <w:vAlign w:val="bottom"/>
          </w:tcPr>
          <w:p>
            <w:pPr>
              <w:spacing w:after="0"/>
              <w:rPr>
                <w:sz w:val="17"/>
                <w:szCs w:val="17"/>
                <w:color w:val="auto"/>
              </w:rPr>
            </w:pPr>
          </w:p>
        </w:tc>
      </w:tr>
      <w:tr>
        <w:trPr>
          <w:trHeight w:val="196"/>
        </w:trPr>
        <w:tc>
          <w:tcPr>
            <w:tcW w:w="6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Unearned revenues</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1,145,275</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344,022</w:t>
            </w:r>
          </w:p>
        </w:tc>
      </w:tr>
      <w:tr>
        <w:trPr>
          <w:trHeight w:val="196"/>
        </w:trPr>
        <w:tc>
          <w:tcPr>
            <w:tcW w:w="6260" w:type="dxa"/>
            <w:vAlign w:val="bottom"/>
          </w:tcPr>
          <w:p>
            <w:pPr>
              <w:ind w:left="180"/>
              <w:spacing w:after="0"/>
              <w:rPr>
                <w:sz w:val="20"/>
                <w:szCs w:val="20"/>
                <w:color w:val="auto"/>
              </w:rPr>
            </w:pPr>
            <w:r>
              <w:rPr>
                <w:rFonts w:ascii="Arial" w:cs="Arial" w:eastAsia="Arial" w:hAnsi="Arial"/>
                <w:sz w:val="16"/>
                <w:szCs w:val="16"/>
                <w:color w:val="auto"/>
              </w:rPr>
              <w:t>Current portion of long-term debt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100,000</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139,378</w:t>
            </w:r>
          </w:p>
        </w:tc>
      </w:tr>
      <w:tr>
        <w:trPr>
          <w:trHeight w:val="25"/>
        </w:trPr>
        <w:tc>
          <w:tcPr>
            <w:tcW w:w="6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6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5,530,191</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6,011,080</w:t>
            </w:r>
          </w:p>
        </w:tc>
      </w:tr>
      <w:tr>
        <w:trPr>
          <w:trHeight w:val="392"/>
        </w:trPr>
        <w:tc>
          <w:tcPr>
            <w:tcW w:w="6260" w:type="dxa"/>
            <w:vAlign w:val="bottom"/>
          </w:tcPr>
          <w:p>
            <w:pPr>
              <w:spacing w:after="0"/>
              <w:rPr>
                <w:sz w:val="20"/>
                <w:szCs w:val="20"/>
                <w:color w:val="auto"/>
              </w:rPr>
            </w:pPr>
            <w:r>
              <w:rPr>
                <w:rFonts w:ascii="Arial" w:cs="Arial" w:eastAsia="Arial" w:hAnsi="Arial"/>
                <w:sz w:val="16"/>
                <w:szCs w:val="16"/>
                <w:color w:val="auto"/>
              </w:rPr>
              <w:t>Long-term debt</w:t>
            </w:r>
          </w:p>
        </w:tc>
        <w:tc>
          <w:tcPr>
            <w:tcW w:w="12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400,000</w:t>
            </w:r>
          </w:p>
        </w:tc>
        <w:tc>
          <w:tcPr>
            <w:tcW w:w="30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450,000</w:t>
            </w:r>
          </w:p>
        </w:tc>
      </w:tr>
      <w:tr>
        <w:trPr>
          <w:trHeight w:val="197"/>
        </w:trPr>
        <w:tc>
          <w:tcPr>
            <w:tcW w:w="6260" w:type="dxa"/>
            <w:vAlign w:val="bottom"/>
            <w:shd w:val="clear" w:color="auto" w:fill="CCEEFF"/>
          </w:tcPr>
          <w:p>
            <w:pPr>
              <w:spacing w:after="0"/>
              <w:rPr>
                <w:sz w:val="20"/>
                <w:szCs w:val="20"/>
                <w:color w:val="auto"/>
              </w:rPr>
            </w:pPr>
            <w:r>
              <w:rPr>
                <w:rFonts w:ascii="Arial" w:cs="Arial" w:eastAsia="Arial" w:hAnsi="Arial"/>
                <w:sz w:val="16"/>
                <w:szCs w:val="16"/>
                <w:color w:val="auto"/>
              </w:rPr>
              <w:t>Deferred credits</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600,000</w:t>
            </w: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600,000</w:t>
            </w:r>
          </w:p>
        </w:tc>
      </w:tr>
      <w:tr>
        <w:trPr>
          <w:trHeight w:val="201"/>
        </w:trPr>
        <w:tc>
          <w:tcPr>
            <w:tcW w:w="6260" w:type="dxa"/>
            <w:vAlign w:val="bottom"/>
          </w:tcPr>
          <w:p>
            <w:pPr>
              <w:ind w:left="360"/>
              <w:spacing w:after="0"/>
              <w:rPr>
                <w:sz w:val="20"/>
                <w:szCs w:val="20"/>
                <w:color w:val="auto"/>
              </w:rPr>
            </w:pPr>
            <w:r>
              <w:rPr>
                <w:rFonts w:ascii="Arial" w:cs="Arial" w:eastAsia="Arial" w:hAnsi="Arial"/>
                <w:sz w:val="16"/>
                <w:szCs w:val="16"/>
                <w:color w:val="auto"/>
              </w:rPr>
              <w:t>Total liabilities</w:t>
            </w: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6,530,191</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7,061,080</w:t>
            </w:r>
          </w:p>
        </w:tc>
        <w:tc>
          <w:tcPr>
            <w:tcW w:w="100" w:type="dxa"/>
            <w:vAlign w:val="bottom"/>
          </w:tcPr>
          <w:p>
            <w:pPr>
              <w:spacing w:after="0"/>
              <w:rPr>
                <w:sz w:val="17"/>
                <w:szCs w:val="17"/>
                <w:color w:val="auto"/>
              </w:rPr>
            </w:pPr>
          </w:p>
        </w:tc>
      </w:tr>
      <w:tr>
        <w:trPr>
          <w:trHeight w:val="201"/>
        </w:trPr>
        <w:tc>
          <w:tcPr>
            <w:tcW w:w="6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626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9)</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392"/>
        </w:trPr>
        <w:tc>
          <w:tcPr>
            <w:tcW w:w="6260" w:type="dxa"/>
            <w:vAlign w:val="bottom"/>
          </w:tcPr>
          <w:p>
            <w:pPr>
              <w:spacing w:after="0"/>
              <w:rPr>
                <w:sz w:val="20"/>
                <w:szCs w:val="20"/>
                <w:color w:val="auto"/>
              </w:rPr>
            </w:pPr>
            <w:r>
              <w:rPr>
                <w:rFonts w:ascii="Arial" w:cs="Arial" w:eastAsia="Arial" w:hAnsi="Arial"/>
                <w:sz w:val="16"/>
                <w:szCs w:val="16"/>
                <w:color w:val="auto"/>
              </w:rPr>
              <w:t>Ocean Power Technologies, Inc. Stockholders’ equity:</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6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Preferred stock, $0.001 par value; authorized 5,000,000 shares, none issued or</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9"/>
        </w:trPr>
        <w:tc>
          <w:tcPr>
            <w:tcW w:w="6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outstanding</w:t>
            </w: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84"/>
        </w:trPr>
        <w:tc>
          <w:tcPr>
            <w:tcW w:w="6260" w:type="dxa"/>
            <w:vAlign w:val="bottom"/>
          </w:tcPr>
          <w:p>
            <w:pPr>
              <w:ind w:left="180"/>
              <w:spacing w:after="0"/>
              <w:rPr>
                <w:sz w:val="20"/>
                <w:szCs w:val="20"/>
                <w:color w:val="auto"/>
              </w:rPr>
            </w:pPr>
            <w:r>
              <w:rPr>
                <w:rFonts w:ascii="Arial" w:cs="Arial" w:eastAsia="Arial" w:hAnsi="Arial"/>
                <w:sz w:val="16"/>
                <w:szCs w:val="16"/>
                <w:color w:val="auto"/>
                <w:w w:val="95"/>
              </w:rPr>
              <w:t>Common stock, $0.001 par value; authorized 105,000,000 shares, issued 10,414,389 and</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8"/>
        </w:trPr>
        <w:tc>
          <w:tcPr>
            <w:tcW w:w="6260" w:type="dxa"/>
            <w:vAlign w:val="bottom"/>
          </w:tcPr>
          <w:p>
            <w:pPr>
              <w:ind w:left="360"/>
              <w:spacing w:after="0"/>
              <w:rPr>
                <w:sz w:val="20"/>
                <w:szCs w:val="20"/>
                <w:color w:val="auto"/>
              </w:rPr>
            </w:pPr>
            <w:r>
              <w:rPr>
                <w:rFonts w:ascii="Arial" w:cs="Arial" w:eastAsia="Arial" w:hAnsi="Arial"/>
                <w:sz w:val="16"/>
                <w:szCs w:val="16"/>
                <w:color w:val="auto"/>
              </w:rPr>
              <w:t>10,419,183 shares, respectively</w:t>
            </w: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10,414</w:t>
            </w:r>
          </w:p>
        </w:tc>
        <w:tc>
          <w:tcPr>
            <w:tcW w:w="3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10,419</w:t>
            </w:r>
          </w:p>
        </w:tc>
      </w:tr>
      <w:tr>
        <w:trPr>
          <w:trHeight w:val="197"/>
        </w:trPr>
        <w:tc>
          <w:tcPr>
            <w:tcW w:w="6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Treasury stock, at cost; 16,575 and 7,685 shares, respectively</w:t>
            </w:r>
          </w:p>
        </w:tc>
        <w:tc>
          <w:tcPr>
            <w:tcW w:w="12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(81,601)</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(42,734)</w:t>
            </w:r>
          </w:p>
        </w:tc>
      </w:tr>
      <w:tr>
        <w:trPr>
          <w:trHeight w:val="196"/>
        </w:trPr>
        <w:tc>
          <w:tcPr>
            <w:tcW w:w="626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157,878,805</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157,174,930</w:t>
            </w:r>
          </w:p>
        </w:tc>
        <w:tc>
          <w:tcPr>
            <w:tcW w:w="100" w:type="dxa"/>
            <w:vAlign w:val="bottom"/>
          </w:tcPr>
          <w:p>
            <w:pPr>
              <w:spacing w:after="0"/>
              <w:rPr>
                <w:sz w:val="17"/>
                <w:szCs w:val="17"/>
                <w:color w:val="auto"/>
              </w:rPr>
            </w:pPr>
          </w:p>
        </w:tc>
      </w:tr>
      <w:tr>
        <w:trPr>
          <w:trHeight w:val="196"/>
        </w:trPr>
        <w:tc>
          <w:tcPr>
            <w:tcW w:w="6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Accumulated deficit</w:t>
            </w:r>
          </w:p>
        </w:tc>
        <w:tc>
          <w:tcPr>
            <w:tcW w:w="12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(119,726,393)</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(110,848,972)</w:t>
            </w:r>
          </w:p>
        </w:tc>
      </w:tr>
      <w:tr>
        <w:trPr>
          <w:trHeight w:val="196"/>
        </w:trPr>
        <w:tc>
          <w:tcPr>
            <w:tcW w:w="6260" w:type="dxa"/>
            <w:vAlign w:val="bottom"/>
          </w:tcPr>
          <w:p>
            <w:pPr>
              <w:ind w:left="180"/>
              <w:spacing w:after="0"/>
              <w:rPr>
                <w:sz w:val="20"/>
                <w:szCs w:val="20"/>
                <w:color w:val="auto"/>
              </w:rPr>
            </w:pPr>
            <w:r>
              <w:rPr>
                <w:rFonts w:ascii="Arial" w:cs="Arial" w:eastAsia="Arial" w:hAnsi="Arial"/>
                <w:sz w:val="16"/>
                <w:szCs w:val="16"/>
                <w:color w:val="auto"/>
              </w:rPr>
              <w:t>Accumulated other comprehensive (loss) income</w:t>
            </w:r>
          </w:p>
        </w:tc>
        <w:tc>
          <w:tcPr>
            <w:tcW w:w="120" w:type="dxa"/>
            <w:vAlign w:val="bottom"/>
          </w:tcPr>
          <w:p>
            <w:pPr>
              <w:spacing w:after="0"/>
              <w:rPr>
                <w:sz w:val="17"/>
                <w:szCs w:val="17"/>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6"/>
                <w:szCs w:val="16"/>
                <w:color w:val="auto"/>
              </w:rPr>
              <w:t>(43,219)</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175,907</w:t>
            </w:r>
          </w:p>
        </w:tc>
      </w:tr>
      <w:tr>
        <w:trPr>
          <w:trHeight w:val="201"/>
        </w:trPr>
        <w:tc>
          <w:tcPr>
            <w:tcW w:w="6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6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Ocean Power Technologies, Inc. stockholders’ equity</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38,038,006</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46,469,550</w:t>
            </w:r>
          </w:p>
        </w:tc>
      </w:tr>
      <w:tr>
        <w:trPr>
          <w:trHeight w:val="20"/>
        </w:trPr>
        <w:tc>
          <w:tcPr>
            <w:tcW w:w="6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7"/>
        </w:trPr>
        <w:tc>
          <w:tcPr>
            <w:tcW w:w="6260" w:type="dxa"/>
            <w:vAlign w:val="bottom"/>
          </w:tcPr>
          <w:p>
            <w:pPr>
              <w:spacing w:after="0"/>
              <w:rPr>
                <w:sz w:val="20"/>
                <w:szCs w:val="20"/>
                <w:color w:val="auto"/>
              </w:rPr>
            </w:pPr>
            <w:r>
              <w:rPr>
                <w:rFonts w:ascii="Arial" w:cs="Arial" w:eastAsia="Arial" w:hAnsi="Arial"/>
                <w:sz w:val="16"/>
                <w:szCs w:val="16"/>
                <w:color w:val="auto"/>
              </w:rPr>
              <w:t>Noncontrolling interest in Ocean Power Technologies (Australasia) Pty Ltd.</w:t>
            </w: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8,129</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21,948</w:t>
            </w:r>
          </w:p>
        </w:tc>
      </w:tr>
      <w:tr>
        <w:trPr>
          <w:trHeight w:val="202"/>
        </w:trPr>
        <w:tc>
          <w:tcPr>
            <w:tcW w:w="6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6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equity</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38,046,135</w:t>
            </w: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46,491,498</w:t>
            </w:r>
          </w:p>
        </w:tc>
      </w:tr>
      <w:tr>
        <w:trPr>
          <w:trHeight w:val="201"/>
        </w:trPr>
        <w:tc>
          <w:tcPr>
            <w:tcW w:w="6260" w:type="dxa"/>
            <w:vAlign w:val="bottom"/>
          </w:tcPr>
          <w:p>
            <w:pPr>
              <w:ind w:left="360"/>
              <w:spacing w:after="0"/>
              <w:rPr>
                <w:sz w:val="20"/>
                <w:szCs w:val="20"/>
                <w:color w:val="auto"/>
              </w:rPr>
            </w:pPr>
            <w:r>
              <w:rPr>
                <w:rFonts w:ascii="Arial" w:cs="Arial" w:eastAsia="Arial" w:hAnsi="Arial"/>
                <w:sz w:val="16"/>
                <w:szCs w:val="16"/>
                <w:color w:val="auto"/>
              </w:rPr>
              <w:t>Total liabilities and stockholders’ equity</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44,576,326</w:t>
            </w:r>
          </w:p>
        </w:tc>
        <w:tc>
          <w:tcPr>
            <w:tcW w:w="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53,552,578</w:t>
            </w:r>
          </w:p>
        </w:tc>
        <w:tc>
          <w:tcPr>
            <w:tcW w:w="100" w:type="dxa"/>
            <w:vAlign w:val="bottom"/>
          </w:tcPr>
          <w:p>
            <w:pPr>
              <w:spacing w:after="0"/>
              <w:rPr>
                <w:sz w:val="17"/>
                <w:szCs w:val="17"/>
                <w:color w:val="auto"/>
              </w:rPr>
            </w:pPr>
          </w:p>
        </w:tc>
      </w:tr>
      <w:tr>
        <w:trPr>
          <w:trHeight w:val="20"/>
        </w:trPr>
        <w:tc>
          <w:tcPr>
            <w:tcW w:w="6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2"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See accompanying notes to consolidated financial statements (unaudited).</w:t>
      </w:r>
    </w:p>
    <w:p>
      <w:pPr>
        <w:spacing w:after="0" w:line="200" w:lineRule="exact"/>
        <w:rPr>
          <w:sz w:val="20"/>
          <w:szCs w:val="20"/>
          <w:color w:val="auto"/>
        </w:rPr>
      </w:pPr>
    </w:p>
    <w:p>
      <w:pPr>
        <w:spacing w:after="0" w:line="328"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263765"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0219"/>
          </w:cols>
          <w:pgMar w:left="240" w:top="394"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4080" w:type="dxa"/>
            <w:vAlign w:val="bottom"/>
            <w:gridSpan w:val="3"/>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Table of Contents</w:t>
              </w:r>
            </w:hyperlink>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82"/>
        </w:trPr>
        <w:tc>
          <w:tcPr>
            <w:tcW w:w="30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5680" w:type="dxa"/>
            <w:vAlign w:val="bottom"/>
            <w:gridSpan w:val="7"/>
          </w:tcPr>
          <w:p>
            <w:pPr>
              <w:jc w:val="center"/>
              <w:ind w:left="1218"/>
              <w:spacing w:after="0"/>
              <w:rPr>
                <w:sz w:val="20"/>
                <w:szCs w:val="20"/>
                <w:color w:val="auto"/>
              </w:rPr>
            </w:pPr>
            <w:r>
              <w:rPr>
                <w:rFonts w:ascii="Arial" w:cs="Arial" w:eastAsia="Arial" w:hAnsi="Arial"/>
                <w:sz w:val="16"/>
                <w:szCs w:val="16"/>
                <w:b w:val="1"/>
                <w:bCs w:val="1"/>
                <w:color w:val="auto"/>
                <w:w w:val="90"/>
              </w:rPr>
              <w:t>Ocean Power Technologies, Inc. and Subsidiaries</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80" w:type="dxa"/>
            <w:vAlign w:val="bottom"/>
            <w:gridSpan w:val="7"/>
          </w:tcPr>
          <w:p>
            <w:pPr>
              <w:jc w:val="center"/>
              <w:ind w:left="1218"/>
              <w:spacing w:after="0"/>
              <w:rPr>
                <w:sz w:val="20"/>
                <w:szCs w:val="20"/>
                <w:color w:val="auto"/>
              </w:rPr>
            </w:pPr>
            <w:r>
              <w:rPr>
                <w:rFonts w:ascii="Arial" w:cs="Arial" w:eastAsia="Arial" w:hAnsi="Arial"/>
                <w:sz w:val="16"/>
                <w:szCs w:val="16"/>
                <w:b w:val="1"/>
                <w:bCs w:val="1"/>
                <w:color w:val="auto"/>
                <w:w w:val="91"/>
              </w:rPr>
              <w:t>Consolidated Statements of Operations</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4"/>
              </w:rPr>
              <w:t>(Unaudited)</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3"/>
        </w:trPr>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October 31,</w:t>
            </w:r>
          </w:p>
        </w:tc>
        <w:tc>
          <w:tcPr>
            <w:tcW w:w="224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w w:val="91"/>
              </w:rPr>
              <w:t>Six Months Ended October 31,</w:t>
            </w:r>
          </w:p>
        </w:tc>
      </w:tr>
      <w:tr>
        <w:trPr>
          <w:trHeight w:val="190"/>
        </w:trPr>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center"/>
              <w:ind w:right="18"/>
              <w:spacing w:after="0"/>
              <w:rPr>
                <w:sz w:val="20"/>
                <w:szCs w:val="20"/>
                <w:color w:val="auto"/>
              </w:rPr>
            </w:pPr>
            <w:r>
              <w:rPr>
                <w:rFonts w:ascii="Arial" w:cs="Arial" w:eastAsia="Arial" w:hAnsi="Arial"/>
                <w:sz w:val="16"/>
                <w:szCs w:val="16"/>
                <w:b w:val="1"/>
                <w:bCs w:val="1"/>
                <w:color w:val="auto"/>
                <w:w w:val="89"/>
              </w:rPr>
              <w:t>2011</w:t>
            </w:r>
          </w:p>
        </w:tc>
        <w:tc>
          <w:tcPr>
            <w:tcW w:w="380" w:type="dxa"/>
            <w:vAlign w:val="bottom"/>
            <w:tcBorders>
              <w:top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2010</w:t>
            </w:r>
          </w:p>
        </w:tc>
        <w:tc>
          <w:tcPr>
            <w:tcW w:w="34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2011</w:t>
            </w:r>
          </w:p>
        </w:tc>
        <w:tc>
          <w:tcPr>
            <w:tcW w:w="360" w:type="dxa"/>
            <w:vAlign w:val="bottom"/>
            <w:tcBorders>
              <w:top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16"/>
                <w:szCs w:val="16"/>
                <w:color w:val="auto"/>
              </w:rPr>
            </w:pPr>
          </w:p>
        </w:tc>
      </w:tr>
      <w:tr>
        <w:trPr>
          <w:trHeight w:val="189"/>
        </w:trPr>
        <w:tc>
          <w:tcPr>
            <w:tcW w:w="300" w:type="dxa"/>
            <w:vAlign w:val="bottom"/>
          </w:tcPr>
          <w:p>
            <w:pPr>
              <w:spacing w:after="0"/>
              <w:rPr>
                <w:sz w:val="16"/>
                <w:szCs w:val="16"/>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1,515,437</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1,864,407</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3,426,289</w:t>
            </w: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3,238,814</w:t>
            </w:r>
          </w:p>
        </w:tc>
        <w:tc>
          <w:tcPr>
            <w:tcW w:w="100" w:type="dxa"/>
            <w:vAlign w:val="bottom"/>
            <w:shd w:val="clear" w:color="auto" w:fill="CCEEFF"/>
          </w:tcPr>
          <w:p>
            <w:pPr>
              <w:spacing w:after="0"/>
              <w:rPr>
                <w:sz w:val="16"/>
                <w:szCs w:val="16"/>
                <w:color w:val="auto"/>
              </w:rPr>
            </w:pPr>
          </w:p>
        </w:tc>
      </w:tr>
      <w:tr>
        <w:trPr>
          <w:trHeight w:val="196"/>
        </w:trPr>
        <w:tc>
          <w:tcPr>
            <w:tcW w:w="300" w:type="dxa"/>
            <w:vAlign w:val="bottom"/>
          </w:tcPr>
          <w:p>
            <w:pPr>
              <w:spacing w:after="0"/>
              <w:rPr>
                <w:sz w:val="17"/>
                <w:szCs w:val="17"/>
                <w:color w:val="auto"/>
              </w:rPr>
            </w:pPr>
          </w:p>
        </w:tc>
        <w:tc>
          <w:tcPr>
            <w:tcW w:w="3780" w:type="dxa"/>
            <w:vAlign w:val="bottom"/>
            <w:gridSpan w:val="2"/>
          </w:tcPr>
          <w:p>
            <w:pPr>
              <w:spacing w:after="0"/>
              <w:rPr>
                <w:sz w:val="20"/>
                <w:szCs w:val="20"/>
                <w:color w:val="auto"/>
              </w:rPr>
            </w:pPr>
            <w:r>
              <w:rPr>
                <w:rFonts w:ascii="Arial" w:cs="Arial" w:eastAsia="Arial" w:hAnsi="Arial"/>
                <w:sz w:val="16"/>
                <w:szCs w:val="16"/>
                <w:color w:val="auto"/>
              </w:rPr>
              <w:t>Cost of revenues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1,483,590</w:t>
            </w:r>
          </w:p>
        </w:tc>
        <w:tc>
          <w:tcPr>
            <w:tcW w:w="380" w:type="dxa"/>
            <w:vAlign w:val="bottom"/>
          </w:tcPr>
          <w:p>
            <w:pPr>
              <w:spacing w:after="0"/>
              <w:rPr>
                <w:sz w:val="17"/>
                <w:szCs w:val="17"/>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6"/>
                <w:szCs w:val="16"/>
                <w:color w:val="auto"/>
              </w:rPr>
              <w:t>1,776,980</w:t>
            </w:r>
          </w:p>
        </w:tc>
        <w:tc>
          <w:tcPr>
            <w:tcW w:w="900" w:type="dxa"/>
            <w:vAlign w:val="bottom"/>
          </w:tcPr>
          <w:p>
            <w:pPr>
              <w:jc w:val="right"/>
              <w:spacing w:after="0"/>
              <w:rPr>
                <w:sz w:val="20"/>
                <w:szCs w:val="20"/>
                <w:color w:val="auto"/>
              </w:rPr>
            </w:pPr>
            <w:r>
              <w:rPr>
                <w:rFonts w:ascii="Arial" w:cs="Arial" w:eastAsia="Arial" w:hAnsi="Arial"/>
                <w:sz w:val="16"/>
                <w:szCs w:val="16"/>
                <w:color w:val="auto"/>
              </w:rPr>
              <w:t>3,385,492</w:t>
            </w: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3,365,226</w:t>
            </w:r>
          </w:p>
        </w:tc>
        <w:tc>
          <w:tcPr>
            <w:tcW w:w="100" w:type="dxa"/>
            <w:vAlign w:val="bottom"/>
          </w:tcPr>
          <w:p>
            <w:pPr>
              <w:spacing w:after="0"/>
              <w:rPr>
                <w:sz w:val="17"/>
                <w:szCs w:val="17"/>
                <w:color w:val="auto"/>
              </w:rPr>
            </w:pPr>
          </w:p>
        </w:tc>
      </w:tr>
      <w:tr>
        <w:trPr>
          <w:trHeight w:val="25"/>
        </w:trPr>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300" w:type="dxa"/>
            <w:vAlign w:val="bottom"/>
          </w:tcPr>
          <w:p>
            <w:pPr>
              <w:spacing w:after="0"/>
              <w:rPr>
                <w:sz w:val="17"/>
                <w:szCs w:val="17"/>
                <w:color w:val="auto"/>
              </w:rPr>
            </w:pPr>
          </w:p>
        </w:tc>
        <w:tc>
          <w:tcPr>
            <w:tcW w:w="37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Gross profit (loss)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31,847</w:t>
            </w:r>
          </w:p>
        </w:tc>
        <w:tc>
          <w:tcPr>
            <w:tcW w:w="3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87,427</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40,797</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(126,412)</w:t>
            </w:r>
          </w:p>
        </w:tc>
      </w:tr>
      <w:tr>
        <w:trPr>
          <w:trHeight w:val="397"/>
        </w:trPr>
        <w:tc>
          <w:tcPr>
            <w:tcW w:w="30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300" w:type="dxa"/>
            <w:vAlign w:val="bottom"/>
          </w:tcPr>
          <w:p>
            <w:pPr>
              <w:spacing w:after="0"/>
              <w:rPr>
                <w:sz w:val="17"/>
                <w:szCs w:val="17"/>
                <w:color w:val="auto"/>
              </w:rPr>
            </w:pPr>
          </w:p>
        </w:tc>
        <w:tc>
          <w:tcPr>
            <w:tcW w:w="3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Product development costs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2,062,540</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3,679,470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5,163,127</w:t>
            </w: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7,705,256</w:t>
            </w:r>
          </w:p>
        </w:tc>
        <w:tc>
          <w:tcPr>
            <w:tcW w:w="100" w:type="dxa"/>
            <w:vAlign w:val="bottom"/>
            <w:shd w:val="clear" w:color="auto" w:fill="CCEEFF"/>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3780" w:type="dxa"/>
            <w:vAlign w:val="bottom"/>
            <w:gridSpan w:val="2"/>
          </w:tcPr>
          <w:p>
            <w:pPr>
              <w:ind w:left="180"/>
              <w:spacing w:after="0"/>
              <w:rPr>
                <w:sz w:val="20"/>
                <w:szCs w:val="20"/>
                <w:color w:val="auto"/>
              </w:rPr>
            </w:pPr>
            <w:r>
              <w:rPr>
                <w:rFonts w:ascii="Arial" w:cs="Arial" w:eastAsia="Arial" w:hAnsi="Arial"/>
                <w:sz w:val="16"/>
                <w:szCs w:val="16"/>
                <w:color w:val="auto"/>
              </w:rPr>
              <w:t>Selling, general and administrative costs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2,015,108</w:t>
            </w:r>
          </w:p>
        </w:tc>
        <w:tc>
          <w:tcPr>
            <w:tcW w:w="380" w:type="dxa"/>
            <w:vAlign w:val="bottom"/>
          </w:tcPr>
          <w:p>
            <w:pPr>
              <w:spacing w:after="0"/>
              <w:rPr>
                <w:sz w:val="17"/>
                <w:szCs w:val="17"/>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6"/>
                <w:szCs w:val="16"/>
                <w:color w:val="auto"/>
              </w:rPr>
              <w:t>2,146,845</w:t>
            </w:r>
          </w:p>
        </w:tc>
        <w:tc>
          <w:tcPr>
            <w:tcW w:w="900" w:type="dxa"/>
            <w:vAlign w:val="bottom"/>
          </w:tcPr>
          <w:p>
            <w:pPr>
              <w:jc w:val="right"/>
              <w:spacing w:after="0"/>
              <w:rPr>
                <w:sz w:val="20"/>
                <w:szCs w:val="20"/>
                <w:color w:val="auto"/>
              </w:rPr>
            </w:pPr>
            <w:r>
              <w:rPr>
                <w:rFonts w:ascii="Arial" w:cs="Arial" w:eastAsia="Arial" w:hAnsi="Arial"/>
                <w:sz w:val="16"/>
                <w:szCs w:val="16"/>
                <w:color w:val="auto"/>
              </w:rPr>
              <w:t>4,034,850</w:t>
            </w: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4,175,755</w:t>
            </w:r>
          </w:p>
        </w:tc>
        <w:tc>
          <w:tcPr>
            <w:tcW w:w="100" w:type="dxa"/>
            <w:vAlign w:val="bottom"/>
          </w:tcPr>
          <w:p>
            <w:pPr>
              <w:spacing w:after="0"/>
              <w:rPr>
                <w:sz w:val="17"/>
                <w:szCs w:val="17"/>
                <w:color w:val="auto"/>
              </w:rPr>
            </w:pPr>
          </w:p>
        </w:tc>
      </w:tr>
      <w:tr>
        <w:trPr>
          <w:trHeight w:val="25"/>
        </w:trPr>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300" w:type="dxa"/>
            <w:vAlign w:val="bottom"/>
          </w:tcPr>
          <w:p>
            <w:pPr>
              <w:spacing w:after="0"/>
              <w:rPr>
                <w:sz w:val="17"/>
                <w:szCs w:val="17"/>
                <w:color w:val="auto"/>
              </w:rPr>
            </w:pPr>
          </w:p>
        </w:tc>
        <w:tc>
          <w:tcPr>
            <w:tcW w:w="37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Total operating expenses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4,077,648</w:t>
            </w:r>
          </w:p>
        </w:tc>
        <w:tc>
          <w:tcPr>
            <w:tcW w:w="3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5,826,315</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9,197,977</w:t>
            </w:r>
          </w:p>
        </w:tc>
        <w:tc>
          <w:tcPr>
            <w:tcW w:w="3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11,881,011</w:t>
            </w:r>
          </w:p>
        </w:tc>
      </w:tr>
      <w:tr>
        <w:trPr>
          <w:trHeight w:val="20"/>
        </w:trPr>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6"/>
        </w:trPr>
        <w:tc>
          <w:tcPr>
            <w:tcW w:w="30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Arial" w:cs="Arial" w:eastAsia="Arial" w:hAnsi="Arial"/>
                <w:sz w:val="16"/>
                <w:szCs w:val="16"/>
                <w:color w:val="auto"/>
              </w:rPr>
              <w:t>Operating loss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(4,045,801)</w:t>
            </w: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(5,738,888)</w:t>
            </w:r>
          </w:p>
        </w:tc>
        <w:tc>
          <w:tcPr>
            <w:tcW w:w="1260" w:type="dxa"/>
            <w:vAlign w:val="bottom"/>
            <w:gridSpan w:val="2"/>
          </w:tcPr>
          <w:p>
            <w:pPr>
              <w:jc w:val="right"/>
              <w:ind w:right="320"/>
              <w:spacing w:after="0"/>
              <w:rPr>
                <w:sz w:val="20"/>
                <w:szCs w:val="20"/>
                <w:color w:val="auto"/>
              </w:rPr>
            </w:pPr>
            <w:r>
              <w:rPr>
                <w:rFonts w:ascii="Arial" w:cs="Arial" w:eastAsia="Arial" w:hAnsi="Arial"/>
                <w:sz w:val="16"/>
                <w:szCs w:val="16"/>
                <w:color w:val="auto"/>
              </w:rPr>
              <w:t>(9,157,180)</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(12,007,423)</w:t>
            </w:r>
          </w:p>
        </w:tc>
      </w:tr>
      <w:tr>
        <w:trPr>
          <w:trHeight w:val="198"/>
        </w:trPr>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income, net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125,602</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160,884</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246,370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398,349</w:t>
            </w:r>
          </w:p>
        </w:tc>
      </w:tr>
      <w:tr>
        <w:trPr>
          <w:trHeight w:val="196"/>
        </w:trPr>
        <w:tc>
          <w:tcPr>
            <w:tcW w:w="300" w:type="dxa"/>
            <w:vAlign w:val="bottom"/>
          </w:tcPr>
          <w:p>
            <w:pPr>
              <w:spacing w:after="0"/>
              <w:rPr>
                <w:sz w:val="17"/>
                <w:szCs w:val="17"/>
                <w:color w:val="auto"/>
              </w:rPr>
            </w:pPr>
          </w:p>
        </w:tc>
        <w:tc>
          <w:tcPr>
            <w:tcW w:w="3780" w:type="dxa"/>
            <w:vAlign w:val="bottom"/>
            <w:gridSpan w:val="2"/>
          </w:tcPr>
          <w:p>
            <w:pPr>
              <w:spacing w:after="0"/>
              <w:rPr>
                <w:sz w:val="20"/>
                <w:szCs w:val="20"/>
                <w:color w:val="auto"/>
              </w:rPr>
            </w:pPr>
            <w:r>
              <w:rPr>
                <w:rFonts w:ascii="Arial" w:cs="Arial" w:eastAsia="Arial" w:hAnsi="Arial"/>
                <w:sz w:val="16"/>
                <w:szCs w:val="16"/>
                <w:color w:val="auto"/>
              </w:rPr>
              <w:t>Foreign exchange gain (loss)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29,334</w:t>
            </w:r>
          </w:p>
        </w:tc>
        <w:tc>
          <w:tcPr>
            <w:tcW w:w="380" w:type="dxa"/>
            <w:vAlign w:val="bottom"/>
          </w:tcPr>
          <w:p>
            <w:pPr>
              <w:spacing w:after="0"/>
              <w:rPr>
                <w:sz w:val="17"/>
                <w:szCs w:val="17"/>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6"/>
                <w:szCs w:val="16"/>
                <w:color w:val="auto"/>
              </w:rPr>
              <w:t>71,192</w:t>
            </w:r>
          </w:p>
        </w:tc>
        <w:tc>
          <w:tcPr>
            <w:tcW w:w="1260" w:type="dxa"/>
            <w:vAlign w:val="bottom"/>
            <w:gridSpan w:val="2"/>
          </w:tcPr>
          <w:p>
            <w:pPr>
              <w:jc w:val="right"/>
              <w:ind w:right="360"/>
              <w:spacing w:after="0"/>
              <w:rPr>
                <w:sz w:val="20"/>
                <w:szCs w:val="20"/>
                <w:color w:val="auto"/>
              </w:rPr>
            </w:pPr>
            <w:r>
              <w:rPr>
                <w:rFonts w:ascii="Arial" w:cs="Arial" w:eastAsia="Arial" w:hAnsi="Arial"/>
                <w:sz w:val="16"/>
                <w:szCs w:val="16"/>
                <w:color w:val="auto"/>
              </w:rPr>
              <w:t>20,293</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(167,810)</w:t>
            </w:r>
          </w:p>
        </w:tc>
      </w:tr>
      <w:tr>
        <w:trPr>
          <w:trHeight w:val="25"/>
        </w:trPr>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300" w:type="dxa"/>
            <w:vAlign w:val="bottom"/>
          </w:tcPr>
          <w:p>
            <w:pPr>
              <w:spacing w:after="0"/>
              <w:rPr>
                <w:sz w:val="17"/>
                <w:szCs w:val="17"/>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(3,890,865)</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(5,506,812)</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(8,890,517)</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(11,776,884)</w:t>
            </w:r>
          </w:p>
        </w:tc>
      </w:tr>
      <w:tr>
        <w:trPr>
          <w:trHeight w:val="380"/>
        </w:trPr>
        <w:tc>
          <w:tcPr>
            <w:tcW w:w="300" w:type="dxa"/>
            <w:vAlign w:val="bottom"/>
          </w:tcPr>
          <w:p>
            <w:pPr>
              <w:spacing w:after="0"/>
              <w:rPr>
                <w:sz w:val="24"/>
                <w:szCs w:val="24"/>
                <w:color w:val="auto"/>
              </w:rPr>
            </w:pPr>
          </w:p>
        </w:tc>
        <w:tc>
          <w:tcPr>
            <w:tcW w:w="3780" w:type="dxa"/>
            <w:vAlign w:val="bottom"/>
            <w:gridSpan w:val="2"/>
          </w:tcPr>
          <w:p>
            <w:pPr>
              <w:ind w:left="180"/>
              <w:spacing w:after="0"/>
              <w:rPr>
                <w:sz w:val="20"/>
                <w:szCs w:val="20"/>
                <w:color w:val="auto"/>
              </w:rPr>
            </w:pPr>
            <w:r>
              <w:rPr>
                <w:rFonts w:ascii="Arial" w:cs="Arial" w:eastAsia="Arial" w:hAnsi="Arial"/>
                <w:sz w:val="16"/>
                <w:szCs w:val="16"/>
                <w:color w:val="auto"/>
              </w:rPr>
              <w:t>Less: Net loss attributable to the noncontrolling</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300" w:type="dxa"/>
            <w:vAlign w:val="bottom"/>
          </w:tcPr>
          <w:p>
            <w:pPr>
              <w:spacing w:after="0"/>
              <w:rPr>
                <w:sz w:val="17"/>
                <w:szCs w:val="17"/>
                <w:color w:val="auto"/>
              </w:rPr>
            </w:pPr>
          </w:p>
        </w:tc>
        <w:tc>
          <w:tcPr>
            <w:tcW w:w="3780" w:type="dxa"/>
            <w:vAlign w:val="bottom"/>
            <w:gridSpan w:val="2"/>
          </w:tcPr>
          <w:p>
            <w:pPr>
              <w:ind w:left="360"/>
              <w:spacing w:after="0"/>
              <w:rPr>
                <w:sz w:val="20"/>
                <w:szCs w:val="20"/>
                <w:color w:val="auto"/>
              </w:rPr>
            </w:pPr>
            <w:r>
              <w:rPr>
                <w:rFonts w:ascii="Arial" w:cs="Arial" w:eastAsia="Arial" w:hAnsi="Arial"/>
                <w:sz w:val="16"/>
                <w:szCs w:val="16"/>
                <w:color w:val="auto"/>
              </w:rPr>
              <w:t>interest in Ocean Power Technologies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300" w:type="dxa"/>
            <w:vAlign w:val="bottom"/>
          </w:tcPr>
          <w:p>
            <w:pPr>
              <w:spacing w:after="0"/>
              <w:rPr>
                <w:sz w:val="18"/>
                <w:szCs w:val="18"/>
                <w:color w:val="auto"/>
              </w:rPr>
            </w:pPr>
          </w:p>
        </w:tc>
        <w:tc>
          <w:tcPr>
            <w:tcW w:w="3780" w:type="dxa"/>
            <w:vAlign w:val="bottom"/>
            <w:gridSpan w:val="2"/>
          </w:tcPr>
          <w:p>
            <w:pPr>
              <w:ind w:left="360"/>
              <w:spacing w:after="0"/>
              <w:rPr>
                <w:sz w:val="20"/>
                <w:szCs w:val="20"/>
                <w:color w:val="auto"/>
              </w:rPr>
            </w:pPr>
            <w:r>
              <w:rPr>
                <w:rFonts w:ascii="Arial" w:cs="Arial" w:eastAsia="Arial" w:hAnsi="Arial"/>
                <w:sz w:val="16"/>
                <w:szCs w:val="16"/>
                <w:color w:val="auto"/>
              </w:rPr>
              <w:t>(Australasia) Pty Ltd.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6"/>
                <w:szCs w:val="16"/>
                <w:color w:val="auto"/>
              </w:rPr>
              <w:t>8,508</w:t>
            </w:r>
          </w:p>
        </w:tc>
        <w:tc>
          <w:tcPr>
            <w:tcW w:w="1320" w:type="dxa"/>
            <w:vAlign w:val="bottom"/>
            <w:gridSpan w:val="2"/>
          </w:tcPr>
          <w:p>
            <w:pPr>
              <w:jc w:val="right"/>
              <w:ind w:right="340"/>
              <w:spacing w:after="0"/>
              <w:rPr>
                <w:sz w:val="20"/>
                <w:szCs w:val="20"/>
                <w:color w:val="auto"/>
              </w:rPr>
            </w:pPr>
            <w:r>
              <w:rPr>
                <w:rFonts w:ascii="Arial" w:cs="Arial" w:eastAsia="Arial" w:hAnsi="Arial"/>
                <w:sz w:val="16"/>
                <w:szCs w:val="16"/>
                <w:color w:val="auto"/>
              </w:rPr>
              <w:t>7,620</w:t>
            </w:r>
          </w:p>
        </w:tc>
        <w:tc>
          <w:tcPr>
            <w:tcW w:w="1260" w:type="dxa"/>
            <w:vAlign w:val="bottom"/>
            <w:gridSpan w:val="2"/>
          </w:tcPr>
          <w:p>
            <w:pPr>
              <w:jc w:val="right"/>
              <w:ind w:right="360"/>
              <w:spacing w:after="0"/>
              <w:rPr>
                <w:sz w:val="20"/>
                <w:szCs w:val="20"/>
                <w:color w:val="auto"/>
              </w:rPr>
            </w:pPr>
            <w:r>
              <w:rPr>
                <w:rFonts w:ascii="Arial" w:cs="Arial" w:eastAsia="Arial" w:hAnsi="Arial"/>
                <w:sz w:val="16"/>
                <w:szCs w:val="16"/>
                <w:color w:val="auto"/>
              </w:rPr>
              <w:t>13,096</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11,099</w:t>
            </w:r>
          </w:p>
        </w:tc>
      </w:tr>
      <w:tr>
        <w:trPr>
          <w:trHeight w:val="202"/>
        </w:trPr>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5"/>
              </w:rPr>
              <w:t>Net loss attributable to Ocean Power Technologies, Inc.</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(3,882,357)</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(5,499,192)</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(8,877,421)</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(11,765,785)</w:t>
            </w:r>
          </w:p>
        </w:tc>
      </w:tr>
      <w:tr>
        <w:trPr>
          <w:trHeight w:val="20"/>
        </w:trPr>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1"/>
        </w:trPr>
        <w:tc>
          <w:tcPr>
            <w:tcW w:w="30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Arial" w:cs="Arial" w:eastAsia="Arial" w:hAnsi="Arial"/>
                <w:sz w:val="16"/>
                <w:szCs w:val="16"/>
                <w:color w:val="auto"/>
              </w:rPr>
              <w:t>Basic and diluted net loss per share</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(0.38)</w:t>
            </w: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(0.54)</w:t>
            </w:r>
          </w:p>
        </w:tc>
        <w:tc>
          <w:tcPr>
            <w:tcW w:w="1260" w:type="dxa"/>
            <w:vAlign w:val="bottom"/>
            <w:gridSpan w:val="2"/>
          </w:tcPr>
          <w:p>
            <w:pPr>
              <w:jc w:val="right"/>
              <w:ind w:right="320"/>
              <w:spacing w:after="0"/>
              <w:rPr>
                <w:sz w:val="20"/>
                <w:szCs w:val="20"/>
                <w:color w:val="auto"/>
              </w:rPr>
            </w:pPr>
            <w:r>
              <w:rPr>
                <w:rFonts w:ascii="Arial" w:cs="Arial" w:eastAsia="Arial" w:hAnsi="Arial"/>
                <w:sz w:val="16"/>
                <w:szCs w:val="16"/>
                <w:color w:val="auto"/>
              </w:rPr>
              <w:t>(0.86)</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(1.15)</w:t>
            </w:r>
          </w:p>
        </w:tc>
      </w:tr>
      <w:tr>
        <w:trPr>
          <w:trHeight w:val="20"/>
        </w:trPr>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6"/>
        </w:trPr>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300" w:type="dxa"/>
            <w:vAlign w:val="bottom"/>
          </w:tcPr>
          <w:p>
            <w:pPr>
              <w:spacing w:after="0"/>
              <w:rPr>
                <w:sz w:val="15"/>
                <w:szCs w:val="15"/>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9"/>
              </w:rPr>
              <w:t>Weighted average shares used to compute basic and</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9"/>
        </w:trPr>
        <w:tc>
          <w:tcPr>
            <w:tcW w:w="300" w:type="dxa"/>
            <w:vAlign w:val="bottom"/>
          </w:tcPr>
          <w:p>
            <w:pPr>
              <w:spacing w:after="0"/>
              <w:rPr>
                <w:sz w:val="18"/>
                <w:szCs w:val="18"/>
                <w:color w:val="auto"/>
              </w:rPr>
            </w:pPr>
          </w:p>
        </w:tc>
        <w:tc>
          <w:tcPr>
            <w:tcW w:w="3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diluted net loss per share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10,275,964</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10,245,168</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10,272,059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10,240,817</w:t>
            </w:r>
          </w:p>
        </w:tc>
      </w:tr>
      <w:tr>
        <w:trPr>
          <w:trHeight w:val="20"/>
        </w:trPr>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9"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See accompanying notes to consolidated financial statements (unaudited).</w:t>
      </w:r>
    </w:p>
    <w:p>
      <w:pPr>
        <w:spacing w:after="0" w:line="200" w:lineRule="exact"/>
        <w:rPr>
          <w:sz w:val="20"/>
          <w:szCs w:val="20"/>
          <w:color w:val="auto"/>
        </w:rPr>
      </w:pPr>
    </w:p>
    <w:p>
      <w:pPr>
        <w:spacing w:after="0" w:line="340"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263765"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0219"/>
          </w:cols>
          <w:pgMar w:left="240" w:top="385"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6900" w:type="dxa"/>
            <w:vAlign w:val="bottom"/>
            <w:gridSpan w:val="3"/>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Table of Contents</w:t>
              </w:r>
            </w:hyperlink>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82"/>
        </w:trPr>
        <w:tc>
          <w:tcPr>
            <w:tcW w:w="30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5680" w:type="dxa"/>
            <w:vAlign w:val="bottom"/>
          </w:tcPr>
          <w:p>
            <w:pPr>
              <w:jc w:val="center"/>
              <w:ind w:left="1218"/>
              <w:spacing w:after="0"/>
              <w:rPr>
                <w:sz w:val="20"/>
                <w:szCs w:val="20"/>
                <w:color w:val="auto"/>
              </w:rPr>
            </w:pPr>
            <w:r>
              <w:rPr>
                <w:rFonts w:ascii="Arial" w:cs="Arial" w:eastAsia="Arial" w:hAnsi="Arial"/>
                <w:sz w:val="16"/>
                <w:szCs w:val="16"/>
                <w:b w:val="1"/>
                <w:bCs w:val="1"/>
                <w:color w:val="auto"/>
                <w:w w:val="90"/>
              </w:rPr>
              <w:t>Ocean Power Technologies, Inc. and Subsidiaries</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80" w:type="dxa"/>
            <w:vAlign w:val="bottom"/>
          </w:tcPr>
          <w:p>
            <w:pPr>
              <w:jc w:val="center"/>
              <w:ind w:left="1238"/>
              <w:spacing w:after="0"/>
              <w:rPr>
                <w:sz w:val="20"/>
                <w:szCs w:val="20"/>
                <w:color w:val="auto"/>
              </w:rPr>
            </w:pPr>
            <w:r>
              <w:rPr>
                <w:rFonts w:ascii="Arial" w:cs="Arial" w:eastAsia="Arial" w:hAnsi="Arial"/>
                <w:sz w:val="16"/>
                <w:szCs w:val="16"/>
                <w:b w:val="1"/>
                <w:bCs w:val="1"/>
                <w:color w:val="auto"/>
                <w:w w:val="90"/>
              </w:rPr>
              <w:t>Consolidated Statements of Cash Flows</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80" w:type="dxa"/>
            <w:vAlign w:val="bottom"/>
          </w:tcPr>
          <w:p>
            <w:pPr>
              <w:jc w:val="center"/>
              <w:ind w:left="1238"/>
              <w:spacing w:after="0"/>
              <w:rPr>
                <w:sz w:val="20"/>
                <w:szCs w:val="20"/>
                <w:color w:val="auto"/>
              </w:rPr>
            </w:pPr>
            <w:r>
              <w:rPr>
                <w:rFonts w:ascii="Arial" w:cs="Arial" w:eastAsia="Arial" w:hAnsi="Arial"/>
                <w:sz w:val="16"/>
                <w:szCs w:val="16"/>
                <w:b w:val="1"/>
                <w:bCs w:val="1"/>
                <w:color w:val="auto"/>
                <w:w w:val="94"/>
              </w:rPr>
              <w:t>(Unaudited)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3"/>
        </w:trPr>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240" w:type="dxa"/>
            <w:vAlign w:val="bottom"/>
            <w:gridSpan w:val="5"/>
          </w:tcPr>
          <w:p>
            <w:pPr>
              <w:spacing w:after="0"/>
              <w:rPr>
                <w:sz w:val="20"/>
                <w:szCs w:val="20"/>
                <w:color w:val="auto"/>
              </w:rPr>
            </w:pPr>
            <w:r>
              <w:rPr>
                <w:rFonts w:ascii="Arial" w:cs="Arial" w:eastAsia="Arial" w:hAnsi="Arial"/>
                <w:sz w:val="16"/>
                <w:szCs w:val="16"/>
                <w:b w:val="1"/>
                <w:bCs w:val="1"/>
                <w:color w:val="auto"/>
                <w:w w:val="96"/>
              </w:rPr>
              <w:t>Six Months Ended October 31,</w:t>
            </w:r>
          </w:p>
        </w:tc>
      </w:tr>
      <w:tr>
        <w:trPr>
          <w:trHeight w:val="189"/>
        </w:trPr>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2011</w:t>
            </w:r>
          </w:p>
        </w:tc>
        <w:tc>
          <w:tcPr>
            <w:tcW w:w="360" w:type="dxa"/>
            <w:vAlign w:val="bottom"/>
            <w:tcBorders>
              <w:top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16"/>
                <w:szCs w:val="16"/>
                <w:color w:val="auto"/>
              </w:rPr>
            </w:pPr>
          </w:p>
        </w:tc>
      </w:tr>
      <w:tr>
        <w:trPr>
          <w:trHeight w:val="189"/>
        </w:trPr>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300" w:type="dxa"/>
            <w:vAlign w:val="bottom"/>
          </w:tcPr>
          <w:p>
            <w:pPr>
              <w:spacing w:after="0"/>
              <w:rPr>
                <w:sz w:val="17"/>
                <w:szCs w:val="17"/>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8"/>
        </w:trPr>
        <w:tc>
          <w:tcPr>
            <w:tcW w:w="300" w:type="dxa"/>
            <w:vAlign w:val="bottom"/>
          </w:tcPr>
          <w:p>
            <w:pPr>
              <w:spacing w:after="0"/>
              <w:rPr>
                <w:sz w:val="18"/>
                <w:szCs w:val="18"/>
                <w:color w:val="auto"/>
              </w:rPr>
            </w:pPr>
          </w:p>
        </w:tc>
        <w:tc>
          <w:tcPr>
            <w:tcW w:w="6600" w:type="dxa"/>
            <w:vAlign w:val="bottom"/>
            <w:gridSpan w:val="2"/>
          </w:tcPr>
          <w:p>
            <w:pPr>
              <w:ind w:left="18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w w:val="97"/>
              </w:rPr>
              <w:t>(8,890,517)</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(11,776,884)</w:t>
            </w:r>
          </w:p>
        </w:tc>
      </w:tr>
      <w:tr>
        <w:trPr>
          <w:trHeight w:val="185"/>
        </w:trPr>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300" w:type="dxa"/>
            <w:vAlign w:val="bottom"/>
          </w:tcPr>
          <w:p>
            <w:pPr>
              <w:spacing w:after="0"/>
              <w:rPr>
                <w:sz w:val="17"/>
                <w:szCs w:val="17"/>
                <w:color w:val="auto"/>
              </w:rPr>
            </w:pPr>
          </w:p>
        </w:tc>
        <w:tc>
          <w:tcPr>
            <w:tcW w:w="66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6600" w:type="dxa"/>
            <w:vAlign w:val="bottom"/>
            <w:gridSpan w:val="2"/>
          </w:tcPr>
          <w:p>
            <w:pPr>
              <w:ind w:left="360"/>
              <w:spacing w:after="0"/>
              <w:rPr>
                <w:sz w:val="20"/>
                <w:szCs w:val="20"/>
                <w:color w:val="auto"/>
              </w:rPr>
            </w:pPr>
            <w:r>
              <w:rPr>
                <w:rFonts w:ascii="Arial" w:cs="Arial" w:eastAsia="Arial" w:hAnsi="Arial"/>
                <w:sz w:val="16"/>
                <w:szCs w:val="16"/>
                <w:color w:val="auto"/>
              </w:rPr>
              <w:t>Foreign exchange (gain) loss</w:t>
            </w:r>
          </w:p>
        </w:tc>
        <w:tc>
          <w:tcPr>
            <w:tcW w:w="12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(20,293)</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167,810</w:t>
            </w:r>
          </w:p>
        </w:tc>
      </w:tr>
      <w:tr>
        <w:trPr>
          <w:trHeight w:val="196"/>
        </w:trPr>
        <w:tc>
          <w:tcPr>
            <w:tcW w:w="300" w:type="dxa"/>
            <w:vAlign w:val="bottom"/>
          </w:tcPr>
          <w:p>
            <w:pPr>
              <w:spacing w:after="0"/>
              <w:rPr>
                <w:sz w:val="17"/>
                <w:szCs w:val="17"/>
                <w:color w:val="auto"/>
              </w:rPr>
            </w:pPr>
          </w:p>
        </w:tc>
        <w:tc>
          <w:tcPr>
            <w:tcW w:w="66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196,078</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184,083</w:t>
            </w:r>
          </w:p>
        </w:tc>
      </w:tr>
      <w:tr>
        <w:trPr>
          <w:trHeight w:val="196"/>
        </w:trPr>
        <w:tc>
          <w:tcPr>
            <w:tcW w:w="300" w:type="dxa"/>
            <w:vAlign w:val="bottom"/>
          </w:tcPr>
          <w:p>
            <w:pPr>
              <w:spacing w:after="0"/>
              <w:rPr>
                <w:sz w:val="17"/>
                <w:szCs w:val="17"/>
                <w:color w:val="auto"/>
              </w:rPr>
            </w:pPr>
          </w:p>
        </w:tc>
        <w:tc>
          <w:tcPr>
            <w:tcW w:w="6600" w:type="dxa"/>
            <w:vAlign w:val="bottom"/>
            <w:gridSpan w:val="2"/>
          </w:tcPr>
          <w:p>
            <w:pPr>
              <w:ind w:left="360"/>
              <w:spacing w:after="0"/>
              <w:rPr>
                <w:sz w:val="20"/>
                <w:szCs w:val="20"/>
                <w:color w:val="auto"/>
              </w:rPr>
            </w:pPr>
            <w:r>
              <w:rPr>
                <w:rFonts w:ascii="Arial" w:cs="Arial" w:eastAsia="Arial" w:hAnsi="Arial"/>
                <w:sz w:val="16"/>
                <w:szCs w:val="16"/>
                <w:color w:val="auto"/>
              </w:rPr>
              <w:t>Loss on disposals of property, plant and equipment</w:t>
            </w:r>
          </w:p>
        </w:tc>
        <w:tc>
          <w:tcPr>
            <w:tcW w:w="120" w:type="dxa"/>
            <w:vAlign w:val="bottom"/>
          </w:tcPr>
          <w:p>
            <w:pPr>
              <w:spacing w:after="0"/>
              <w:rPr>
                <w:sz w:val="17"/>
                <w:szCs w:val="17"/>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9,614</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923</w:t>
            </w:r>
          </w:p>
        </w:tc>
      </w:tr>
      <w:tr>
        <w:trPr>
          <w:trHeight w:val="196"/>
        </w:trPr>
        <w:tc>
          <w:tcPr>
            <w:tcW w:w="300" w:type="dxa"/>
            <w:vAlign w:val="bottom"/>
          </w:tcPr>
          <w:p>
            <w:pPr>
              <w:spacing w:after="0"/>
              <w:rPr>
                <w:sz w:val="17"/>
                <w:szCs w:val="17"/>
                <w:color w:val="auto"/>
              </w:rPr>
            </w:pPr>
          </w:p>
        </w:tc>
        <w:tc>
          <w:tcPr>
            <w:tcW w:w="66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Treasury note premium amortization</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27,828</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44,268</w:t>
            </w:r>
          </w:p>
        </w:tc>
      </w:tr>
      <w:tr>
        <w:trPr>
          <w:trHeight w:val="196"/>
        </w:trPr>
        <w:tc>
          <w:tcPr>
            <w:tcW w:w="300" w:type="dxa"/>
            <w:vAlign w:val="bottom"/>
          </w:tcPr>
          <w:p>
            <w:pPr>
              <w:spacing w:after="0"/>
              <w:rPr>
                <w:sz w:val="17"/>
                <w:szCs w:val="17"/>
                <w:color w:val="auto"/>
              </w:rPr>
            </w:pPr>
          </w:p>
        </w:tc>
        <w:tc>
          <w:tcPr>
            <w:tcW w:w="6600" w:type="dxa"/>
            <w:vAlign w:val="bottom"/>
            <w:gridSpan w:val="2"/>
          </w:tcPr>
          <w:p>
            <w:pPr>
              <w:ind w:left="360"/>
              <w:spacing w:after="0"/>
              <w:rPr>
                <w:sz w:val="20"/>
                <w:szCs w:val="20"/>
                <w:color w:val="auto"/>
              </w:rPr>
            </w:pPr>
            <w:r>
              <w:rPr>
                <w:rFonts w:ascii="Arial" w:cs="Arial" w:eastAsia="Arial" w:hAnsi="Arial"/>
                <w:sz w:val="16"/>
                <w:szCs w:val="16"/>
                <w:color w:val="auto"/>
              </w:rPr>
              <w:t>Compensation expense related to stock option grants and restricted stock</w:t>
            </w:r>
          </w:p>
        </w:tc>
        <w:tc>
          <w:tcPr>
            <w:tcW w:w="120" w:type="dxa"/>
            <w:vAlign w:val="bottom"/>
          </w:tcPr>
          <w:p>
            <w:pPr>
              <w:spacing w:after="0"/>
              <w:rPr>
                <w:sz w:val="17"/>
                <w:szCs w:val="17"/>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703,801</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792,013</w:t>
            </w:r>
          </w:p>
        </w:tc>
      </w:tr>
      <w:tr>
        <w:trPr>
          <w:trHeight w:val="196"/>
        </w:trPr>
        <w:tc>
          <w:tcPr>
            <w:tcW w:w="300" w:type="dxa"/>
            <w:vAlign w:val="bottom"/>
          </w:tcPr>
          <w:p>
            <w:pPr>
              <w:spacing w:after="0"/>
              <w:rPr>
                <w:sz w:val="17"/>
                <w:szCs w:val="17"/>
                <w:color w:val="auto"/>
              </w:rPr>
            </w:pPr>
          </w:p>
        </w:tc>
        <w:tc>
          <w:tcPr>
            <w:tcW w:w="66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6600" w:type="dxa"/>
            <w:vAlign w:val="bottom"/>
            <w:gridSpan w:val="2"/>
          </w:tcPr>
          <w:p>
            <w:pPr>
              <w:ind w:left="540"/>
              <w:spacing w:after="0"/>
              <w:rPr>
                <w:sz w:val="20"/>
                <w:szCs w:val="20"/>
                <w:color w:val="auto"/>
              </w:rPr>
            </w:pPr>
            <w:r>
              <w:rPr>
                <w:rFonts w:ascii="Arial" w:cs="Arial" w:eastAsia="Arial" w:hAnsi="Arial"/>
                <w:sz w:val="16"/>
                <w:szCs w:val="16"/>
                <w:color w:val="auto"/>
              </w:rPr>
              <w:t>Accounts receivable</w:t>
            </w:r>
          </w:p>
        </w:tc>
        <w:tc>
          <w:tcPr>
            <w:tcW w:w="120" w:type="dxa"/>
            <w:vAlign w:val="bottom"/>
          </w:tcPr>
          <w:p>
            <w:pPr>
              <w:spacing w:after="0"/>
              <w:rPr>
                <w:sz w:val="17"/>
                <w:szCs w:val="17"/>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588,779</w:t>
            </w:r>
          </w:p>
        </w:tc>
        <w:tc>
          <w:tcPr>
            <w:tcW w:w="880" w:type="dxa"/>
            <w:vAlign w:val="bottom"/>
          </w:tcPr>
          <w:p>
            <w:pPr>
              <w:jc w:val="right"/>
              <w:spacing w:after="0"/>
              <w:rPr>
                <w:sz w:val="20"/>
                <w:szCs w:val="20"/>
                <w:color w:val="auto"/>
              </w:rPr>
            </w:pPr>
            <w:r>
              <w:rPr>
                <w:rFonts w:ascii="Arial" w:cs="Arial" w:eastAsia="Arial" w:hAnsi="Arial"/>
                <w:sz w:val="16"/>
                <w:szCs w:val="16"/>
                <w:color w:val="auto"/>
              </w:rPr>
              <w:t>1,035,153</w:t>
            </w:r>
          </w:p>
        </w:tc>
        <w:tc>
          <w:tcPr>
            <w:tcW w:w="10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660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Unbilled receivables</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(108,395)</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(37,578)</w:t>
            </w:r>
          </w:p>
        </w:tc>
      </w:tr>
      <w:tr>
        <w:trPr>
          <w:trHeight w:val="196"/>
        </w:trPr>
        <w:tc>
          <w:tcPr>
            <w:tcW w:w="300" w:type="dxa"/>
            <w:vAlign w:val="bottom"/>
          </w:tcPr>
          <w:p>
            <w:pPr>
              <w:spacing w:after="0"/>
              <w:rPr>
                <w:sz w:val="17"/>
                <w:szCs w:val="17"/>
                <w:color w:val="auto"/>
              </w:rPr>
            </w:pPr>
          </w:p>
        </w:tc>
        <w:tc>
          <w:tcPr>
            <w:tcW w:w="6600" w:type="dxa"/>
            <w:vAlign w:val="bottom"/>
            <w:gridSpan w:val="2"/>
          </w:tcPr>
          <w:p>
            <w:pPr>
              <w:ind w:left="540"/>
              <w:spacing w:after="0"/>
              <w:rPr>
                <w:sz w:val="20"/>
                <w:szCs w:val="20"/>
                <w:color w:val="auto"/>
              </w:rPr>
            </w:pPr>
            <w:r>
              <w:rPr>
                <w:rFonts w:ascii="Arial" w:cs="Arial" w:eastAsia="Arial" w:hAnsi="Arial"/>
                <w:sz w:val="16"/>
                <w:szCs w:val="16"/>
                <w:color w:val="auto"/>
              </w:rPr>
              <w:t>Other current assets</w:t>
            </w:r>
          </w:p>
        </w:tc>
        <w:tc>
          <w:tcPr>
            <w:tcW w:w="12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(75,511)</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291,575</w:t>
            </w:r>
          </w:p>
        </w:tc>
      </w:tr>
      <w:tr>
        <w:trPr>
          <w:trHeight w:val="196"/>
        </w:trPr>
        <w:tc>
          <w:tcPr>
            <w:tcW w:w="300" w:type="dxa"/>
            <w:vAlign w:val="bottom"/>
          </w:tcPr>
          <w:p>
            <w:pPr>
              <w:spacing w:after="0"/>
              <w:rPr>
                <w:sz w:val="17"/>
                <w:szCs w:val="17"/>
                <w:color w:val="auto"/>
              </w:rPr>
            </w:pPr>
          </w:p>
        </w:tc>
        <w:tc>
          <w:tcPr>
            <w:tcW w:w="660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Other noncurrent assets</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67,360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730,413</w:t>
            </w:r>
          </w:p>
        </w:tc>
      </w:tr>
      <w:tr>
        <w:trPr>
          <w:trHeight w:val="196"/>
        </w:trPr>
        <w:tc>
          <w:tcPr>
            <w:tcW w:w="300" w:type="dxa"/>
            <w:vAlign w:val="bottom"/>
          </w:tcPr>
          <w:p>
            <w:pPr>
              <w:spacing w:after="0"/>
              <w:rPr>
                <w:sz w:val="17"/>
                <w:szCs w:val="17"/>
                <w:color w:val="auto"/>
              </w:rPr>
            </w:pPr>
          </w:p>
        </w:tc>
        <w:tc>
          <w:tcPr>
            <w:tcW w:w="6600" w:type="dxa"/>
            <w:vAlign w:val="bottom"/>
            <w:gridSpan w:val="2"/>
          </w:tcPr>
          <w:p>
            <w:pPr>
              <w:ind w:left="540"/>
              <w:spacing w:after="0"/>
              <w:rPr>
                <w:sz w:val="20"/>
                <w:szCs w:val="20"/>
                <w:color w:val="auto"/>
              </w:rPr>
            </w:pPr>
            <w:r>
              <w:rPr>
                <w:rFonts w:ascii="Arial" w:cs="Arial" w:eastAsia="Arial" w:hAnsi="Arial"/>
                <w:sz w:val="16"/>
                <w:szCs w:val="16"/>
                <w:color w:val="auto"/>
              </w:rPr>
              <w:t>Accounts payable</w:t>
            </w:r>
          </w:p>
        </w:tc>
        <w:tc>
          <w:tcPr>
            <w:tcW w:w="12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(605,704)</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(859,251)</w:t>
            </w:r>
          </w:p>
        </w:tc>
      </w:tr>
      <w:tr>
        <w:trPr>
          <w:trHeight w:val="196"/>
        </w:trPr>
        <w:tc>
          <w:tcPr>
            <w:tcW w:w="300" w:type="dxa"/>
            <w:vAlign w:val="bottom"/>
          </w:tcPr>
          <w:p>
            <w:pPr>
              <w:spacing w:after="0"/>
              <w:rPr>
                <w:sz w:val="17"/>
                <w:szCs w:val="17"/>
                <w:color w:val="auto"/>
              </w:rPr>
            </w:pPr>
          </w:p>
        </w:tc>
        <w:tc>
          <w:tcPr>
            <w:tcW w:w="660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Accrued expenses</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(583,477)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67,957</w:t>
            </w:r>
          </w:p>
        </w:tc>
      </w:tr>
      <w:tr>
        <w:trPr>
          <w:trHeight w:val="196"/>
        </w:trPr>
        <w:tc>
          <w:tcPr>
            <w:tcW w:w="300" w:type="dxa"/>
            <w:vAlign w:val="bottom"/>
          </w:tcPr>
          <w:p>
            <w:pPr>
              <w:spacing w:after="0"/>
              <w:rPr>
                <w:sz w:val="17"/>
                <w:szCs w:val="17"/>
                <w:color w:val="auto"/>
              </w:rPr>
            </w:pPr>
          </w:p>
        </w:tc>
        <w:tc>
          <w:tcPr>
            <w:tcW w:w="6600" w:type="dxa"/>
            <w:vAlign w:val="bottom"/>
            <w:gridSpan w:val="2"/>
          </w:tcPr>
          <w:p>
            <w:pPr>
              <w:ind w:left="540"/>
              <w:spacing w:after="0"/>
              <w:rPr>
                <w:sz w:val="20"/>
                <w:szCs w:val="20"/>
                <w:color w:val="auto"/>
              </w:rPr>
            </w:pPr>
            <w:r>
              <w:rPr>
                <w:rFonts w:ascii="Arial" w:cs="Arial" w:eastAsia="Arial" w:hAnsi="Arial"/>
                <w:sz w:val="16"/>
                <w:szCs w:val="16"/>
                <w:color w:val="auto"/>
              </w:rPr>
              <w:t>Unearned revenues</w:t>
            </w:r>
          </w:p>
        </w:tc>
        <w:tc>
          <w:tcPr>
            <w:tcW w:w="120" w:type="dxa"/>
            <w:vAlign w:val="bottom"/>
          </w:tcPr>
          <w:p>
            <w:pPr>
              <w:spacing w:after="0"/>
              <w:rPr>
                <w:sz w:val="17"/>
                <w:szCs w:val="17"/>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801,253</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103,096</w:t>
            </w:r>
          </w:p>
        </w:tc>
      </w:tr>
      <w:tr>
        <w:trPr>
          <w:trHeight w:val="196"/>
        </w:trPr>
        <w:tc>
          <w:tcPr>
            <w:tcW w:w="300" w:type="dxa"/>
            <w:vAlign w:val="bottom"/>
          </w:tcPr>
          <w:p>
            <w:pPr>
              <w:spacing w:after="0"/>
              <w:rPr>
                <w:sz w:val="17"/>
                <w:szCs w:val="17"/>
                <w:color w:val="auto"/>
              </w:rPr>
            </w:pPr>
          </w:p>
        </w:tc>
        <w:tc>
          <w:tcPr>
            <w:tcW w:w="660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Other noncurrent liabilities</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(141,101)</w:t>
            </w:r>
          </w:p>
        </w:tc>
      </w:tr>
      <w:tr>
        <w:trPr>
          <w:trHeight w:val="206"/>
        </w:trPr>
        <w:tc>
          <w:tcPr>
            <w:tcW w:w="300" w:type="dxa"/>
            <w:vAlign w:val="bottom"/>
          </w:tcPr>
          <w:p>
            <w:pPr>
              <w:spacing w:after="0"/>
              <w:rPr>
                <w:sz w:val="17"/>
                <w:szCs w:val="17"/>
                <w:color w:val="auto"/>
              </w:rPr>
            </w:pPr>
          </w:p>
        </w:tc>
        <w:tc>
          <w:tcPr>
            <w:tcW w:w="6600" w:type="dxa"/>
            <w:vAlign w:val="bottom"/>
            <w:gridSpan w:val="2"/>
          </w:tcPr>
          <w:p>
            <w:pPr>
              <w:ind w:left="720"/>
              <w:spacing w:after="0"/>
              <w:rPr>
                <w:sz w:val="20"/>
                <w:szCs w:val="20"/>
                <w:color w:val="auto"/>
              </w:rPr>
            </w:pPr>
            <w:r>
              <w:rPr>
                <w:rFonts w:ascii="Arial" w:cs="Arial" w:eastAsia="Arial" w:hAnsi="Arial"/>
                <w:sz w:val="16"/>
                <w:szCs w:val="16"/>
                <w:color w:val="auto"/>
              </w:rPr>
              <w:t>Net cash used in operating activities</w:t>
            </w:r>
          </w:p>
        </w:tc>
        <w:tc>
          <w:tcPr>
            <w:tcW w:w="1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2"/>
              </w:rPr>
              <w:t>(7,889,184)</w:t>
            </w:r>
          </w:p>
        </w:tc>
        <w:tc>
          <w:tcPr>
            <w:tcW w:w="36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(9,397,523)</w:t>
            </w:r>
          </w:p>
        </w:tc>
        <w:tc>
          <w:tcPr>
            <w:tcW w:w="10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6600" w:type="dxa"/>
            <w:vAlign w:val="bottom"/>
            <w:gridSpan w:val="2"/>
          </w:tcPr>
          <w:p>
            <w:pPr>
              <w:ind w:left="180"/>
              <w:spacing w:after="0"/>
              <w:rPr>
                <w:sz w:val="20"/>
                <w:szCs w:val="20"/>
                <w:color w:val="auto"/>
              </w:rPr>
            </w:pPr>
            <w:r>
              <w:rPr>
                <w:rFonts w:ascii="Arial" w:cs="Arial" w:eastAsia="Arial" w:hAnsi="Arial"/>
                <w:sz w:val="16"/>
                <w:szCs w:val="16"/>
                <w:color w:val="auto"/>
              </w:rPr>
              <w:t>Purchases of marketable securities</w:t>
            </w:r>
          </w:p>
        </w:tc>
        <w:tc>
          <w:tcPr>
            <w:tcW w:w="12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(860,380)</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(6,775,252)</w:t>
            </w:r>
          </w:p>
        </w:tc>
      </w:tr>
      <w:tr>
        <w:trPr>
          <w:trHeight w:val="196"/>
        </w:trPr>
        <w:tc>
          <w:tcPr>
            <w:tcW w:w="300" w:type="dxa"/>
            <w:vAlign w:val="bottom"/>
          </w:tcPr>
          <w:p>
            <w:pPr>
              <w:spacing w:after="0"/>
              <w:rPr>
                <w:sz w:val="17"/>
                <w:szCs w:val="17"/>
                <w:color w:val="auto"/>
              </w:rPr>
            </w:pPr>
          </w:p>
        </w:tc>
        <w:tc>
          <w:tcPr>
            <w:tcW w:w="66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Maturities of marketable securities</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w w:val="94"/>
              </w:rPr>
              <w:t>10,580,936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22,504,766</w:t>
            </w:r>
          </w:p>
        </w:tc>
      </w:tr>
      <w:tr>
        <w:trPr>
          <w:trHeight w:val="196"/>
        </w:trPr>
        <w:tc>
          <w:tcPr>
            <w:tcW w:w="300" w:type="dxa"/>
            <w:vAlign w:val="bottom"/>
          </w:tcPr>
          <w:p>
            <w:pPr>
              <w:spacing w:after="0"/>
              <w:rPr>
                <w:sz w:val="17"/>
                <w:szCs w:val="17"/>
                <w:color w:val="auto"/>
              </w:rPr>
            </w:pPr>
          </w:p>
        </w:tc>
        <w:tc>
          <w:tcPr>
            <w:tcW w:w="6600" w:type="dxa"/>
            <w:vAlign w:val="bottom"/>
            <w:gridSpan w:val="2"/>
          </w:tcPr>
          <w:p>
            <w:pPr>
              <w:ind w:left="180"/>
              <w:spacing w:after="0"/>
              <w:rPr>
                <w:sz w:val="20"/>
                <w:szCs w:val="20"/>
                <w:color w:val="auto"/>
              </w:rPr>
            </w:pPr>
            <w:r>
              <w:rPr>
                <w:rFonts w:ascii="Arial" w:cs="Arial" w:eastAsia="Arial" w:hAnsi="Arial"/>
                <w:sz w:val="16"/>
                <w:szCs w:val="16"/>
                <w:color w:val="auto"/>
              </w:rPr>
              <w:t>Restricted cash</w:t>
            </w:r>
          </w:p>
        </w:tc>
        <w:tc>
          <w:tcPr>
            <w:tcW w:w="120" w:type="dxa"/>
            <w:vAlign w:val="bottom"/>
          </w:tcPr>
          <w:p>
            <w:pPr>
              <w:spacing w:after="0"/>
              <w:rPr>
                <w:sz w:val="17"/>
                <w:szCs w:val="17"/>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54,470</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(250,000)</w:t>
            </w:r>
          </w:p>
        </w:tc>
      </w:tr>
      <w:tr>
        <w:trPr>
          <w:trHeight w:val="196"/>
        </w:trPr>
        <w:tc>
          <w:tcPr>
            <w:tcW w:w="300" w:type="dxa"/>
            <w:vAlign w:val="bottom"/>
          </w:tcPr>
          <w:p>
            <w:pPr>
              <w:spacing w:after="0"/>
              <w:rPr>
                <w:sz w:val="17"/>
                <w:szCs w:val="17"/>
                <w:color w:val="auto"/>
              </w:rPr>
            </w:pPr>
          </w:p>
        </w:tc>
        <w:tc>
          <w:tcPr>
            <w:tcW w:w="66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Purchases of equipment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(127,975)</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(41,743)</w:t>
            </w:r>
          </w:p>
        </w:tc>
      </w:tr>
      <w:tr>
        <w:trPr>
          <w:trHeight w:val="196"/>
        </w:trPr>
        <w:tc>
          <w:tcPr>
            <w:tcW w:w="300" w:type="dxa"/>
            <w:vAlign w:val="bottom"/>
          </w:tcPr>
          <w:p>
            <w:pPr>
              <w:spacing w:after="0"/>
              <w:rPr>
                <w:sz w:val="17"/>
                <w:szCs w:val="17"/>
                <w:color w:val="auto"/>
              </w:rPr>
            </w:pPr>
          </w:p>
        </w:tc>
        <w:tc>
          <w:tcPr>
            <w:tcW w:w="6600" w:type="dxa"/>
            <w:vAlign w:val="bottom"/>
            <w:gridSpan w:val="2"/>
          </w:tcPr>
          <w:p>
            <w:pPr>
              <w:ind w:left="180"/>
              <w:spacing w:after="0"/>
              <w:rPr>
                <w:sz w:val="20"/>
                <w:szCs w:val="20"/>
                <w:color w:val="auto"/>
              </w:rPr>
            </w:pPr>
            <w:r>
              <w:rPr>
                <w:rFonts w:ascii="Arial" w:cs="Arial" w:eastAsia="Arial" w:hAnsi="Arial"/>
                <w:sz w:val="16"/>
                <w:szCs w:val="16"/>
                <w:color w:val="auto"/>
              </w:rPr>
              <w:t>Payments of patent costs</w:t>
            </w:r>
          </w:p>
        </w:tc>
        <w:tc>
          <w:tcPr>
            <w:tcW w:w="12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(96,039)</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(113,538)</w:t>
            </w:r>
          </w:p>
        </w:tc>
      </w:tr>
      <w:tr>
        <w:trPr>
          <w:trHeight w:val="25"/>
        </w:trPr>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300" w:type="dxa"/>
            <w:vAlign w:val="bottom"/>
          </w:tcPr>
          <w:p>
            <w:pPr>
              <w:spacing w:after="0"/>
              <w:rPr>
                <w:sz w:val="17"/>
                <w:szCs w:val="17"/>
                <w:color w:val="auto"/>
              </w:rPr>
            </w:pPr>
          </w:p>
        </w:tc>
        <w:tc>
          <w:tcPr>
            <w:tcW w:w="660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Net cash provided by investing activities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9,551,012</w:t>
            </w:r>
          </w:p>
        </w:tc>
        <w:tc>
          <w:tcPr>
            <w:tcW w:w="3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15,324,233</w:t>
            </w:r>
          </w:p>
        </w:tc>
      </w:tr>
      <w:tr>
        <w:trPr>
          <w:trHeight w:val="396"/>
        </w:trPr>
        <w:tc>
          <w:tcPr>
            <w:tcW w:w="300" w:type="dxa"/>
            <w:vAlign w:val="bottom"/>
          </w:tcPr>
          <w:p>
            <w:pPr>
              <w:spacing w:after="0"/>
              <w:rPr>
                <w:sz w:val="24"/>
                <w:szCs w:val="24"/>
                <w:color w:val="auto"/>
              </w:rPr>
            </w:pPr>
          </w:p>
        </w:tc>
        <w:tc>
          <w:tcPr>
            <w:tcW w:w="6600" w:type="dxa"/>
            <w:vAlign w:val="bottom"/>
            <w:gridSpan w:val="2"/>
          </w:tcPr>
          <w:p>
            <w:pPr>
              <w:spacing w:after="0"/>
              <w:rPr>
                <w:sz w:val="20"/>
                <w:szCs w:val="20"/>
                <w:color w:val="auto"/>
              </w:rPr>
            </w:pPr>
            <w:r>
              <w:rPr>
                <w:rFonts w:ascii="Arial" w:cs="Arial" w:eastAsia="Arial" w:hAnsi="Arial"/>
                <w:sz w:val="16"/>
                <w:szCs w:val="16"/>
                <w:color w:val="auto"/>
              </w:rPr>
              <w:t>Cash flows from financing activities:</w:t>
            </w: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66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Proceeds from long-term debt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250,000</w:t>
            </w:r>
          </w:p>
        </w:tc>
      </w:tr>
      <w:tr>
        <w:trPr>
          <w:trHeight w:val="196"/>
        </w:trPr>
        <w:tc>
          <w:tcPr>
            <w:tcW w:w="300" w:type="dxa"/>
            <w:vAlign w:val="bottom"/>
          </w:tcPr>
          <w:p>
            <w:pPr>
              <w:spacing w:after="0"/>
              <w:rPr>
                <w:sz w:val="17"/>
                <w:szCs w:val="17"/>
                <w:color w:val="auto"/>
              </w:rPr>
            </w:pPr>
          </w:p>
        </w:tc>
        <w:tc>
          <w:tcPr>
            <w:tcW w:w="6600" w:type="dxa"/>
            <w:vAlign w:val="bottom"/>
            <w:gridSpan w:val="2"/>
          </w:tcPr>
          <w:p>
            <w:pPr>
              <w:ind w:left="180"/>
              <w:spacing w:after="0"/>
              <w:rPr>
                <w:sz w:val="20"/>
                <w:szCs w:val="20"/>
                <w:color w:val="auto"/>
              </w:rPr>
            </w:pPr>
            <w:r>
              <w:rPr>
                <w:rFonts w:ascii="Arial" w:cs="Arial" w:eastAsia="Arial" w:hAnsi="Arial"/>
                <w:sz w:val="16"/>
                <w:szCs w:val="16"/>
                <w:color w:val="auto"/>
              </w:rPr>
              <w:t>Repayment of debt</w:t>
            </w:r>
          </w:p>
        </w:tc>
        <w:tc>
          <w:tcPr>
            <w:tcW w:w="12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(89,378)</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(6,008)</w:t>
            </w:r>
          </w:p>
        </w:tc>
      </w:tr>
      <w:tr>
        <w:trPr>
          <w:trHeight w:val="196"/>
        </w:trPr>
        <w:tc>
          <w:tcPr>
            <w:tcW w:w="300" w:type="dxa"/>
            <w:vAlign w:val="bottom"/>
          </w:tcPr>
          <w:p>
            <w:pPr>
              <w:spacing w:after="0"/>
              <w:rPr>
                <w:sz w:val="17"/>
                <w:szCs w:val="17"/>
                <w:color w:val="auto"/>
              </w:rPr>
            </w:pPr>
          </w:p>
        </w:tc>
        <w:tc>
          <w:tcPr>
            <w:tcW w:w="66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Acquisition of treasury stock</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(38,867)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6"/>
        </w:trPr>
        <w:tc>
          <w:tcPr>
            <w:tcW w:w="300" w:type="dxa"/>
            <w:vAlign w:val="bottom"/>
          </w:tcPr>
          <w:p>
            <w:pPr>
              <w:spacing w:after="0"/>
              <w:rPr>
                <w:sz w:val="17"/>
                <w:szCs w:val="17"/>
                <w:color w:val="auto"/>
              </w:rPr>
            </w:pPr>
          </w:p>
        </w:tc>
        <w:tc>
          <w:tcPr>
            <w:tcW w:w="6600" w:type="dxa"/>
            <w:vAlign w:val="bottom"/>
            <w:gridSpan w:val="2"/>
          </w:tcPr>
          <w:p>
            <w:pPr>
              <w:ind w:left="720"/>
              <w:spacing w:after="0"/>
              <w:rPr>
                <w:sz w:val="20"/>
                <w:szCs w:val="20"/>
                <w:color w:val="auto"/>
              </w:rPr>
            </w:pPr>
            <w:r>
              <w:rPr>
                <w:rFonts w:ascii="Arial" w:cs="Arial" w:eastAsia="Arial" w:hAnsi="Arial"/>
                <w:sz w:val="16"/>
                <w:szCs w:val="16"/>
                <w:color w:val="auto"/>
              </w:rPr>
              <w:t>Net cash (used in) provided by financing activities</w:t>
            </w:r>
          </w:p>
        </w:tc>
        <w:tc>
          <w:tcPr>
            <w:tcW w:w="1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(128,245)</w:t>
            </w:r>
          </w:p>
        </w:tc>
        <w:tc>
          <w:tcPr>
            <w:tcW w:w="36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243,992</w:t>
            </w:r>
          </w:p>
        </w:tc>
        <w:tc>
          <w:tcPr>
            <w:tcW w:w="10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(153,281)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90,364</w:t>
            </w:r>
          </w:p>
        </w:tc>
      </w:tr>
      <w:tr>
        <w:trPr>
          <w:trHeight w:val="396"/>
        </w:trPr>
        <w:tc>
          <w:tcPr>
            <w:tcW w:w="300" w:type="dxa"/>
            <w:vAlign w:val="bottom"/>
          </w:tcPr>
          <w:p>
            <w:pPr>
              <w:spacing w:after="0"/>
              <w:rPr>
                <w:sz w:val="24"/>
                <w:szCs w:val="24"/>
                <w:color w:val="auto"/>
              </w:rPr>
            </w:pPr>
          </w:p>
        </w:tc>
        <w:tc>
          <w:tcPr>
            <w:tcW w:w="6600" w:type="dxa"/>
            <w:vAlign w:val="bottom"/>
            <w:gridSpan w:val="2"/>
          </w:tcPr>
          <w:p>
            <w:pPr>
              <w:ind w:left="720"/>
              <w:spacing w:after="0"/>
              <w:rPr>
                <w:sz w:val="20"/>
                <w:szCs w:val="20"/>
                <w:color w:val="auto"/>
              </w:rPr>
            </w:pPr>
            <w:r>
              <w:rPr>
                <w:rFonts w:ascii="Arial" w:cs="Arial" w:eastAsia="Arial" w:hAnsi="Arial"/>
                <w:sz w:val="16"/>
                <w:szCs w:val="16"/>
                <w:color w:val="auto"/>
              </w:rPr>
              <w:t>Net increase in cash and cash equivalents</w:t>
            </w: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1,380,302</w:t>
            </w:r>
          </w:p>
        </w:tc>
        <w:tc>
          <w:tcPr>
            <w:tcW w:w="360" w:type="dxa"/>
            <w:vAlign w:val="bottom"/>
          </w:tcPr>
          <w:p>
            <w:pPr>
              <w:spacing w:after="0"/>
              <w:rPr>
                <w:sz w:val="24"/>
                <w:szCs w:val="2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6,261,066</w:t>
            </w:r>
          </w:p>
        </w:tc>
        <w:tc>
          <w:tcPr>
            <w:tcW w:w="100" w:type="dxa"/>
            <w:vAlign w:val="bottom"/>
          </w:tcPr>
          <w:p>
            <w:pPr>
              <w:spacing w:after="0"/>
              <w:rPr>
                <w:sz w:val="24"/>
                <w:szCs w:val="24"/>
                <w:color w:val="auto"/>
              </w:rPr>
            </w:pPr>
          </w:p>
        </w:tc>
      </w:tr>
      <w:tr>
        <w:trPr>
          <w:trHeight w:val="198"/>
        </w:trPr>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 beginning of period</w:t>
            </w: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4,376,136</w:t>
            </w:r>
          </w:p>
        </w:tc>
        <w:tc>
          <w:tcPr>
            <w:tcW w:w="36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4,236,597</w:t>
            </w:r>
          </w:p>
        </w:tc>
        <w:tc>
          <w:tcPr>
            <w:tcW w:w="100" w:type="dxa"/>
            <w:vAlign w:val="bottom"/>
            <w:shd w:val="clear" w:color="auto" w:fill="CCEEFF"/>
          </w:tcPr>
          <w:p>
            <w:pPr>
              <w:spacing w:after="0"/>
              <w:rPr>
                <w:sz w:val="17"/>
                <w:szCs w:val="17"/>
                <w:color w:val="auto"/>
              </w:rPr>
            </w:pPr>
          </w:p>
        </w:tc>
      </w:tr>
      <w:tr>
        <w:trPr>
          <w:trHeight w:val="397"/>
        </w:trPr>
        <w:tc>
          <w:tcPr>
            <w:tcW w:w="300" w:type="dxa"/>
            <w:vAlign w:val="bottom"/>
          </w:tcPr>
          <w:p>
            <w:pPr>
              <w:spacing w:after="0"/>
              <w:rPr>
                <w:sz w:val="24"/>
                <w:szCs w:val="24"/>
                <w:color w:val="auto"/>
              </w:rPr>
            </w:pPr>
          </w:p>
        </w:tc>
        <w:tc>
          <w:tcPr>
            <w:tcW w:w="6600" w:type="dxa"/>
            <w:vAlign w:val="bottom"/>
            <w:gridSpan w:val="2"/>
          </w:tcPr>
          <w:p>
            <w:pPr>
              <w:spacing w:after="0"/>
              <w:rPr>
                <w:sz w:val="20"/>
                <w:szCs w:val="20"/>
                <w:color w:val="auto"/>
              </w:rPr>
            </w:pPr>
            <w:r>
              <w:rPr>
                <w:rFonts w:ascii="Arial" w:cs="Arial" w:eastAsia="Arial" w:hAnsi="Arial"/>
                <w:sz w:val="16"/>
                <w:szCs w:val="16"/>
                <w:color w:val="auto"/>
              </w:rPr>
              <w:t>Cash and cash equivalents, end of period</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5,756,438</w:t>
            </w:r>
          </w:p>
        </w:tc>
        <w:tc>
          <w:tcPr>
            <w:tcW w:w="36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10,497,663</w:t>
            </w:r>
          </w:p>
        </w:tc>
      </w:tr>
      <w:tr>
        <w:trPr>
          <w:trHeight w:val="20"/>
        </w:trPr>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6"/>
        </w:trPr>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300" w:type="dxa"/>
            <w:vAlign w:val="bottom"/>
          </w:tcPr>
          <w:p>
            <w:pPr>
              <w:spacing w:after="0"/>
              <w:rPr>
                <w:sz w:val="17"/>
                <w:szCs w:val="17"/>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Supplemental disclosure of noncash investing and financing activities: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6600" w:type="dxa"/>
            <w:vAlign w:val="bottom"/>
            <w:gridSpan w:val="2"/>
          </w:tcPr>
          <w:p>
            <w:pPr>
              <w:ind w:left="180"/>
              <w:spacing w:after="0"/>
              <w:rPr>
                <w:sz w:val="20"/>
                <w:szCs w:val="20"/>
                <w:color w:val="auto"/>
              </w:rPr>
            </w:pPr>
            <w:r>
              <w:rPr>
                <w:rFonts w:ascii="Arial" w:cs="Arial" w:eastAsia="Arial" w:hAnsi="Arial"/>
                <w:sz w:val="16"/>
                <w:szCs w:val="16"/>
                <w:color w:val="auto"/>
              </w:rPr>
              <w:t>Capitalized patent costs financed through accounts payable and accrued expenses</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47,694</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16,431</w:t>
            </w:r>
          </w:p>
        </w:tc>
      </w:tr>
      <w:tr>
        <w:trPr>
          <w:trHeight w:val="196"/>
        </w:trPr>
        <w:tc>
          <w:tcPr>
            <w:tcW w:w="300" w:type="dxa"/>
            <w:vAlign w:val="bottom"/>
          </w:tcPr>
          <w:p>
            <w:pPr>
              <w:spacing w:after="0"/>
              <w:rPr>
                <w:sz w:val="17"/>
                <w:szCs w:val="17"/>
                <w:color w:val="auto"/>
              </w:rPr>
            </w:pPr>
          </w:p>
        </w:tc>
        <w:tc>
          <w:tcPr>
            <w:tcW w:w="66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5"/>
              </w:rPr>
              <w:t>Capitalized purchases of equipment financed through accounts payable and accrued expenses</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38,461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5,715</w:t>
            </w:r>
          </w:p>
        </w:tc>
      </w:tr>
    </w:tbl>
    <w:p>
      <w:pPr>
        <w:spacing w:after="0" w:line="14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See accompanying notes to consolidated financial statements (unaudited).</w:t>
      </w:r>
    </w:p>
    <w:p>
      <w:pPr>
        <w:spacing w:after="0" w:line="200" w:lineRule="exact"/>
        <w:rPr>
          <w:sz w:val="20"/>
          <w:szCs w:val="20"/>
          <w:color w:val="auto"/>
        </w:rPr>
      </w:pPr>
    </w:p>
    <w:p>
      <w:pPr>
        <w:spacing w:after="0" w:line="340"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263765"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0219"/>
          </w:cols>
          <w:pgMar w:left="240" w:top="385"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4"/>
        </w:trPr>
        <w:tc>
          <w:tcPr>
            <w:tcW w:w="1600" w:type="dxa"/>
            <w:vAlign w:val="bottom"/>
            <w:gridSpan w:val="3"/>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Table of Contents</w:t>
              </w:r>
            </w:hyperlink>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gridSpan w:val="8"/>
          </w:tcPr>
          <w:p>
            <w:pPr>
              <w:jc w:val="center"/>
              <w:ind w:right="320"/>
              <w:spacing w:after="0"/>
              <w:rPr>
                <w:sz w:val="20"/>
                <w:szCs w:val="20"/>
                <w:color w:val="auto"/>
              </w:rPr>
            </w:pPr>
            <w:r>
              <w:rPr>
                <w:rFonts w:ascii="Arial" w:cs="Arial" w:eastAsia="Arial" w:hAnsi="Arial"/>
                <w:sz w:val="16"/>
                <w:szCs w:val="16"/>
                <w:b w:val="1"/>
                <w:bCs w:val="1"/>
                <w:color w:val="auto"/>
                <w:w w:val="90"/>
              </w:rPr>
              <w:t>Ocean Power Technologies, Inc. and Subsidiaries</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60" w:type="dxa"/>
            <w:vAlign w:val="bottom"/>
            <w:gridSpan w:val="10"/>
          </w:tcPr>
          <w:p>
            <w:pPr>
              <w:jc w:val="center"/>
              <w:ind w:right="180"/>
              <w:spacing w:after="0"/>
              <w:rPr>
                <w:sz w:val="20"/>
                <w:szCs w:val="20"/>
                <w:color w:val="auto"/>
              </w:rPr>
            </w:pPr>
            <w:r>
              <w:rPr>
                <w:rFonts w:ascii="Arial" w:cs="Arial" w:eastAsia="Arial" w:hAnsi="Arial"/>
                <w:sz w:val="16"/>
                <w:szCs w:val="16"/>
                <w:b w:val="1"/>
                <w:bCs w:val="1"/>
                <w:color w:val="auto"/>
                <w:w w:val="91"/>
              </w:rPr>
              <w:t>Consolidated Statements of Stockholders’ Equity and</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4"/>
          </w:tcPr>
          <w:p>
            <w:pPr>
              <w:jc w:val="center"/>
              <w:ind w:left="178"/>
              <w:spacing w:after="0"/>
              <w:rPr>
                <w:sz w:val="20"/>
                <w:szCs w:val="20"/>
                <w:color w:val="auto"/>
              </w:rPr>
            </w:pPr>
            <w:r>
              <w:rPr>
                <w:rFonts w:ascii="Arial" w:cs="Arial" w:eastAsia="Arial" w:hAnsi="Arial"/>
                <w:sz w:val="16"/>
                <w:szCs w:val="16"/>
                <w:b w:val="1"/>
                <w:bCs w:val="1"/>
                <w:color w:val="auto"/>
                <w:w w:val="88"/>
              </w:rPr>
              <w:t>Comprehensive Loss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4"/>
          </w:tcPr>
          <w:p>
            <w:pPr>
              <w:jc w:val="center"/>
              <w:ind w:left="178"/>
              <w:spacing w:after="0"/>
              <w:rPr>
                <w:sz w:val="20"/>
                <w:szCs w:val="20"/>
                <w:color w:val="auto"/>
              </w:rPr>
            </w:pPr>
            <w:r>
              <w:rPr>
                <w:rFonts w:ascii="Arial" w:cs="Arial" w:eastAsia="Arial" w:hAnsi="Arial"/>
                <w:sz w:val="16"/>
                <w:szCs w:val="16"/>
                <w:b w:val="1"/>
                <w:bCs w:val="1"/>
                <w:color w:val="auto"/>
                <w:w w:val="94"/>
              </w:rPr>
              <w:t>(Unaudited)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Accumulated</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gridSpan w:val="5"/>
            <w:vMerge w:val="restart"/>
          </w:tcPr>
          <w:p>
            <w:pPr>
              <w:ind w:left="160"/>
              <w:spacing w:after="0"/>
              <w:rPr>
                <w:sz w:val="20"/>
                <w:szCs w:val="20"/>
                <w:color w:val="auto"/>
              </w:rPr>
            </w:pPr>
            <w:r>
              <w:rPr>
                <w:rFonts w:ascii="Arial" w:cs="Arial" w:eastAsia="Arial" w:hAnsi="Arial"/>
                <w:sz w:val="16"/>
                <w:szCs w:val="16"/>
                <w:b w:val="1"/>
                <w:bCs w:val="1"/>
                <w:color w:val="auto"/>
              </w:rPr>
              <w:t>Common Shares</w:t>
            </w:r>
          </w:p>
        </w:tc>
        <w:tc>
          <w:tcPr>
            <w:tcW w:w="1380" w:type="dxa"/>
            <w:vAlign w:val="bottom"/>
            <w:gridSpan w:val="6"/>
            <w:vMerge w:val="restart"/>
          </w:tcPr>
          <w:p>
            <w:pPr>
              <w:jc w:val="right"/>
              <w:ind w:right="180"/>
              <w:spacing w:after="0"/>
              <w:rPr>
                <w:sz w:val="20"/>
                <w:szCs w:val="20"/>
                <w:color w:val="auto"/>
              </w:rPr>
            </w:pPr>
            <w:r>
              <w:rPr>
                <w:rFonts w:ascii="Arial" w:cs="Arial" w:eastAsia="Arial" w:hAnsi="Arial"/>
                <w:sz w:val="16"/>
                <w:szCs w:val="16"/>
                <w:b w:val="1"/>
                <w:bCs w:val="1"/>
                <w:color w:val="auto"/>
                <w:w w:val="94"/>
              </w:rPr>
              <w:t>Treasury Shares</w:t>
            </w:r>
          </w:p>
        </w:tc>
        <w:tc>
          <w:tcPr>
            <w:tcW w:w="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Additional</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Other</w:t>
            </w:r>
          </w:p>
        </w:tc>
        <w:tc>
          <w:tcPr>
            <w:tcW w:w="15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1"/>
              </w:rPr>
              <w:t>Total Ocean Power</w:t>
            </w: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gridSpan w:val="5"/>
            <w:vMerge w:val="continue"/>
          </w:tcPr>
          <w:p>
            <w:pPr>
              <w:spacing w:after="0"/>
              <w:rPr>
                <w:sz w:val="17"/>
                <w:szCs w:val="17"/>
                <w:color w:val="auto"/>
              </w:rPr>
            </w:pPr>
          </w:p>
        </w:tc>
        <w:tc>
          <w:tcPr>
            <w:tcW w:w="1380" w:type="dxa"/>
            <w:vAlign w:val="bottom"/>
            <w:gridSpan w:val="6"/>
            <w:vMerge w:val="continue"/>
          </w:tcPr>
          <w:p>
            <w:pPr>
              <w:spacing w:after="0"/>
              <w:rPr>
                <w:sz w:val="17"/>
                <w:szCs w:val="17"/>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Paid-In</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91"/>
              </w:rPr>
              <w:t>Accumulated</w:t>
            </w: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Comprehensive</w:t>
            </w:r>
          </w:p>
        </w:tc>
        <w:tc>
          <w:tcPr>
            <w:tcW w:w="15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8"/>
              </w:rPr>
              <w:t>Technologies, Inc,</w:t>
            </w:r>
          </w:p>
        </w:tc>
        <w:tc>
          <w:tcPr>
            <w:tcW w:w="120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93"/>
              </w:rPr>
              <w:t>Noncontrolling</w:t>
            </w: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Shares</w:t>
            </w:r>
          </w:p>
        </w:tc>
        <w:tc>
          <w:tcPr>
            <w:tcW w:w="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Amount</w:t>
            </w:r>
          </w:p>
        </w:tc>
        <w:tc>
          <w:tcPr>
            <w:tcW w:w="120" w:type="dxa"/>
            <w:vAlign w:val="bottom"/>
          </w:tcPr>
          <w:p>
            <w:pPr>
              <w:spacing w:after="0"/>
              <w:rPr>
                <w:sz w:val="16"/>
                <w:szCs w:val="16"/>
                <w:color w:val="auto"/>
              </w:rPr>
            </w:pPr>
          </w:p>
        </w:tc>
        <w:tc>
          <w:tcPr>
            <w:tcW w:w="6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w w:val="89"/>
              </w:rPr>
              <w:t>Shares</w:t>
            </w:r>
          </w:p>
        </w:tc>
        <w:tc>
          <w:tcPr>
            <w:tcW w:w="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Amount</w:t>
            </w:r>
          </w:p>
        </w:tc>
        <w:tc>
          <w:tcPr>
            <w:tcW w:w="120" w:type="dxa"/>
            <w:vAlign w:val="bottom"/>
          </w:tcPr>
          <w:p>
            <w:pPr>
              <w:spacing w:after="0"/>
              <w:rPr>
                <w:sz w:val="16"/>
                <w:szCs w:val="16"/>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Capital</w:t>
            </w:r>
          </w:p>
        </w:tc>
        <w:tc>
          <w:tcPr>
            <w:tcW w:w="10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Deficit</w:t>
            </w: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Loss</w:t>
            </w:r>
          </w:p>
        </w:tc>
        <w:tc>
          <w:tcPr>
            <w:tcW w:w="15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Stockholders Equity</w:t>
            </w:r>
          </w:p>
        </w:tc>
        <w:tc>
          <w:tcPr>
            <w:tcW w:w="40" w:type="dxa"/>
            <w:vAlign w:val="bottom"/>
          </w:tcPr>
          <w:p>
            <w:pPr>
              <w:spacing w:after="0"/>
              <w:rPr>
                <w:sz w:val="16"/>
                <w:szCs w:val="16"/>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Interest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98"/>
              </w:rPr>
              <w:t>Total Equity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8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color w:val="auto"/>
              </w:rPr>
              <w:t>Balance, April 30,</w:t>
            </w: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2010</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4"/>
              </w:rPr>
              <w:t>10,390,563</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w w:val="96"/>
              </w:rPr>
              <w:t>$ 10,391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(6,443)</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155,726,672</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(90,413,098)</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(503,322)</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64,814,200</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40,890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64,855,090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8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(11,765,785)</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(11,765,785)</w:t>
            </w:r>
          </w:p>
        </w:tc>
        <w:tc>
          <w:tcPr>
            <w:tcW w:w="1200" w:type="dxa"/>
            <w:vAlign w:val="bottom"/>
            <w:gridSpan w:val="3"/>
          </w:tcPr>
          <w:p>
            <w:pPr>
              <w:jc w:val="right"/>
              <w:ind w:right="60"/>
              <w:spacing w:after="0"/>
              <w:rPr>
                <w:sz w:val="20"/>
                <w:szCs w:val="20"/>
                <w:color w:val="auto"/>
              </w:rPr>
            </w:pPr>
            <w:r>
              <w:rPr>
                <w:rFonts w:ascii="Arial" w:cs="Arial" w:eastAsia="Arial" w:hAnsi="Arial"/>
                <w:sz w:val="16"/>
                <w:szCs w:val="16"/>
                <w:color w:val="auto"/>
              </w:rPr>
              <w:t>(11,099)</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(11,776,884)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 currency</w:t>
            </w: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translation</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adjustment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368,683</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368,683</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1,524</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370,207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80" w:type="dxa"/>
            <w:vAlign w:val="bottom"/>
            <w:gridSpan w:val="2"/>
          </w:tcPr>
          <w:p>
            <w:pPr>
              <w:ind w:left="160"/>
              <w:spacing w:after="0"/>
              <w:rPr>
                <w:sz w:val="20"/>
                <w:szCs w:val="20"/>
                <w:color w:val="auto"/>
              </w:rPr>
            </w:pPr>
            <w:r>
              <w:rPr>
                <w:rFonts w:ascii="Arial" w:cs="Arial" w:eastAsia="Arial" w:hAnsi="Arial"/>
                <w:sz w:val="16"/>
                <w:szCs w:val="16"/>
                <w:color w:val="auto"/>
              </w:rPr>
              <w:t>Total</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80" w:type="dxa"/>
            <w:vAlign w:val="bottom"/>
            <w:gridSpan w:val="2"/>
          </w:tcPr>
          <w:p>
            <w:pPr>
              <w:ind w:left="340"/>
              <w:spacing w:after="0"/>
              <w:rPr>
                <w:sz w:val="20"/>
                <w:szCs w:val="20"/>
                <w:color w:val="auto"/>
              </w:rPr>
            </w:pPr>
            <w:r>
              <w:rPr>
                <w:rFonts w:ascii="Arial" w:cs="Arial" w:eastAsia="Arial" w:hAnsi="Arial"/>
                <w:sz w:val="16"/>
                <w:szCs w:val="16"/>
                <w:color w:val="auto"/>
              </w:rPr>
              <w:t>comprehensive</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80" w:type="dxa"/>
            <w:vAlign w:val="bottom"/>
            <w:gridSpan w:val="2"/>
          </w:tcPr>
          <w:p>
            <w:pPr>
              <w:ind w:left="340"/>
              <w:spacing w:after="0"/>
              <w:rPr>
                <w:sz w:val="20"/>
                <w:szCs w:val="20"/>
                <w:color w:val="auto"/>
              </w:rPr>
            </w:pPr>
            <w:r>
              <w:rPr>
                <w:rFonts w:ascii="Arial" w:cs="Arial" w:eastAsia="Arial" w:hAnsi="Arial"/>
                <w:sz w:val="16"/>
                <w:szCs w:val="16"/>
                <w:color w:val="auto"/>
              </w:rPr>
              <w:t>loss</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(11,397,102)</w:t>
            </w:r>
          </w:p>
        </w:tc>
        <w:tc>
          <w:tcPr>
            <w:tcW w:w="1200" w:type="dxa"/>
            <w:vAlign w:val="bottom"/>
            <w:gridSpan w:val="3"/>
          </w:tcPr>
          <w:p>
            <w:pPr>
              <w:jc w:val="right"/>
              <w:ind w:right="60"/>
              <w:spacing w:after="0"/>
              <w:rPr>
                <w:sz w:val="20"/>
                <w:szCs w:val="20"/>
                <w:color w:val="auto"/>
              </w:rPr>
            </w:pPr>
            <w:r>
              <w:rPr>
                <w:rFonts w:ascii="Arial" w:cs="Arial" w:eastAsia="Arial" w:hAnsi="Arial"/>
                <w:sz w:val="16"/>
                <w:szCs w:val="16"/>
                <w:color w:val="auto"/>
              </w:rPr>
              <w:t>(9,575)</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(11,406,677)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 based</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compensation</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555,392</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555,392</w:t>
            </w: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555,392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580" w:type="dxa"/>
            <w:vAlign w:val="bottom"/>
            <w:gridSpan w:val="2"/>
          </w:tcPr>
          <w:p>
            <w:pPr>
              <w:spacing w:after="0"/>
              <w:rPr>
                <w:sz w:val="20"/>
                <w:szCs w:val="20"/>
                <w:color w:val="auto"/>
              </w:rPr>
            </w:pPr>
            <w:r>
              <w:rPr>
                <w:rFonts w:ascii="Arial" w:cs="Arial" w:eastAsia="Arial" w:hAnsi="Arial"/>
                <w:sz w:val="16"/>
                <w:szCs w:val="16"/>
                <w:color w:val="auto"/>
                <w:w w:val="97"/>
              </w:rPr>
              <w:t>Issuance (forfeiture) of</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80" w:type="dxa"/>
            <w:vAlign w:val="bottom"/>
            <w:gridSpan w:val="2"/>
          </w:tcPr>
          <w:p>
            <w:pPr>
              <w:ind w:left="160"/>
              <w:spacing w:after="0"/>
              <w:rPr>
                <w:sz w:val="20"/>
                <w:szCs w:val="20"/>
                <w:color w:val="auto"/>
              </w:rPr>
            </w:pPr>
            <w:r>
              <w:rPr>
                <w:rFonts w:ascii="Arial" w:cs="Arial" w:eastAsia="Arial" w:hAnsi="Arial"/>
                <w:sz w:val="16"/>
                <w:szCs w:val="16"/>
                <w:color w:val="auto"/>
              </w:rPr>
              <w:t>restricted stock, net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28,620</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236,593</w:t>
            </w: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80"/>
              <w:spacing w:after="0"/>
              <w:rPr>
                <w:sz w:val="20"/>
                <w:szCs w:val="20"/>
                <w:color w:val="auto"/>
              </w:rPr>
            </w:pPr>
            <w:r>
              <w:rPr>
                <w:rFonts w:ascii="Arial" w:cs="Arial" w:eastAsia="Arial" w:hAnsi="Arial"/>
                <w:sz w:val="16"/>
                <w:szCs w:val="16"/>
                <w:color w:val="auto"/>
              </w:rPr>
              <w:t>236,621</w:t>
            </w:r>
          </w:p>
        </w:tc>
        <w:tc>
          <w:tcPr>
            <w:tcW w:w="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236,621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October 31,</w:t>
            </w: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2010</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4"/>
              </w:rPr>
              <w:t>10,419,183</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w w:val="96"/>
              </w:rPr>
              <w:t>$ 10,419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(6,443)</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156,518,657</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8"/>
              </w:rPr>
              <w:t>(102,178,883)</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(134,639)</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54,209,111</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31,315</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54,240,426</w:t>
            </w:r>
          </w:p>
        </w:tc>
        <w:tc>
          <w:tcPr>
            <w:tcW w:w="0" w:type="dxa"/>
            <w:vAlign w:val="bottom"/>
          </w:tcPr>
          <w:p>
            <w:pPr>
              <w:spacing w:after="0"/>
              <w:rPr>
                <w:sz w:val="1"/>
                <w:szCs w:val="1"/>
                <w:color w:val="auto"/>
              </w:rPr>
            </w:pPr>
          </w:p>
        </w:tc>
      </w:tr>
      <w:tr>
        <w:trPr>
          <w:trHeight w:val="20"/>
        </w:trPr>
        <w:tc>
          <w:tcPr>
            <w:tcW w:w="1600" w:type="dxa"/>
            <w:vAlign w:val="bottom"/>
            <w:gridSpan w:val="3"/>
            <w:vMerge w:val="restart"/>
          </w:tcPr>
          <w:p>
            <w:pPr>
              <w:spacing w:after="0"/>
              <w:rPr>
                <w:sz w:val="20"/>
                <w:szCs w:val="20"/>
                <w:color w:val="auto"/>
              </w:rPr>
            </w:pPr>
            <w:r>
              <w:rPr>
                <w:rFonts w:ascii="Arial" w:cs="Arial" w:eastAsia="Arial" w:hAnsi="Arial"/>
                <w:sz w:val="16"/>
                <w:szCs w:val="16"/>
                <w:color w:val="auto"/>
              </w:rPr>
              <w:t>Balance, April 30,</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600" w:type="dxa"/>
            <w:vAlign w:val="bottom"/>
            <w:gridSpan w:val="3"/>
            <w:vMerge w:val="continue"/>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220" w:type="dxa"/>
            <w:vAlign w:val="bottom"/>
            <w:gridSpan w:val="2"/>
          </w:tcPr>
          <w:p>
            <w:pPr>
              <w:ind w:left="180"/>
              <w:spacing w:after="0"/>
              <w:rPr>
                <w:sz w:val="20"/>
                <w:szCs w:val="20"/>
                <w:color w:val="auto"/>
              </w:rPr>
            </w:pPr>
            <w:r>
              <w:rPr>
                <w:rFonts w:ascii="Arial" w:cs="Arial" w:eastAsia="Arial" w:hAnsi="Arial"/>
                <w:sz w:val="16"/>
                <w:szCs w:val="16"/>
                <w:color w:val="auto"/>
              </w:rPr>
              <w:t>2011</w:t>
            </w:r>
          </w:p>
        </w:tc>
        <w:tc>
          <w:tcPr>
            <w:tcW w:w="3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w w:val="94"/>
              </w:rPr>
              <w:t>10,419,183</w:t>
            </w:r>
          </w:p>
        </w:tc>
        <w:tc>
          <w:tcPr>
            <w:tcW w:w="740" w:type="dxa"/>
            <w:vAlign w:val="bottom"/>
            <w:gridSpan w:val="3"/>
          </w:tcPr>
          <w:p>
            <w:pPr>
              <w:jc w:val="right"/>
              <w:ind w:right="120"/>
              <w:spacing w:after="0"/>
              <w:rPr>
                <w:sz w:val="20"/>
                <w:szCs w:val="20"/>
                <w:color w:val="auto"/>
              </w:rPr>
            </w:pPr>
            <w:r>
              <w:rPr>
                <w:rFonts w:ascii="Arial" w:cs="Arial" w:eastAsia="Arial" w:hAnsi="Arial"/>
                <w:sz w:val="16"/>
                <w:szCs w:val="16"/>
                <w:color w:val="auto"/>
                <w:w w:val="96"/>
              </w:rPr>
              <w:t>$ 10,419</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(7,685)</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w w:val="90"/>
              </w:rPr>
              <w:t>(42,734)</w:t>
            </w:r>
          </w:p>
        </w:tc>
        <w:tc>
          <w:tcPr>
            <w:tcW w:w="880" w:type="dxa"/>
            <w:vAlign w:val="bottom"/>
          </w:tcPr>
          <w:p>
            <w:pPr>
              <w:jc w:val="right"/>
              <w:spacing w:after="0"/>
              <w:rPr>
                <w:sz w:val="20"/>
                <w:szCs w:val="20"/>
                <w:color w:val="auto"/>
              </w:rPr>
            </w:pPr>
            <w:r>
              <w:rPr>
                <w:rFonts w:ascii="Arial" w:cs="Arial" w:eastAsia="Arial" w:hAnsi="Arial"/>
                <w:sz w:val="16"/>
                <w:szCs w:val="16"/>
                <w:color w:val="auto"/>
                <w:w w:val="96"/>
              </w:rPr>
              <w:t>157,174,930</w:t>
            </w:r>
          </w:p>
        </w:tc>
        <w:tc>
          <w:tcPr>
            <w:tcW w:w="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w w:val="98"/>
              </w:rPr>
              <w:t>(110,848,972)</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175,907</w:t>
            </w:r>
          </w:p>
        </w:tc>
        <w:tc>
          <w:tcPr>
            <w:tcW w:w="1500" w:type="dxa"/>
            <w:vAlign w:val="bottom"/>
            <w:gridSpan w:val="2"/>
          </w:tcPr>
          <w:p>
            <w:pPr>
              <w:jc w:val="right"/>
              <w:ind w:right="80"/>
              <w:spacing w:after="0"/>
              <w:rPr>
                <w:sz w:val="20"/>
                <w:szCs w:val="20"/>
                <w:color w:val="auto"/>
              </w:rPr>
            </w:pPr>
            <w:r>
              <w:rPr>
                <w:rFonts w:ascii="Arial" w:cs="Arial" w:eastAsia="Arial" w:hAnsi="Arial"/>
                <w:sz w:val="16"/>
                <w:szCs w:val="16"/>
                <w:color w:val="auto"/>
              </w:rPr>
              <w:t>46,469,550</w:t>
            </w:r>
          </w:p>
        </w:tc>
        <w:tc>
          <w:tcPr>
            <w:tcW w:w="1200" w:type="dxa"/>
            <w:vAlign w:val="bottom"/>
            <w:gridSpan w:val="3"/>
          </w:tcPr>
          <w:p>
            <w:pPr>
              <w:jc w:val="right"/>
              <w:ind w:right="120"/>
              <w:spacing w:after="0"/>
              <w:rPr>
                <w:sz w:val="20"/>
                <w:szCs w:val="20"/>
                <w:color w:val="auto"/>
              </w:rPr>
            </w:pPr>
            <w:r>
              <w:rPr>
                <w:rFonts w:ascii="Arial" w:cs="Arial" w:eastAsia="Arial" w:hAnsi="Arial"/>
                <w:sz w:val="16"/>
                <w:szCs w:val="16"/>
                <w:color w:val="auto"/>
              </w:rPr>
              <w:t>21,948</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46,491,498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(8,877,421)</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(8,877,421)</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(13,096)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(8,890,517)</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580" w:type="dxa"/>
            <w:vAlign w:val="bottom"/>
            <w:gridSpan w:val="2"/>
          </w:tcPr>
          <w:p>
            <w:pPr>
              <w:spacing w:after="0"/>
              <w:rPr>
                <w:sz w:val="20"/>
                <w:szCs w:val="20"/>
                <w:color w:val="auto"/>
              </w:rPr>
            </w:pPr>
            <w:r>
              <w:rPr>
                <w:rFonts w:ascii="Arial" w:cs="Arial" w:eastAsia="Arial" w:hAnsi="Arial"/>
                <w:sz w:val="16"/>
                <w:szCs w:val="16"/>
                <w:color w:val="auto"/>
              </w:rPr>
              <w:t>Foreign currency</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80" w:type="dxa"/>
            <w:vAlign w:val="bottom"/>
            <w:gridSpan w:val="2"/>
          </w:tcPr>
          <w:p>
            <w:pPr>
              <w:ind w:left="160"/>
              <w:spacing w:after="0"/>
              <w:rPr>
                <w:sz w:val="20"/>
                <w:szCs w:val="20"/>
                <w:color w:val="auto"/>
              </w:rPr>
            </w:pPr>
            <w:r>
              <w:rPr>
                <w:rFonts w:ascii="Arial" w:cs="Arial" w:eastAsia="Arial" w:hAnsi="Arial"/>
                <w:sz w:val="16"/>
                <w:szCs w:val="16"/>
                <w:color w:val="auto"/>
              </w:rPr>
              <w:t>translation</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80" w:type="dxa"/>
            <w:vAlign w:val="bottom"/>
            <w:gridSpan w:val="2"/>
          </w:tcPr>
          <w:p>
            <w:pPr>
              <w:ind w:left="160"/>
              <w:spacing w:after="0"/>
              <w:rPr>
                <w:sz w:val="20"/>
                <w:szCs w:val="20"/>
                <w:color w:val="auto"/>
              </w:rPr>
            </w:pPr>
            <w:r>
              <w:rPr>
                <w:rFonts w:ascii="Arial" w:cs="Arial" w:eastAsia="Arial" w:hAnsi="Arial"/>
                <w:sz w:val="16"/>
                <w:szCs w:val="16"/>
                <w:color w:val="auto"/>
              </w:rPr>
              <w:t>adjustment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(219,126)</w:t>
            </w: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(219,126)</w:t>
            </w:r>
          </w:p>
        </w:tc>
        <w:tc>
          <w:tcPr>
            <w:tcW w:w="1200" w:type="dxa"/>
            <w:vAlign w:val="bottom"/>
            <w:gridSpan w:val="3"/>
          </w:tcPr>
          <w:p>
            <w:pPr>
              <w:jc w:val="right"/>
              <w:ind w:right="60"/>
              <w:spacing w:after="0"/>
              <w:rPr>
                <w:sz w:val="20"/>
                <w:szCs w:val="20"/>
                <w:color w:val="auto"/>
              </w:rPr>
            </w:pPr>
            <w:r>
              <w:rPr>
                <w:rFonts w:ascii="Arial" w:cs="Arial" w:eastAsia="Arial" w:hAnsi="Arial"/>
                <w:sz w:val="16"/>
                <w:szCs w:val="16"/>
                <w:color w:val="auto"/>
              </w:rPr>
              <w:t>(723)</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(219,849)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5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8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w w:val="93"/>
              </w:rPr>
              <w:t>comprehensive</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loss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(9,096,547)</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(13,819)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(9,110,366)</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580" w:type="dxa"/>
            <w:vAlign w:val="bottom"/>
            <w:gridSpan w:val="2"/>
          </w:tcPr>
          <w:p>
            <w:pPr>
              <w:spacing w:after="0"/>
              <w:rPr>
                <w:sz w:val="20"/>
                <w:szCs w:val="20"/>
                <w:color w:val="auto"/>
              </w:rPr>
            </w:pPr>
            <w:r>
              <w:rPr>
                <w:rFonts w:ascii="Arial" w:cs="Arial" w:eastAsia="Arial" w:hAnsi="Arial"/>
                <w:sz w:val="16"/>
                <w:szCs w:val="16"/>
                <w:color w:val="auto"/>
              </w:rPr>
              <w:t>Stock based</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80" w:type="dxa"/>
            <w:vAlign w:val="bottom"/>
            <w:gridSpan w:val="2"/>
          </w:tcPr>
          <w:p>
            <w:pPr>
              <w:ind w:left="160"/>
              <w:spacing w:after="0"/>
              <w:rPr>
                <w:sz w:val="20"/>
                <w:szCs w:val="20"/>
                <w:color w:val="auto"/>
              </w:rPr>
            </w:pPr>
            <w:r>
              <w:rPr>
                <w:rFonts w:ascii="Arial" w:cs="Arial" w:eastAsia="Arial" w:hAnsi="Arial"/>
                <w:sz w:val="16"/>
                <w:szCs w:val="16"/>
                <w:color w:val="auto"/>
              </w:rPr>
              <w:t>compensation</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621,579</w:t>
            </w: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80"/>
              <w:spacing w:after="0"/>
              <w:rPr>
                <w:sz w:val="20"/>
                <w:szCs w:val="20"/>
                <w:color w:val="auto"/>
              </w:rPr>
            </w:pPr>
            <w:r>
              <w:rPr>
                <w:rFonts w:ascii="Arial" w:cs="Arial" w:eastAsia="Arial" w:hAnsi="Arial"/>
                <w:sz w:val="16"/>
                <w:szCs w:val="16"/>
                <w:color w:val="auto"/>
              </w:rPr>
              <w:t>621,579</w:t>
            </w:r>
          </w:p>
        </w:tc>
        <w:tc>
          <w:tcPr>
            <w:tcW w:w="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621,579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7"/>
              </w:rPr>
              <w:t>Issuance (forfeiture) of</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restricted stock, net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(4,794)</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82,296</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82,291</w:t>
            </w: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82,291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580" w:type="dxa"/>
            <w:vAlign w:val="bottom"/>
            <w:gridSpan w:val="2"/>
          </w:tcPr>
          <w:p>
            <w:pPr>
              <w:spacing w:after="0"/>
              <w:rPr>
                <w:sz w:val="20"/>
                <w:szCs w:val="20"/>
                <w:color w:val="auto"/>
              </w:rPr>
            </w:pPr>
            <w:r>
              <w:rPr>
                <w:rFonts w:ascii="Arial" w:cs="Arial" w:eastAsia="Arial" w:hAnsi="Arial"/>
                <w:sz w:val="16"/>
                <w:szCs w:val="16"/>
                <w:color w:val="auto"/>
                <w:w w:val="99"/>
              </w:rPr>
              <w:t>Acquisition of treasury</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80" w:type="dxa"/>
            <w:vAlign w:val="bottom"/>
            <w:gridSpan w:val="2"/>
          </w:tcPr>
          <w:p>
            <w:pPr>
              <w:ind w:left="160"/>
              <w:spacing w:after="0"/>
              <w:rPr>
                <w:sz w:val="20"/>
                <w:szCs w:val="20"/>
                <w:color w:val="auto"/>
              </w:rPr>
            </w:pPr>
            <w:r>
              <w:rPr>
                <w:rFonts w:ascii="Arial" w:cs="Arial" w:eastAsia="Arial" w:hAnsi="Arial"/>
                <w:sz w:val="16"/>
                <w:szCs w:val="16"/>
                <w:color w:val="auto"/>
              </w:rPr>
              <w:t>stock</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(8,890)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w w:val="90"/>
              </w:rPr>
              <w:t>(38,867)</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(38,867)</w:t>
            </w:r>
          </w:p>
        </w:tc>
        <w:tc>
          <w:tcPr>
            <w:tcW w:w="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(38,867)</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October 31,</w:t>
            </w: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2011</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4"/>
              </w:rPr>
              <w:t>10,414,389</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w w:val="96"/>
              </w:rPr>
              <w:t>$ 10,414</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w w:val="98"/>
              </w:rPr>
              <w:t xml:space="preserve">(16,575) </w:t>
            </w:r>
            <w:r>
              <w:rPr>
                <w:rFonts w:ascii="Arial" w:cs="Arial" w:eastAsia="Arial" w:hAnsi="Arial"/>
                <w:sz w:val="16"/>
                <w:szCs w:val="16"/>
                <w:u w:val="single" w:color="auto"/>
                <w:color w:val="auto"/>
                <w:w w:val="98"/>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0"/>
              </w:rPr>
              <w:t>(81,601)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157,878,805</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8"/>
              </w:rPr>
              <w:t>(119,726,393)</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(43,219)</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38,038,006</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8,129</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38,046,135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See accompanying notes to consolidated financial statements (unaudited).</w:t>
      </w:r>
    </w:p>
    <w:p>
      <w:pPr>
        <w:spacing w:after="0" w:line="200" w:lineRule="exact"/>
        <w:rPr>
          <w:sz w:val="20"/>
          <w:szCs w:val="20"/>
          <w:color w:val="auto"/>
        </w:rPr>
      </w:pPr>
    </w:p>
    <w:p>
      <w:pPr>
        <w:spacing w:after="0" w:line="340"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263765"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520"/>
          </w:cols>
          <w:pgMar w:left="240" w:top="385" w:right="13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82" w:lineRule="exact"/>
        <w:rPr>
          <w:sz w:val="20"/>
          <w:szCs w:val="20"/>
          <w:color w:val="auto"/>
        </w:rPr>
      </w:pPr>
    </w:p>
    <w:p>
      <w:pPr>
        <w:jc w:val="center"/>
        <w:ind w:right="779"/>
        <w:spacing w:after="0"/>
        <w:rPr>
          <w:sz w:val="20"/>
          <w:szCs w:val="20"/>
          <w:color w:val="auto"/>
        </w:rPr>
      </w:pPr>
      <w:r>
        <w:rPr>
          <w:rFonts w:ascii="Arial" w:cs="Arial" w:eastAsia="Arial" w:hAnsi="Arial"/>
          <w:sz w:val="16"/>
          <w:szCs w:val="16"/>
          <w:b w:val="1"/>
          <w:bCs w:val="1"/>
          <w:color w:val="auto"/>
        </w:rPr>
        <w:t>Ocean Power Technologies, Inc. and Subsidiaries</w:t>
      </w:r>
    </w:p>
    <w:p>
      <w:pPr>
        <w:spacing w:after="0" w:line="184" w:lineRule="exact"/>
        <w:rPr>
          <w:sz w:val="20"/>
          <w:szCs w:val="20"/>
          <w:color w:val="auto"/>
        </w:rPr>
      </w:pPr>
    </w:p>
    <w:p>
      <w:pPr>
        <w:jc w:val="center"/>
        <w:ind w:right="77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8" w:lineRule="exact"/>
        <w:rPr>
          <w:sz w:val="20"/>
          <w:szCs w:val="20"/>
          <w:color w:val="auto"/>
        </w:rPr>
      </w:pPr>
    </w:p>
    <w:p>
      <w:pPr>
        <w:jc w:val="center"/>
        <w:ind w:right="779"/>
        <w:spacing w:after="0"/>
        <w:rPr>
          <w:sz w:val="20"/>
          <w:szCs w:val="20"/>
          <w:color w:val="auto"/>
        </w:rPr>
      </w:pPr>
      <w:r>
        <w:rPr>
          <w:rFonts w:ascii="Arial" w:cs="Arial" w:eastAsia="Arial" w:hAnsi="Arial"/>
          <w:sz w:val="16"/>
          <w:szCs w:val="16"/>
          <w:b w:val="1"/>
          <w:bCs w:val="1"/>
          <w:color w:val="auto"/>
        </w:rPr>
        <w:t>(Unaudited)</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(1) Background and Basis of Presentation</w:t>
      </w:r>
    </w:p>
    <w:p>
      <w:pPr>
        <w:spacing w:after="0" w:line="176" w:lineRule="exact"/>
        <w:rPr>
          <w:sz w:val="20"/>
          <w:szCs w:val="20"/>
          <w:color w:val="auto"/>
        </w:rPr>
      </w:pPr>
    </w:p>
    <w:p>
      <w:pPr>
        <w:ind w:left="300" w:right="1099"/>
        <w:spacing w:after="0" w:line="266" w:lineRule="auto"/>
        <w:rPr>
          <w:sz w:val="20"/>
          <w:szCs w:val="20"/>
          <w:color w:val="auto"/>
        </w:rPr>
      </w:pPr>
      <w:r>
        <w:rPr>
          <w:rFonts w:ascii="Arial" w:cs="Arial" w:eastAsia="Arial" w:hAnsi="Arial"/>
          <w:sz w:val="16"/>
          <w:szCs w:val="16"/>
          <w:color w:val="auto"/>
        </w:rPr>
        <w:t>Ocean Power Technologies, Inc. (the “Company”) was incorporated on April 19, 1984 in New Jersey, commenced commercial operations in 1994 and re-incorporated in Delaware in April 2007. The Company develops and is commercializing proprietary systems that generate electricity by harnessing the renewable energy of ocean waves. The Company markets and sells its products in the United States and internationally.</w:t>
      </w:r>
    </w:p>
    <w:p>
      <w:pPr>
        <w:spacing w:after="0" w:line="142" w:lineRule="exact"/>
        <w:rPr>
          <w:sz w:val="20"/>
          <w:szCs w:val="20"/>
          <w:color w:val="auto"/>
        </w:rPr>
      </w:pPr>
    </w:p>
    <w:p>
      <w:pPr>
        <w:ind w:left="300" w:right="1119"/>
        <w:spacing w:after="0" w:line="260"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generally accepted accounting principles for interim financial information and with the instructions to Form 10-Q and Article 10 of Regulation S-X. Accordingly, they do not include all the information and footnotes required by generally accepted accounting principles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2011 filed with the Securities and Exchange Commission (“SEC”) and elsewhere in this Form 10-Q.</w:t>
      </w:r>
    </w:p>
    <w:p>
      <w:pPr>
        <w:spacing w:after="0" w:line="137"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Consolidation</w:t>
      </w:r>
    </w:p>
    <w:p>
      <w:pPr>
        <w:spacing w:after="0" w:line="172" w:lineRule="exact"/>
        <w:rPr>
          <w:sz w:val="20"/>
          <w:szCs w:val="20"/>
          <w:color w:val="auto"/>
        </w:rPr>
      </w:pPr>
    </w:p>
    <w:p>
      <w:pPr>
        <w:ind w:left="300" w:right="1099"/>
        <w:spacing w:after="0" w:line="261" w:lineRule="auto"/>
        <w:rPr>
          <w:sz w:val="20"/>
          <w:szCs w:val="20"/>
          <w:color w:val="auto"/>
        </w:rPr>
      </w:pPr>
      <w:r>
        <w:rPr>
          <w:rFonts w:ascii="Arial" w:cs="Arial" w:eastAsia="Arial" w:hAnsi="Arial"/>
          <w:sz w:val="16"/>
          <w:szCs w:val="16"/>
          <w:color w:val="auto"/>
        </w:rPr>
        <w:t>The accompanying consolidated financial statements include the accounts of the Company and its majority-owned subsidiaries. All significant intercompany balances and transactions have been eliminated in consolidation. Participation of stockholders other than the Company in the net assets and in the earnings or losses of a consolidated subsidiary is reflected as a noncontrolling interest in the Company’s Consolidated Balance Sheets and Statements of Operations, which adjusts the Company’s consolidated results of operations to reflect only the Company’s share of the earnings or losses of the consolidated subsidiary. As of October 31, 2011, there was one noncontrolling interest, consisting of 11.8% of the Company’s Australian subsidiary, Ocean Power Technologies (Australasia) Pty. Ltd.</w:t>
      </w:r>
    </w:p>
    <w:p>
      <w:pPr>
        <w:spacing w:after="0" w:line="147" w:lineRule="exact"/>
        <w:rPr>
          <w:sz w:val="20"/>
          <w:szCs w:val="20"/>
          <w:color w:val="auto"/>
        </w:rPr>
      </w:pPr>
    </w:p>
    <w:p>
      <w:pPr>
        <w:ind w:left="300" w:right="1179"/>
        <w:spacing w:after="0" w:line="327" w:lineRule="auto"/>
        <w:rPr>
          <w:sz w:val="20"/>
          <w:szCs w:val="20"/>
          <w:color w:val="auto"/>
        </w:rPr>
      </w:pPr>
      <w:r>
        <w:rPr>
          <w:rFonts w:ascii="Arial" w:cs="Arial" w:eastAsia="Arial" w:hAnsi="Arial"/>
          <w:sz w:val="14"/>
          <w:szCs w:val="14"/>
          <w:color w:val="auto"/>
        </w:rPr>
        <w:t>In addition, the Company evaluates its relationships with other entities to identify whether they are variable interest entities, and to assess whether it is the primary beneficiary of such entities. If the determination is made that the Company is the primary beneficiary, then that entity is included in the consolidated financial statements. As of October 31, 2011, there were no such entities.</w:t>
      </w:r>
    </w:p>
    <w:p>
      <w:pPr>
        <w:spacing w:after="0" w:line="91" w:lineRule="exact"/>
        <w:rPr>
          <w:sz w:val="20"/>
          <w:szCs w:val="20"/>
          <w:color w:val="auto"/>
        </w:rPr>
      </w:pPr>
    </w:p>
    <w:p>
      <w:pPr>
        <w:ind w:left="300" w:right="1159"/>
        <w:spacing w:after="0" w:line="266" w:lineRule="auto"/>
        <w:rPr>
          <w:sz w:val="20"/>
          <w:szCs w:val="20"/>
          <w:color w:val="auto"/>
        </w:rPr>
      </w:pPr>
      <w:r>
        <w:rPr>
          <w:rFonts w:ascii="Arial" w:cs="Arial" w:eastAsia="Arial" w:hAnsi="Arial"/>
          <w:sz w:val="16"/>
          <w:szCs w:val="16"/>
          <w:color w:val="auto"/>
        </w:rPr>
        <w:t>The Company has a 10% investment in Iberdrola Energias Marinas de Cantabria, S.A. (“Iberdrola Cantabria”). Revenues from Iberdrola Cantabria for the six months ended October 31, 2011 and 2010 were $0 and $(237,000), respectively. Additionally, accounts receivable from Iberdrola Cantabria aggregated $325,000 and $341,000 as of October 31, 2011 and April 30, 2011, respectively. See Note 2(a) and Note 9.</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84" w:lineRule="exact"/>
        <w:rPr>
          <w:sz w:val="20"/>
          <w:szCs w:val="20"/>
          <w:color w:val="auto"/>
        </w:rPr>
      </w:pPr>
    </w:p>
    <w:p>
      <w:pPr>
        <w:ind w:left="300" w:right="1079"/>
        <w:spacing w:after="0" w:line="281" w:lineRule="auto"/>
        <w:rPr>
          <w:sz w:val="20"/>
          <w:szCs w:val="20"/>
          <w:color w:val="auto"/>
        </w:rPr>
      </w:pPr>
      <w:r>
        <w:rPr>
          <w:rFonts w:ascii="Arial" w:cs="Arial" w:eastAsia="Arial" w:hAnsi="Arial"/>
          <w:sz w:val="15"/>
          <w:szCs w:val="15"/>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the recoverability of the carrying amount of property and equipment and patents; valuation allowances for receivables and deferred income tax assets; and percentage of completion of customer contracts for purposes of revenue recognition. Actual results could differ from those estimates. The current economic environment has increased the degree of uncertainty inherent in those estimates and assumptions.</w:t>
      </w:r>
    </w:p>
    <w:p>
      <w:pPr>
        <w:spacing w:after="0" w:line="200" w:lineRule="exact"/>
        <w:rPr>
          <w:sz w:val="20"/>
          <w:szCs w:val="20"/>
          <w:color w:val="auto"/>
        </w:rPr>
      </w:pPr>
    </w:p>
    <w:p>
      <w:pPr>
        <w:spacing w:after="0" w:line="277"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263765"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0219"/>
          </w:cols>
          <w:pgMar w:left="240" w:top="394" w:right="1440"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82"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Ocean Power Technologies, Inc. and Subsidiaries</w:t>
      </w:r>
    </w:p>
    <w:p>
      <w:pPr>
        <w:spacing w:after="0" w:line="28"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2"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(Unaudited)</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(a) Revenue Recognition</w:t>
      </w:r>
    </w:p>
    <w:p>
      <w:pPr>
        <w:spacing w:after="0" w:line="172" w:lineRule="exact"/>
        <w:rPr>
          <w:sz w:val="20"/>
          <w:szCs w:val="20"/>
          <w:color w:val="auto"/>
        </w:rPr>
      </w:pPr>
    </w:p>
    <w:p>
      <w:pPr>
        <w:ind w:left="300" w:right="1099"/>
        <w:spacing w:after="0" w:line="259" w:lineRule="auto"/>
        <w:rPr>
          <w:sz w:val="20"/>
          <w:szCs w:val="20"/>
          <w:color w:val="auto"/>
        </w:rPr>
      </w:pPr>
      <w:r>
        <w:rPr>
          <w:rFonts w:ascii="Arial" w:cs="Arial" w:eastAsia="Arial" w:hAnsi="Arial"/>
          <w:sz w:val="16"/>
          <w:szCs w:val="16"/>
          <w:color w:val="auto"/>
        </w:rPr>
        <w:t>The Company primarily recognizes revenue under the percentage-of-completion method. The percentage of completion is determined by relating the costs incurred to date to the estimated total costs. The cumulative effects resulting from revisions of estimated total contract costs and revenues are recorded in the period in which the facts requiring revision become known. Upon anticipating a loss on a contract, the Company recognizes the full amount of the anticipated loss in the current period. Accruals related to losses on contracts in the amount of approximately $785,000 are included in accrued expenses in the accompanying consolidated balance sheets as of October 31, 2011 and April 30, 2011. Modifications to contract provisions, such as those currently being discussed in connection with the Company’s Spain construction agreement (see Note 9), as well as modifications in contract loss estimates, may require changes in accruals established for anticipated contract losses. During the six months ended October 31, 2010, the Company’s revenue was reduced by approximately $237,000 due to a change in estimated revenue to be recognized in connection with the Spain construction agreement.</w:t>
      </w:r>
    </w:p>
    <w:p>
      <w:pPr>
        <w:spacing w:after="0" w:line="151" w:lineRule="exact"/>
        <w:rPr>
          <w:sz w:val="20"/>
          <w:szCs w:val="20"/>
          <w:color w:val="auto"/>
        </w:rPr>
      </w:pPr>
    </w:p>
    <w:p>
      <w:pPr>
        <w:ind w:left="300" w:right="1139"/>
        <w:spacing w:after="0" w:line="260" w:lineRule="auto"/>
        <w:rPr>
          <w:sz w:val="20"/>
          <w:szCs w:val="20"/>
          <w:color w:val="auto"/>
        </w:rPr>
      </w:pPr>
      <w:r>
        <w:rPr>
          <w:rFonts w:ascii="Arial" w:cs="Arial" w:eastAsia="Arial" w:hAnsi="Arial"/>
          <w:sz w:val="16"/>
          <w:szCs w:val="16"/>
          <w:color w:val="auto"/>
        </w:rPr>
        <w:t>Generally, the Company recognizes revenue using the percentage-of-completion method based on the ratio of costs incurred to total estimated costs at completion. In certain circumstances, revenue under contracts that have specified milestones or other performance criteria may be recognized only when the customer acknowledges that such criteria have been satisfied. In addition, recognition of revenue (and the related costs) may be deferred for fixed-price contracts until contract completion if the Company is unable to reasonably estimate the total costs of the project prior to completion. Because the Company has a small number of contracts, revisions to the percentage-of-completion determination or delays in meeting performance criteria or in completing projects may have a significant effect on revenue for the periods involved. Upon anticipating a loss on a contract, the Company recognizes the full amount of the anticipated loss in the current period.</w:t>
      </w:r>
    </w:p>
    <w:p>
      <w:pPr>
        <w:spacing w:after="0" w:line="137" w:lineRule="exact"/>
        <w:rPr>
          <w:sz w:val="20"/>
          <w:szCs w:val="20"/>
          <w:color w:val="auto"/>
        </w:rPr>
      </w:pPr>
    </w:p>
    <w:p>
      <w:pPr>
        <w:ind w:left="300" w:right="1099"/>
        <w:spacing w:after="0" w:line="277" w:lineRule="auto"/>
        <w:rPr>
          <w:sz w:val="20"/>
          <w:szCs w:val="20"/>
          <w:color w:val="auto"/>
        </w:rPr>
      </w:pPr>
      <w:r>
        <w:rPr>
          <w:rFonts w:ascii="Arial" w:cs="Arial" w:eastAsia="Arial" w:hAnsi="Arial"/>
          <w:sz w:val="15"/>
          <w:szCs w:val="15"/>
          <w:color w:val="auto"/>
        </w:rPr>
        <w:t>Generally the Company’s contracts are either cost plus or fixed price contracts. Under cost plus contracts, customers are billed for actual expenses incurred plus an agreed-upon fee. Revenue is typically recorded using the percentage-of-completion method based on the maximum awarded contract amount. In certain cases, the Company may choose to incur costs in excess of the maximum awarded contract amount, resulting in a loss on the contract. Currently, the Company has two types of fixed price contracts, firm fixed price and cost-sharing. Under firm fixed price contracts, the Company receives an agreed-upon amount for providing products and services specified in the contract. Revenue is typically recorded using the percentage-of-completion method based on the contract amount. Depending on whether actual costs are more or less than the agreed-upon amount, there is a profit or loss on the project. Under cost-sharing contracts, the fixed amount agreed upon with the customer is only intended to fund a portion of the costs on a specific project. The Company funds the remainder of the costs as part of its product development efforts. Revenue is typically recorded using the percentage-of-completion method based on the amount agreed upon with the customer. An amount corresponding to the revenue is recorded in cost of revenues, resulting in gross profit on these contracts of zero. The Company’s share of the costs is recorded as product development expense.</w:t>
      </w:r>
    </w:p>
    <w:p>
      <w:pPr>
        <w:spacing w:after="0" w:line="128" w:lineRule="exact"/>
        <w:rPr>
          <w:sz w:val="20"/>
          <w:szCs w:val="20"/>
          <w:color w:val="auto"/>
        </w:rPr>
      </w:pPr>
    </w:p>
    <w:p>
      <w:pPr>
        <w:ind w:left="300" w:right="1119"/>
        <w:spacing w:after="0" w:line="285" w:lineRule="auto"/>
        <w:rPr>
          <w:sz w:val="20"/>
          <w:szCs w:val="20"/>
          <w:color w:val="auto"/>
        </w:rPr>
      </w:pPr>
      <w:r>
        <w:rPr>
          <w:rFonts w:ascii="Arial" w:cs="Arial" w:eastAsia="Arial" w:hAnsi="Arial"/>
          <w:sz w:val="15"/>
          <w:szCs w:val="15"/>
          <w:color w:val="auto"/>
        </w:rPr>
        <w:t>Unbilled receivables represent expenditures on contracts, plus applicable profit margin, not yet billed. Unbilled receivables are normally billed and collected within one year. Billings made on contracts are recorded as a reduction of unbilled receivables, and to the extent that such billings and cash collections exceed costs incurred plus applicable profit margin, they are recorded as unearned revenues. During the six months ended October 31, 2011, the Company received a $1.1 million advance payment, which was recorded as unearned revenues, related to a grant from the European Union for the WavePort project in Spain.</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(b) Cash and Cash Equivalents</w:t>
      </w:r>
    </w:p>
    <w:p>
      <w:pPr>
        <w:spacing w:after="0" w:line="172" w:lineRule="exact"/>
        <w:rPr>
          <w:sz w:val="20"/>
          <w:szCs w:val="20"/>
          <w:color w:val="auto"/>
        </w:rPr>
      </w:pPr>
    </w:p>
    <w:p>
      <w:pPr>
        <w:ind w:left="300" w:right="1119"/>
        <w:spacing w:after="0" w:line="266" w:lineRule="auto"/>
        <w:rPr>
          <w:sz w:val="20"/>
          <w:szCs w:val="20"/>
          <w:color w:val="auto"/>
        </w:rPr>
      </w:pPr>
      <w:r>
        <w:rPr>
          <w:rFonts w:ascii="Arial" w:cs="Arial" w:eastAsia="Arial" w:hAnsi="Arial"/>
          <w:sz w:val="16"/>
          <w:szCs w:val="16"/>
          <w:color w:val="auto"/>
        </w:rPr>
        <w:t>Cash equivalents consist of investments in short-term financial instruments with initial maturities of three months or less from the date of purchase. Cash and cash equivalents include the following: $0 and $273,000 of certificates of deposit with an initial term of less than three months at October 31, 2011 and April 30, 2011, respectively, and $2,906,000 and $482,000 invested in money market funds as of October 31, 2011 and April 30, 2011, respectively.</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(c) Restricted Cash and Credit Facility</w:t>
      </w:r>
    </w:p>
    <w:p>
      <w:pPr>
        <w:spacing w:after="0" w:line="184" w:lineRule="exact"/>
        <w:rPr>
          <w:sz w:val="20"/>
          <w:szCs w:val="20"/>
          <w:color w:val="auto"/>
        </w:rPr>
      </w:pPr>
    </w:p>
    <w:p>
      <w:pPr>
        <w:ind w:left="300" w:right="1239"/>
        <w:spacing w:after="0" w:line="287" w:lineRule="auto"/>
        <w:rPr>
          <w:sz w:val="20"/>
          <w:szCs w:val="20"/>
          <w:color w:val="auto"/>
        </w:rPr>
      </w:pPr>
      <w:r>
        <w:rPr>
          <w:rFonts w:ascii="Arial" w:cs="Arial" w:eastAsia="Arial" w:hAnsi="Arial"/>
          <w:sz w:val="16"/>
          <w:szCs w:val="16"/>
          <w:color w:val="auto"/>
        </w:rPr>
        <w:t>The Company had $1,518,224 and $1,624,669 of restricted cash as of October 31, 2011 and April 30, 2011, respectively. The cash is restricted under the terms of two security agreements.</w:t>
      </w:r>
    </w:p>
    <w:p>
      <w:pPr>
        <w:spacing w:after="0" w:line="113" w:lineRule="exact"/>
        <w:rPr>
          <w:sz w:val="20"/>
          <w:szCs w:val="20"/>
          <w:color w:val="auto"/>
        </w:rPr>
      </w:pPr>
    </w:p>
    <w:p>
      <w:pPr>
        <w:ind w:left="300" w:right="1199"/>
        <w:spacing w:after="0" w:line="304" w:lineRule="auto"/>
        <w:rPr>
          <w:sz w:val="20"/>
          <w:szCs w:val="20"/>
          <w:color w:val="auto"/>
        </w:rPr>
      </w:pPr>
      <w:r>
        <w:rPr>
          <w:rFonts w:ascii="Arial" w:cs="Arial" w:eastAsia="Arial" w:hAnsi="Arial"/>
          <w:sz w:val="14"/>
          <w:szCs w:val="14"/>
          <w:color w:val="auto"/>
        </w:rPr>
        <w:t>One agreement is between Ocean Power Technologies, Inc. and Barclays Bank. Under this agreement, the cash is on deposit at Barclays Bank and serves as security for letters of credit that are expected to be issued by Barclays Bank on behalf of Ocean Power Technologies Ltd., one of the Company’s wholly-owned subsidiaries, under a €800,000 credit facility established by Barclays Bank for Ocean Power Technologies Ltd. The credit facility is for the issuance of letters of credit and bank guarantees, and carries a fee of 1% per annum of the amount of any such obligations issued by Barclays Bank. As of October 31, 2011 there were €266,000 in letters of credit outstanding under this agreement. The credit facility does not have an expiration date, but is cancelable at the discretion of the bank. As of October 31, 2011, approximately €720,000 was included in restricted cash related to this arrangement.</w:t>
      </w:r>
    </w:p>
    <w:p>
      <w:pPr>
        <w:sectPr>
          <w:pgSz w:w="11900" w:h="16838" w:orient="portrait"/>
          <w:cols w:equalWidth="0" w:num="1">
            <w:col w:w="10219"/>
          </w:cols>
          <w:pgMar w:left="240" w:top="394" w:right="1440"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left="468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263765"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0219"/>
          </w:cols>
          <w:pgMar w:left="240" w:top="394" w:right="1440" w:bottom="1440" w:gutter="0" w:footer="0" w:header="0"/>
          <w:type w:val="continuous"/>
        </w:sectPr>
      </w:pPr>
    </w:p>
    <w:bookmarkStart w:id="10" w:name="page11"/>
    <w:bookmarkEnd w:id="1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82"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Ocean Power Technologies, Inc. and Subsidiaries</w:t>
      </w:r>
    </w:p>
    <w:p>
      <w:pPr>
        <w:spacing w:after="0" w:line="28"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2"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(Unaudited)</w:t>
      </w:r>
    </w:p>
    <w:p>
      <w:pPr>
        <w:spacing w:after="0" w:line="173" w:lineRule="exact"/>
        <w:rPr>
          <w:sz w:val="20"/>
          <w:szCs w:val="20"/>
          <w:color w:val="auto"/>
        </w:rPr>
      </w:pPr>
    </w:p>
    <w:p>
      <w:pPr>
        <w:ind w:left="300" w:right="1199"/>
        <w:spacing w:after="0" w:line="289" w:lineRule="auto"/>
        <w:rPr>
          <w:sz w:val="20"/>
          <w:szCs w:val="20"/>
          <w:color w:val="auto"/>
        </w:rPr>
      </w:pPr>
      <w:r>
        <w:rPr>
          <w:rFonts w:ascii="Arial" w:cs="Arial" w:eastAsia="Arial" w:hAnsi="Arial"/>
          <w:sz w:val="15"/>
          <w:szCs w:val="15"/>
          <w:color w:val="auto"/>
        </w:rPr>
        <w:t>The other agreement is between Ocean Power Technologies, Inc. and the New Jersey Board of Public Utilities (“NJBPU”). The Company received a $500,000 recoverable grant award from the NJBPU. Under this agreement, the Company is required to assign to the NJBPU a certificate of deposit in an amount equal to the outstanding grant balance. The Company has assigned to the NJBPU certificates of deposit in the amount of $500,000, which were outstanding as of October 31, 2011. See Note 6.</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(d) Foreign Exchange Gains and Losses</w:t>
      </w:r>
    </w:p>
    <w:p>
      <w:pPr>
        <w:spacing w:after="0" w:line="172" w:lineRule="exact"/>
        <w:rPr>
          <w:sz w:val="20"/>
          <w:szCs w:val="20"/>
          <w:color w:val="auto"/>
        </w:rPr>
      </w:pPr>
    </w:p>
    <w:p>
      <w:pPr>
        <w:ind w:left="300" w:right="1219"/>
        <w:spacing w:after="0" w:line="260" w:lineRule="auto"/>
        <w:rPr>
          <w:sz w:val="20"/>
          <w:szCs w:val="20"/>
          <w:color w:val="auto"/>
        </w:rPr>
      </w:pPr>
      <w:r>
        <w:rPr>
          <w:rFonts w:ascii="Arial" w:cs="Arial" w:eastAsia="Arial" w:hAnsi="Arial"/>
          <w:sz w:val="16"/>
          <w:szCs w:val="16"/>
          <w:color w:val="auto"/>
        </w:rPr>
        <w:t>The Company has invested in certain certificates of deposit and has maintained cash accounts that are denominated in British pounds sterling, Euros and Australian dollars. Such certificates of deposit and cash accounts had a balance of approximately $4,088,000 and $4,793,000 as of October 31, 2011 and April 30, 2011, respectively. These amounts are included in cash, cash equivalents, restricted cash and marketable securities on the accompanying balance sheets. Such positions may result in realized and unrealized foreign exchange gains or losses from exchange rate fluctuations, which gains and losses are included in foreign exchange (loss) gain in the accompanying consolidated statements of operations. Foreign exchange gain (loss) was $29,334 and $71,192 for the three months ended October 31, 2011 and 2010, respectively, and $20,293 and $(167,810) for the six months ended October 31, 2011 and 2010, respectively.</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(e) Long-Lived Assets</w:t>
      </w:r>
    </w:p>
    <w:p>
      <w:pPr>
        <w:spacing w:after="0" w:line="172" w:lineRule="exact"/>
        <w:rPr>
          <w:sz w:val="20"/>
          <w:szCs w:val="20"/>
          <w:color w:val="auto"/>
        </w:rPr>
      </w:pPr>
    </w:p>
    <w:p>
      <w:pPr>
        <w:ind w:left="300" w:right="1139"/>
        <w:spacing w:after="0" w:line="261" w:lineRule="auto"/>
        <w:rPr>
          <w:sz w:val="20"/>
          <w:szCs w:val="20"/>
          <w:color w:val="auto"/>
        </w:rPr>
      </w:pPr>
      <w:r>
        <w:rPr>
          <w:rFonts w:ascii="Arial" w:cs="Arial" w:eastAsia="Arial" w:hAnsi="Arial"/>
          <w:sz w:val="16"/>
          <w:szCs w:val="16"/>
          <w:color w:val="auto"/>
        </w:rPr>
        <w:t>Long-lived assets, such as property and equipment and purchased intangible assets subject to amortization, are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 The Company reviewed its long-lived assets for impairment and determined there was no impairment for the six months ended October 31, 2011.</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(f) Concentration of Credit Risk</w:t>
      </w:r>
    </w:p>
    <w:p>
      <w:pPr>
        <w:spacing w:after="0" w:line="184" w:lineRule="exact"/>
        <w:rPr>
          <w:sz w:val="20"/>
          <w:szCs w:val="20"/>
          <w:color w:val="auto"/>
        </w:rPr>
      </w:pPr>
    </w:p>
    <w:p>
      <w:pPr>
        <w:ind w:left="300" w:right="1159"/>
        <w:spacing w:after="0" w:line="327" w:lineRule="auto"/>
        <w:rPr>
          <w:sz w:val="20"/>
          <w:szCs w:val="20"/>
          <w:color w:val="auto"/>
        </w:rPr>
      </w:pPr>
      <w:r>
        <w:rPr>
          <w:rFonts w:ascii="Arial" w:cs="Arial" w:eastAsia="Arial" w:hAnsi="Arial"/>
          <w:sz w:val="14"/>
          <w:szCs w:val="14"/>
          <w:color w:val="auto"/>
        </w:rPr>
        <w:t>Financial instruments that potentially subject the Company to concentration of credit risk consist principally of cash balances, bank certificates of deposit and trade receivables. The Company invests its excess cash in highly liquid investments (principally, short-term bank deposits, Treasury bills, Treasury notes and money market funds) and does not believe that it is exposed to any significant risks.</w:t>
      </w:r>
    </w:p>
    <w:p>
      <w:pPr>
        <w:spacing w:after="0" w:line="91" w:lineRule="exact"/>
        <w:rPr>
          <w:sz w:val="20"/>
          <w:szCs w:val="20"/>
          <w:color w:val="auto"/>
        </w:rPr>
      </w:pPr>
    </w:p>
    <w:p>
      <w:pPr>
        <w:ind w:left="300" w:right="1159"/>
        <w:spacing w:after="0" w:line="287" w:lineRule="auto"/>
        <w:rPr>
          <w:sz w:val="20"/>
          <w:szCs w:val="20"/>
          <w:color w:val="auto"/>
        </w:rPr>
      </w:pPr>
      <w:r>
        <w:rPr>
          <w:rFonts w:ascii="Arial" w:cs="Arial" w:eastAsia="Arial" w:hAnsi="Arial"/>
          <w:sz w:val="16"/>
          <w:szCs w:val="16"/>
          <w:color w:val="auto"/>
        </w:rPr>
        <w:t>The table below shows the percentage of the Company’s revenues derived from customers whose revenues accounted for at least 10% of the Company’s consolidated revenues for at least one of the periods indicated:</w:t>
      </w:r>
    </w:p>
    <w:p>
      <w:pPr>
        <w:spacing w:after="0" w:line="145" w:lineRule="exact"/>
        <w:rPr>
          <w:sz w:val="20"/>
          <w:szCs w:val="20"/>
          <w:color w:val="auto"/>
        </w:rPr>
      </w:pPr>
    </w:p>
    <w:tbl>
      <w:tblPr>
        <w:tblLayout w:type="fixed"/>
        <w:tblInd w:w="300" w:type="dxa"/>
        <w:tblCellMar>
          <w:top w:w="0" w:type="dxa"/>
          <w:left w:w="0" w:type="dxa"/>
          <w:bottom w:w="0" w:type="dxa"/>
          <w:right w:w="0" w:type="dxa"/>
        </w:tblCellMar>
      </w:tblPr>
      <w:tr>
        <w:trPr>
          <w:trHeight w:val="212"/>
        </w:trPr>
        <w:tc>
          <w:tcPr>
            <w:tcW w:w="3580" w:type="dxa"/>
            <w:vAlign w:val="bottom"/>
            <w:vMerge w:val="restart"/>
          </w:tcPr>
          <w:p>
            <w:pPr>
              <w:spacing w:after="0"/>
              <w:rPr>
                <w:sz w:val="20"/>
                <w:szCs w:val="20"/>
                <w:color w:val="auto"/>
              </w:rPr>
            </w:pPr>
            <w:r>
              <w:rPr>
                <w:rFonts w:ascii="Arial" w:cs="Arial" w:eastAsia="Arial" w:hAnsi="Arial"/>
                <w:sz w:val="16"/>
                <w:szCs w:val="16"/>
                <w:b w:val="1"/>
                <w:bCs w:val="1"/>
                <w:color w:val="auto"/>
              </w:rPr>
              <w:t>Customer</w:t>
            </w:r>
          </w:p>
        </w:tc>
        <w:tc>
          <w:tcPr>
            <w:tcW w:w="240" w:type="dxa"/>
            <w:vAlign w:val="bottom"/>
            <w:vMerge w:val="restart"/>
          </w:tcPr>
          <w:p>
            <w:pPr>
              <w:spacing w:after="0"/>
              <w:rPr>
                <w:sz w:val="18"/>
                <w:szCs w:val="18"/>
                <w:color w:val="auto"/>
              </w:rPr>
            </w:pPr>
          </w:p>
        </w:tc>
        <w:tc>
          <w:tcPr>
            <w:tcW w:w="2720" w:type="dxa"/>
            <w:vAlign w:val="bottom"/>
            <w:gridSpan w:val="4"/>
          </w:tcPr>
          <w:p>
            <w:pPr>
              <w:ind w:left="20"/>
              <w:spacing w:after="0"/>
              <w:rPr>
                <w:sz w:val="20"/>
                <w:szCs w:val="20"/>
                <w:color w:val="auto"/>
              </w:rPr>
            </w:pPr>
            <w:r>
              <w:rPr>
                <w:rFonts w:ascii="Arial" w:cs="Arial" w:eastAsia="Arial" w:hAnsi="Arial"/>
                <w:sz w:val="16"/>
                <w:szCs w:val="16"/>
                <w:b w:val="1"/>
                <w:bCs w:val="1"/>
                <w:color w:val="auto"/>
              </w:rPr>
              <w:t>Three months ended October 31,</w:t>
            </w:r>
          </w:p>
        </w:tc>
        <w:tc>
          <w:tcPr>
            <w:tcW w:w="2300" w:type="dxa"/>
            <w:vAlign w:val="bottom"/>
            <w:gridSpan w:val="4"/>
          </w:tcPr>
          <w:p>
            <w:pPr>
              <w:jc w:val="right"/>
              <w:ind w:right="180"/>
              <w:spacing w:after="0"/>
              <w:rPr>
                <w:sz w:val="20"/>
                <w:szCs w:val="20"/>
                <w:color w:val="auto"/>
              </w:rPr>
            </w:pPr>
            <w:r>
              <w:rPr>
                <w:rFonts w:ascii="Arial" w:cs="Arial" w:eastAsia="Arial" w:hAnsi="Arial"/>
                <w:sz w:val="16"/>
                <w:szCs w:val="16"/>
                <w:b w:val="1"/>
                <w:bCs w:val="1"/>
                <w:color w:val="auto"/>
                <w:w w:val="91"/>
              </w:rPr>
              <w:t>Six months ended October 31,</w:t>
            </w:r>
          </w:p>
        </w:tc>
        <w:tc>
          <w:tcPr>
            <w:tcW w:w="0" w:type="dxa"/>
            <w:vAlign w:val="bottom"/>
          </w:tcPr>
          <w:p>
            <w:pPr>
              <w:spacing w:after="0"/>
              <w:rPr>
                <w:sz w:val="1"/>
                <w:szCs w:val="1"/>
                <w:color w:val="auto"/>
              </w:rPr>
            </w:pPr>
          </w:p>
        </w:tc>
      </w:tr>
      <w:tr>
        <w:trPr>
          <w:trHeight w:val="190"/>
        </w:trPr>
        <w:tc>
          <w:tcPr>
            <w:tcW w:w="358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94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2011</w:t>
            </w:r>
          </w:p>
        </w:tc>
        <w:tc>
          <w:tcPr>
            <w:tcW w:w="440" w:type="dxa"/>
            <w:vAlign w:val="bottom"/>
            <w:tcBorders>
              <w:top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6"/>
                <w:szCs w:val="16"/>
                <w:b w:val="1"/>
                <w:bCs w:val="1"/>
                <w:color w:val="auto"/>
              </w:rPr>
              <w:t>2010</w:t>
            </w:r>
          </w:p>
        </w:tc>
        <w:tc>
          <w:tcPr>
            <w:tcW w:w="40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2011</w:t>
            </w:r>
          </w:p>
        </w:tc>
        <w:tc>
          <w:tcPr>
            <w:tcW w:w="420" w:type="dxa"/>
            <w:vAlign w:val="bottom"/>
            <w:tcBorders>
              <w:top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2010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US Navy</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31%</w:t>
            </w:r>
          </w:p>
        </w:tc>
        <w:tc>
          <w:tcPr>
            <w:tcW w:w="134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50%</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47%</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96"/>
        </w:trPr>
        <w:tc>
          <w:tcPr>
            <w:tcW w:w="3820" w:type="dxa"/>
            <w:vAlign w:val="bottom"/>
            <w:gridSpan w:val="2"/>
          </w:tcPr>
          <w:p>
            <w:pPr>
              <w:spacing w:after="0"/>
              <w:rPr>
                <w:sz w:val="20"/>
                <w:szCs w:val="20"/>
                <w:color w:val="auto"/>
              </w:rPr>
            </w:pPr>
            <w:r>
              <w:rPr>
                <w:rFonts w:ascii="Arial" w:cs="Arial" w:eastAsia="Arial" w:hAnsi="Arial"/>
                <w:sz w:val="16"/>
                <w:szCs w:val="16"/>
                <w:color w:val="auto"/>
              </w:rPr>
              <w:t>US Department of Energy</w:t>
            </w:r>
          </w:p>
        </w:tc>
        <w:tc>
          <w:tcPr>
            <w:tcW w:w="1380" w:type="dxa"/>
            <w:vAlign w:val="bottom"/>
            <w:gridSpan w:val="2"/>
          </w:tcPr>
          <w:p>
            <w:pPr>
              <w:jc w:val="right"/>
              <w:ind w:right="300"/>
              <w:spacing w:after="0"/>
              <w:rPr>
                <w:sz w:val="20"/>
                <w:szCs w:val="20"/>
                <w:color w:val="auto"/>
              </w:rPr>
            </w:pPr>
            <w:r>
              <w:rPr>
                <w:rFonts w:ascii="Arial" w:cs="Arial" w:eastAsia="Arial" w:hAnsi="Arial"/>
                <w:sz w:val="16"/>
                <w:szCs w:val="16"/>
                <w:color w:val="auto"/>
              </w:rPr>
              <w:t>23%</w:t>
            </w:r>
          </w:p>
        </w:tc>
        <w:tc>
          <w:tcPr>
            <w:tcW w:w="1340" w:type="dxa"/>
            <w:vAlign w:val="bottom"/>
            <w:gridSpan w:val="2"/>
          </w:tcPr>
          <w:p>
            <w:pPr>
              <w:ind w:left="780"/>
              <w:spacing w:after="0"/>
              <w:rPr>
                <w:sz w:val="20"/>
                <w:szCs w:val="20"/>
                <w:color w:val="auto"/>
              </w:rPr>
            </w:pPr>
            <w:r>
              <w:rPr>
                <w:rFonts w:ascii="Arial" w:cs="Arial" w:eastAsia="Arial" w:hAnsi="Arial"/>
                <w:sz w:val="16"/>
                <w:szCs w:val="16"/>
                <w:color w:val="auto"/>
              </w:rPr>
              <w:t>31%</w:t>
            </w: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24%</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96"/>
        </w:trPr>
        <w:tc>
          <w:tcPr>
            <w:tcW w:w="3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UK Government’s Technology Strategy Board</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32%</w:t>
            </w:r>
          </w:p>
        </w:tc>
        <w:tc>
          <w:tcPr>
            <w:tcW w:w="134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15%</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21%</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6"/>
        </w:trPr>
        <w:tc>
          <w:tcPr>
            <w:tcW w:w="3820" w:type="dxa"/>
            <w:vAlign w:val="bottom"/>
            <w:gridSpan w:val="2"/>
          </w:tcPr>
          <w:p>
            <w:pPr>
              <w:spacing w:after="0"/>
              <w:rPr>
                <w:sz w:val="20"/>
                <w:szCs w:val="20"/>
                <w:color w:val="auto"/>
              </w:rPr>
            </w:pPr>
            <w:r>
              <w:rPr>
                <w:rFonts w:ascii="Arial" w:cs="Arial" w:eastAsia="Arial" w:hAnsi="Arial"/>
                <w:sz w:val="16"/>
                <w:szCs w:val="16"/>
                <w:color w:val="auto"/>
              </w:rPr>
              <w:t>European Union (WavePort project)</w:t>
            </w:r>
          </w:p>
        </w:tc>
        <w:tc>
          <w:tcPr>
            <w:tcW w:w="1380" w:type="dxa"/>
            <w:vAlign w:val="bottom"/>
            <w:gridSpan w:val="2"/>
          </w:tcPr>
          <w:p>
            <w:pPr>
              <w:jc w:val="right"/>
              <w:ind w:right="300"/>
              <w:spacing w:after="0"/>
              <w:rPr>
                <w:sz w:val="20"/>
                <w:szCs w:val="20"/>
                <w:color w:val="auto"/>
              </w:rPr>
            </w:pPr>
            <w:r>
              <w:rPr>
                <w:rFonts w:ascii="Arial" w:cs="Arial" w:eastAsia="Arial" w:hAnsi="Arial"/>
                <w:sz w:val="16"/>
                <w:szCs w:val="16"/>
                <w:color w:val="auto"/>
              </w:rPr>
              <w:t>11%</w:t>
            </w:r>
          </w:p>
        </w:tc>
        <w:tc>
          <w:tcPr>
            <w:tcW w:w="134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5%</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3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97%</w:t>
            </w:r>
          </w:p>
        </w:tc>
        <w:tc>
          <w:tcPr>
            <w:tcW w:w="134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96%</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97%</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300" w:right="1599"/>
        <w:spacing w:after="0" w:line="287" w:lineRule="auto"/>
        <w:rPr>
          <w:sz w:val="20"/>
          <w:szCs w:val="20"/>
          <w:color w:val="auto"/>
        </w:rPr>
      </w:pPr>
      <w:r>
        <w:rPr>
          <w:rFonts w:ascii="Arial" w:cs="Arial" w:eastAsia="Arial" w:hAnsi="Arial"/>
          <w:sz w:val="16"/>
          <w:szCs w:val="16"/>
          <w:color w:val="auto"/>
        </w:rPr>
        <w:t>The loss of, or a significant reduction in revenues from, any of the current customers could significantly impact the Company’s financial position or results of operations. The Company does not require collateral from its customers.</w:t>
      </w:r>
    </w:p>
    <w:p>
      <w:pPr>
        <w:spacing w:after="0" w:line="200" w:lineRule="exact"/>
        <w:rPr>
          <w:sz w:val="20"/>
          <w:szCs w:val="20"/>
          <w:color w:val="auto"/>
        </w:rPr>
      </w:pPr>
    </w:p>
    <w:p>
      <w:pPr>
        <w:spacing w:after="0" w:line="281"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263765"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0219"/>
          </w:cols>
          <w:pgMar w:left="240" w:top="394" w:right="1440"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82"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Ocean Power Technologies, Inc. and Subsidiaries</w:t>
      </w:r>
    </w:p>
    <w:p>
      <w:pPr>
        <w:spacing w:after="0" w:line="28"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2"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(Unaudited)</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(g) Net Loss per Common Share</w:t>
      </w:r>
    </w:p>
    <w:p>
      <w:pPr>
        <w:spacing w:after="0" w:line="172" w:lineRule="exact"/>
        <w:rPr>
          <w:sz w:val="20"/>
          <w:szCs w:val="20"/>
          <w:color w:val="auto"/>
        </w:rPr>
      </w:pPr>
    </w:p>
    <w:p>
      <w:pPr>
        <w:ind w:left="300" w:right="1219"/>
        <w:spacing w:after="0" w:line="266" w:lineRule="auto"/>
        <w:rPr>
          <w:sz w:val="20"/>
          <w:szCs w:val="20"/>
          <w:color w:val="auto"/>
        </w:rPr>
      </w:pPr>
      <w:r>
        <w:rPr>
          <w:rFonts w:ascii="Arial" w:cs="Arial" w:eastAsia="Arial" w:hAnsi="Arial"/>
          <w:sz w:val="16"/>
          <w:szCs w:val="16"/>
          <w:color w:val="auto"/>
        </w:rPr>
        <w:t>Basic and diluted net loss per share for all periods presented is computed by dividing net loss by the weighted average number of shares of common stock outstanding during the period. Due to the Company’s net losses, potentially dilutive securities, consisting of outstanding stock options and non-vested performance-based shares, were excluded from the diluted loss per share calculation due to their anti-dilutive effect.</w:t>
      </w:r>
    </w:p>
    <w:p>
      <w:pPr>
        <w:spacing w:after="0" w:line="130" w:lineRule="exact"/>
        <w:rPr>
          <w:sz w:val="20"/>
          <w:szCs w:val="20"/>
          <w:color w:val="auto"/>
        </w:rPr>
      </w:pPr>
    </w:p>
    <w:p>
      <w:pPr>
        <w:ind w:left="300" w:right="1159"/>
        <w:spacing w:after="0" w:line="266" w:lineRule="auto"/>
        <w:rPr>
          <w:sz w:val="20"/>
          <w:szCs w:val="20"/>
          <w:color w:val="auto"/>
        </w:rPr>
      </w:pPr>
      <w:r>
        <w:rPr>
          <w:rFonts w:ascii="Arial" w:cs="Arial" w:eastAsia="Arial" w:hAnsi="Arial"/>
          <w:sz w:val="16"/>
          <w:szCs w:val="16"/>
          <w:color w:val="auto"/>
        </w:rPr>
        <w:t>In computing diluted net loss per share, options to purchase shares of common stock and non-vested restricted stock issued to employees and non-employee directors, totaling 1,551,433 for the three and six months ended October 31, 2011 and 1,747,751 for the three and six months ended October 31, 2010, were excluded from the computations as the effect would be anti-dilutive due to the Company’s losses.</w:t>
      </w:r>
    </w:p>
    <w:p>
      <w:pPr>
        <w:spacing w:after="0" w:line="14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(h) Recently Issued Accounting Standards</w:t>
      </w:r>
    </w:p>
    <w:p>
      <w:pPr>
        <w:spacing w:after="0" w:line="172" w:lineRule="exact"/>
        <w:rPr>
          <w:sz w:val="20"/>
          <w:szCs w:val="20"/>
          <w:color w:val="auto"/>
        </w:rPr>
      </w:pPr>
    </w:p>
    <w:p>
      <w:pPr>
        <w:ind w:left="300" w:right="1279"/>
        <w:spacing w:after="0" w:line="285" w:lineRule="auto"/>
        <w:rPr>
          <w:sz w:val="20"/>
          <w:szCs w:val="20"/>
          <w:color w:val="auto"/>
        </w:rPr>
      </w:pPr>
      <w:r>
        <w:rPr>
          <w:rFonts w:ascii="Arial" w:cs="Arial" w:eastAsia="Arial" w:hAnsi="Arial"/>
          <w:sz w:val="15"/>
          <w:szCs w:val="15"/>
          <w:color w:val="auto"/>
        </w:rPr>
        <w:t>In May 2011, the Financial Accounting Standards Board (“FASB”) issued additional authoritative guidance related to fair value measurements and disclosures. The new guidance results in a consistent definition of fair value and common requirements for measurement of and disclosure about fair value between accounting principles generally accepted in the United States (U.S. GAAP) and International Financial Reporting Standards (IFRS). The guidance is effective for fiscal years and interim periods within those years beginning after December 15, 2011. The Company is currently assessing the impact of the guidance.</w:t>
      </w:r>
    </w:p>
    <w:p>
      <w:pPr>
        <w:spacing w:after="0" w:line="118" w:lineRule="exact"/>
        <w:rPr>
          <w:sz w:val="20"/>
          <w:szCs w:val="20"/>
          <w:color w:val="auto"/>
        </w:rPr>
      </w:pPr>
    </w:p>
    <w:p>
      <w:pPr>
        <w:ind w:left="300" w:right="1219"/>
        <w:spacing w:after="0" w:line="283" w:lineRule="auto"/>
        <w:rPr>
          <w:sz w:val="20"/>
          <w:szCs w:val="20"/>
          <w:color w:val="auto"/>
        </w:rPr>
      </w:pPr>
      <w:r>
        <w:rPr>
          <w:rFonts w:ascii="Arial" w:cs="Arial" w:eastAsia="Arial" w:hAnsi="Arial"/>
          <w:sz w:val="15"/>
          <w:szCs w:val="15"/>
          <w:color w:val="auto"/>
        </w:rPr>
        <w:t>In June 2011, the FASB issued amended guidance on the presentation of comprehensive income in financial statements. This amendment provides companies the option to present the components of net income and other comprehensive income either as one continuous statement of comprehensive income or as two separate but consecutive statements. It eliminates the option to present components of other comprehensive income as part of the statement of changes in stockholders’ equity. The provisions of this new guidance are effective for interim and annual periods beginning after December 15, 2011. The adoption of this new guidance will not impact the Company’s financial position, results of operations or cash flows.</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(i) Reclassifications</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Certain prior year amounts have been reclassified to conform to the current year presentation.</w:t>
      </w:r>
    </w:p>
    <w:p>
      <w:pPr>
        <w:spacing w:after="0" w:line="200" w:lineRule="exact"/>
        <w:rPr>
          <w:sz w:val="20"/>
          <w:szCs w:val="20"/>
          <w:color w:val="auto"/>
        </w:rPr>
      </w:pPr>
    </w:p>
    <w:p>
      <w:pPr>
        <w:spacing w:after="0" w:line="340"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263765"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0219"/>
          </w:cols>
          <w:pgMar w:left="240" w:top="394" w:right="1440"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82" w:lineRule="exact"/>
        <w:rPr>
          <w:sz w:val="20"/>
          <w:szCs w:val="20"/>
          <w:color w:val="auto"/>
        </w:rPr>
      </w:pPr>
    </w:p>
    <w:p>
      <w:pPr>
        <w:jc w:val="center"/>
        <w:ind w:right="2000"/>
        <w:spacing w:after="0"/>
        <w:rPr>
          <w:sz w:val="20"/>
          <w:szCs w:val="20"/>
          <w:color w:val="auto"/>
        </w:rPr>
      </w:pPr>
      <w:r>
        <w:rPr>
          <w:rFonts w:ascii="Arial" w:cs="Arial" w:eastAsia="Arial" w:hAnsi="Arial"/>
          <w:sz w:val="16"/>
          <w:szCs w:val="16"/>
          <w:b w:val="1"/>
          <w:bCs w:val="1"/>
          <w:color w:val="auto"/>
        </w:rPr>
        <w:t>Ocean Power Technologies, Inc. and Subsidiaries</w:t>
      </w:r>
    </w:p>
    <w:p>
      <w:pPr>
        <w:spacing w:after="0" w:line="28" w:lineRule="exact"/>
        <w:rPr>
          <w:sz w:val="20"/>
          <w:szCs w:val="20"/>
          <w:color w:val="auto"/>
        </w:rPr>
      </w:pPr>
    </w:p>
    <w:p>
      <w:pPr>
        <w:jc w:val="center"/>
        <w:ind w:right="200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2" w:lineRule="exact"/>
        <w:rPr>
          <w:sz w:val="20"/>
          <w:szCs w:val="20"/>
          <w:color w:val="auto"/>
        </w:rPr>
      </w:pPr>
    </w:p>
    <w:p>
      <w:pPr>
        <w:jc w:val="center"/>
        <w:ind w:right="2000"/>
        <w:spacing w:after="0"/>
        <w:rPr>
          <w:sz w:val="20"/>
          <w:szCs w:val="20"/>
          <w:color w:val="auto"/>
        </w:rPr>
      </w:pPr>
      <w:r>
        <w:rPr>
          <w:rFonts w:ascii="Arial" w:cs="Arial" w:eastAsia="Arial" w:hAnsi="Arial"/>
          <w:sz w:val="16"/>
          <w:szCs w:val="16"/>
          <w:b w:val="1"/>
          <w:bCs w:val="1"/>
          <w:color w:val="auto"/>
        </w:rPr>
        <w:t>(Unaudited)</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(3) Marketable Securities</w:t>
      </w:r>
    </w:p>
    <w:p>
      <w:pPr>
        <w:spacing w:after="0" w:line="176" w:lineRule="exact"/>
        <w:rPr>
          <w:sz w:val="20"/>
          <w:szCs w:val="20"/>
          <w:color w:val="auto"/>
        </w:rPr>
      </w:pPr>
    </w:p>
    <w:p>
      <w:pPr>
        <w:jc w:val="both"/>
        <w:ind w:left="300" w:right="2440"/>
        <w:spacing w:after="0" w:line="287" w:lineRule="auto"/>
        <w:rPr>
          <w:sz w:val="20"/>
          <w:szCs w:val="20"/>
          <w:color w:val="auto"/>
        </w:rPr>
      </w:pPr>
      <w:r>
        <w:rPr>
          <w:rFonts w:ascii="Arial" w:cs="Arial" w:eastAsia="Arial" w:hAnsi="Arial"/>
          <w:sz w:val="16"/>
          <w:szCs w:val="16"/>
          <w:color w:val="auto"/>
        </w:rPr>
        <w:t>Marketable securities with initial maturities longer than three months but that mature within one year from the balance sheet date are classified as current assets and are summarized as follows:</w:t>
      </w:r>
    </w:p>
    <w:p>
      <w:pPr>
        <w:spacing w:after="0" w:line="145" w:lineRule="exact"/>
        <w:rPr>
          <w:sz w:val="20"/>
          <w:szCs w:val="20"/>
          <w:color w:val="auto"/>
        </w:rPr>
      </w:pPr>
    </w:p>
    <w:tbl>
      <w:tblPr>
        <w:tblLayout w:type="fixed"/>
        <w:tblInd w:w="300" w:type="dxa"/>
        <w:tblCellMar>
          <w:top w:w="0" w:type="dxa"/>
          <w:left w:w="0" w:type="dxa"/>
          <w:bottom w:w="0" w:type="dxa"/>
          <w:right w:w="0" w:type="dxa"/>
        </w:tblCellMar>
      </w:tblPr>
      <w:tr>
        <w:trPr>
          <w:trHeight w:val="196"/>
        </w:trPr>
        <w:tc>
          <w:tcPr>
            <w:tcW w:w="6640" w:type="dxa"/>
            <w:vAlign w:val="bottom"/>
          </w:tcPr>
          <w:p>
            <w:pPr>
              <w:spacing w:after="0"/>
              <w:rPr>
                <w:sz w:val="17"/>
                <w:szCs w:val="17"/>
                <w:color w:val="auto"/>
              </w:rPr>
            </w:pPr>
          </w:p>
        </w:tc>
        <w:tc>
          <w:tcPr>
            <w:tcW w:w="1240" w:type="dxa"/>
            <w:vAlign w:val="bottom"/>
            <w:gridSpan w:val="3"/>
          </w:tcPr>
          <w:p>
            <w:pPr>
              <w:ind w:left="40"/>
              <w:spacing w:after="0"/>
              <w:rPr>
                <w:sz w:val="20"/>
                <w:szCs w:val="20"/>
                <w:color w:val="auto"/>
              </w:rPr>
            </w:pPr>
            <w:r>
              <w:rPr>
                <w:rFonts w:ascii="Arial" w:cs="Arial" w:eastAsia="Arial" w:hAnsi="Arial"/>
                <w:sz w:val="16"/>
                <w:szCs w:val="16"/>
                <w:b w:val="1"/>
                <w:bCs w:val="1"/>
                <w:color w:val="auto"/>
              </w:rPr>
              <w:t>October 31,</w:t>
            </w:r>
          </w:p>
        </w:tc>
        <w:tc>
          <w:tcPr>
            <w:tcW w:w="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April 30,</w:t>
            </w:r>
          </w:p>
        </w:tc>
      </w:tr>
      <w:tr>
        <w:trPr>
          <w:trHeight w:val="212"/>
        </w:trPr>
        <w:tc>
          <w:tcPr>
            <w:tcW w:w="6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2011</w:t>
            </w:r>
          </w:p>
        </w:tc>
        <w:tc>
          <w:tcPr>
            <w:tcW w:w="340" w:type="dxa"/>
            <w:vAlign w:val="bottom"/>
          </w:tcPr>
          <w:p>
            <w:pPr>
              <w:spacing w:after="0"/>
              <w:rPr>
                <w:sz w:val="18"/>
                <w:szCs w:val="18"/>
                <w:color w:val="auto"/>
              </w:rPr>
            </w:pPr>
          </w:p>
        </w:tc>
        <w:tc>
          <w:tcPr>
            <w:tcW w:w="86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r>
      <w:tr>
        <w:trPr>
          <w:trHeight w:val="189"/>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6640" w:type="dxa"/>
            <w:vAlign w:val="bottom"/>
            <w:shd w:val="clear" w:color="auto" w:fill="CCEEFF"/>
          </w:tcPr>
          <w:p>
            <w:pPr>
              <w:spacing w:after="0"/>
              <w:rPr>
                <w:sz w:val="20"/>
                <w:szCs w:val="20"/>
                <w:color w:val="auto"/>
              </w:rPr>
            </w:pPr>
            <w:r>
              <w:rPr>
                <w:rFonts w:ascii="Arial" w:cs="Arial" w:eastAsia="Arial" w:hAnsi="Arial"/>
                <w:sz w:val="16"/>
                <w:szCs w:val="16"/>
                <w:color w:val="auto"/>
              </w:rPr>
              <w:t>Certificates of deposit denominated in Australian dollars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766,115</w:t>
            </w: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491,895</w:t>
            </w:r>
          </w:p>
        </w:tc>
      </w:tr>
      <w:tr>
        <w:trPr>
          <w:trHeight w:val="392"/>
        </w:trPr>
        <w:tc>
          <w:tcPr>
            <w:tcW w:w="6640" w:type="dxa"/>
            <w:vAlign w:val="bottom"/>
          </w:tcPr>
          <w:p>
            <w:pPr>
              <w:spacing w:after="0"/>
              <w:rPr>
                <w:sz w:val="20"/>
                <w:szCs w:val="20"/>
                <w:color w:val="auto"/>
              </w:rPr>
            </w:pPr>
            <w:r>
              <w:rPr>
                <w:rFonts w:ascii="Arial" w:cs="Arial" w:eastAsia="Arial" w:hAnsi="Arial"/>
                <w:sz w:val="16"/>
                <w:szCs w:val="16"/>
                <w:color w:val="auto"/>
              </w:rPr>
              <w:t>Certificate of deposit denominated in US dollars</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3,806,808</w:t>
            </w:r>
          </w:p>
        </w:tc>
        <w:tc>
          <w:tcPr>
            <w:tcW w:w="34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8"/>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6640" w:type="dxa"/>
            <w:vAlign w:val="bottom"/>
            <w:shd w:val="clear" w:color="auto" w:fill="CCEEFF"/>
          </w:tcPr>
          <w:p>
            <w:pPr>
              <w:spacing w:after="0"/>
              <w:rPr>
                <w:sz w:val="20"/>
                <w:szCs w:val="20"/>
                <w:color w:val="auto"/>
              </w:rPr>
            </w:pPr>
            <w:r>
              <w:rPr>
                <w:rFonts w:ascii="Arial" w:cs="Arial" w:eastAsia="Arial" w:hAnsi="Arial"/>
                <w:sz w:val="16"/>
                <w:szCs w:val="16"/>
                <w:color w:val="auto"/>
              </w:rPr>
              <w:t>US Treasury obligations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24,995,854</w:t>
            </w: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25,526,699</w:t>
            </w:r>
          </w:p>
        </w:tc>
      </w:tr>
      <w:tr>
        <w:trPr>
          <w:trHeight w:val="20"/>
        </w:trPr>
        <w:tc>
          <w:tcPr>
            <w:tcW w:w="6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7"/>
        </w:trPr>
        <w:tc>
          <w:tcPr>
            <w:tcW w:w="66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4"/>
              </w:rPr>
              <w:t>29,568,777</w:t>
            </w:r>
          </w:p>
        </w:tc>
        <w:tc>
          <w:tcPr>
            <w:tcW w:w="34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26,018,594</w:t>
            </w:r>
          </w:p>
        </w:tc>
      </w:tr>
      <w:tr>
        <w:trPr>
          <w:trHeight w:val="20"/>
        </w:trPr>
        <w:tc>
          <w:tcPr>
            <w:tcW w:w="6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ind w:left="300" w:right="2440"/>
        <w:spacing w:after="0" w:line="271" w:lineRule="auto"/>
        <w:rPr>
          <w:sz w:val="20"/>
          <w:szCs w:val="20"/>
          <w:color w:val="auto"/>
        </w:rPr>
      </w:pPr>
      <w:r>
        <w:rPr>
          <w:rFonts w:ascii="Arial" w:cs="Arial" w:eastAsia="Arial" w:hAnsi="Arial"/>
          <w:sz w:val="16"/>
          <w:szCs w:val="16"/>
          <w:color w:val="auto"/>
        </w:rPr>
        <w:t>The Company’s marketable securities that mature more than one year from the balance sheet date are classified as noncurrent assets. These marketable securities all mature in less than three years, are all classified as held-to-maturity, are carried at amortized cost and are summarized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color w:val="auto"/>
                <w:w w:val="88"/>
              </w:rPr>
              <w:t>Gross</w:t>
            </w: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color w:val="auto"/>
                <w:w w:val="88"/>
              </w:rPr>
              <w:t>Gross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6"/>
                <w:szCs w:val="16"/>
                <w:color w:val="auto"/>
                <w:w w:val="97"/>
              </w:rPr>
              <w:t>Amortized</w:t>
            </w: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color w:val="auto"/>
                <w:w w:val="92"/>
              </w:rPr>
              <w:t>unrealized</w:t>
            </w: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color w:val="auto"/>
                <w:w w:val="92"/>
              </w:rPr>
              <w:t>unrealized</w:t>
            </w: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Market</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6"/>
                <w:szCs w:val="16"/>
                <w:color w:val="auto"/>
                <w:w w:val="88"/>
              </w:rPr>
              <w:t>cost</w:t>
            </w: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color w:val="auto"/>
                <w:w w:val="88"/>
              </w:rPr>
              <w:t>gains</w:t>
            </w: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color w:val="auto"/>
                <w:w w:val="88"/>
              </w:rPr>
              <w:t>losses</w:t>
            </w:r>
          </w:p>
        </w:tc>
        <w:tc>
          <w:tcPr>
            <w:tcW w:w="960" w:type="dxa"/>
            <w:vAlign w:val="bottom"/>
            <w:gridSpan w:val="2"/>
          </w:tcPr>
          <w:p>
            <w:pPr>
              <w:jc w:val="right"/>
              <w:ind w:right="360"/>
              <w:spacing w:after="0"/>
              <w:rPr>
                <w:sz w:val="20"/>
                <w:szCs w:val="20"/>
                <w:color w:val="auto"/>
              </w:rPr>
            </w:pPr>
            <w:r>
              <w:rPr>
                <w:rFonts w:ascii="Arial" w:cs="Arial" w:eastAsia="Arial" w:hAnsi="Arial"/>
                <w:sz w:val="16"/>
                <w:szCs w:val="16"/>
                <w:color w:val="auto"/>
              </w:rPr>
              <w:t>value</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6"/>
                <w:szCs w:val="16"/>
                <w:color w:val="auto"/>
              </w:rPr>
              <w:t>October 31, 2011</w:t>
            </w:r>
          </w:p>
        </w:tc>
        <w:tc>
          <w:tcPr>
            <w:tcW w:w="12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2880" w:type="dxa"/>
            <w:vAlign w:val="bottom"/>
          </w:tcPr>
          <w:p>
            <w:pPr>
              <w:spacing w:after="0"/>
              <w:rPr>
                <w:sz w:val="20"/>
                <w:szCs w:val="20"/>
                <w:color w:val="auto"/>
              </w:rPr>
            </w:pPr>
            <w:r>
              <w:rPr>
                <w:rFonts w:ascii="Arial" w:cs="Arial" w:eastAsia="Arial" w:hAnsi="Arial"/>
                <w:sz w:val="16"/>
                <w:szCs w:val="16"/>
                <w:color w:val="auto"/>
              </w:rPr>
              <w:t>US Treasury obligations</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3,019,224</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29,046</w:t>
            </w:r>
          </w:p>
        </w:tc>
        <w:tc>
          <w:tcPr>
            <w:tcW w:w="12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3,048,270</w:t>
            </w: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3,019,224</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29,046</w:t>
            </w:r>
          </w:p>
        </w:tc>
        <w:tc>
          <w:tcPr>
            <w:tcW w:w="122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3,048,270</w:t>
            </w:r>
          </w:p>
        </w:tc>
        <w:tc>
          <w:tcPr>
            <w:tcW w:w="10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880" w:type="dxa"/>
            <w:vAlign w:val="bottom"/>
            <w:vMerge w:val="restart"/>
          </w:tcPr>
          <w:p>
            <w:pPr>
              <w:spacing w:after="0"/>
              <w:rPr>
                <w:sz w:val="20"/>
                <w:szCs w:val="20"/>
                <w:color w:val="auto"/>
              </w:rPr>
            </w:pPr>
            <w:r>
              <w:rPr>
                <w:rFonts w:ascii="Arial" w:cs="Arial" w:eastAsia="Arial" w:hAnsi="Arial"/>
                <w:sz w:val="16"/>
                <w:szCs w:val="16"/>
                <w:color w:val="auto"/>
              </w:rPr>
              <w:t>April 30, 2011</w:t>
            </w:r>
          </w:p>
        </w:tc>
        <w:tc>
          <w:tcPr>
            <w:tcW w:w="1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30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6"/>
                <w:szCs w:val="16"/>
                <w:color w:val="auto"/>
              </w:rPr>
              <w:t>US Treasury obligations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w w:val="99"/>
              </w:rPr>
              <w:t>12,516,208</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164,107</w:t>
            </w:r>
          </w:p>
        </w:tc>
        <w:tc>
          <w:tcPr>
            <w:tcW w:w="122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12,680,315</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2880" w:type="dxa"/>
            <w:vAlign w:val="bottom"/>
          </w:tcPr>
          <w:p>
            <w:pPr>
              <w:spacing w:after="0"/>
              <w:rPr>
                <w:sz w:val="20"/>
                <w:szCs w:val="20"/>
                <w:color w:val="auto"/>
              </w:rPr>
            </w:pPr>
            <w:r>
              <w:rPr>
                <w:rFonts w:ascii="Arial" w:cs="Arial" w:eastAsia="Arial" w:hAnsi="Arial"/>
                <w:sz w:val="16"/>
                <w:szCs w:val="16"/>
                <w:color w:val="auto"/>
              </w:rPr>
              <w:t>Certificate of deposit</w:t>
            </w: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3,806,808</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3,806,808</w:t>
            </w:r>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w w:val="99"/>
              </w:rPr>
              <w:t>16,323,016</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164,107</w:t>
            </w:r>
          </w:p>
        </w:tc>
        <w:tc>
          <w:tcPr>
            <w:tcW w:w="122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16,487,123</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2"/>
        </w:trPr>
        <w:tc>
          <w:tcPr>
            <w:tcW w:w="3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ind w:right="478"/>
              <w:spacing w:after="0"/>
              <w:rPr>
                <w:sz w:val="20"/>
                <w:szCs w:val="20"/>
                <w:color w:val="auto"/>
              </w:rPr>
            </w:pPr>
            <w:r>
              <w:rPr>
                <w:rFonts w:ascii="Arial" w:cs="Arial" w:eastAsia="Arial" w:hAnsi="Arial"/>
                <w:sz w:val="16"/>
                <w:szCs w:val="16"/>
                <w:color w:val="auto"/>
              </w:rPr>
              <w:t>11</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00" w:type="dxa"/>
            <w:vAlign w:val="bottom"/>
            <w:tcBorders>
              <w:bottom w:val="single" w:sz="8" w:color="808080"/>
            </w:tcBorders>
          </w:tcPr>
          <w:p>
            <w:pPr>
              <w:spacing w:after="0"/>
              <w:rPr>
                <w:sz w:val="17"/>
                <w:szCs w:val="17"/>
                <w:color w:val="auto"/>
              </w:rPr>
            </w:pPr>
          </w:p>
        </w:tc>
        <w:tc>
          <w:tcPr>
            <w:tcW w:w="2880" w:type="dxa"/>
            <w:vAlign w:val="bottom"/>
            <w:tcBorders>
              <w:bottom w:val="single" w:sz="8" w:color="808080"/>
            </w:tcBorders>
          </w:tcPr>
          <w:p>
            <w:pPr>
              <w:spacing w:after="0"/>
              <w:rPr>
                <w:sz w:val="17"/>
                <w:szCs w:val="17"/>
                <w:color w:val="auto"/>
              </w:rPr>
            </w:pPr>
          </w:p>
        </w:tc>
        <w:tc>
          <w:tcPr>
            <w:tcW w:w="128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8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88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22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394" w:right="23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82"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Ocean Power Technologies, Inc. and Subsidiaries</w:t>
      </w:r>
    </w:p>
    <w:p>
      <w:pPr>
        <w:spacing w:after="0" w:line="28"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2"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(Unaudited)</w:t>
      </w:r>
    </w:p>
    <w:p>
      <w:pPr>
        <w:spacing w:after="0" w:line="169" w:lineRule="exact"/>
        <w:rPr>
          <w:sz w:val="20"/>
          <w:szCs w:val="20"/>
          <w:color w:val="auto"/>
        </w:rPr>
      </w:pPr>
    </w:p>
    <w:tbl>
      <w:tblPr>
        <w:tblLayout w:type="fixed"/>
        <w:tblInd w:w="300" w:type="dxa"/>
        <w:tblCellMar>
          <w:top w:w="0" w:type="dxa"/>
          <w:left w:w="0" w:type="dxa"/>
          <w:bottom w:w="0" w:type="dxa"/>
          <w:right w:w="0" w:type="dxa"/>
        </w:tblCellMar>
      </w:tblPr>
      <w:tr>
        <w:trPr>
          <w:trHeight w:val="212"/>
        </w:trPr>
        <w:tc>
          <w:tcPr>
            <w:tcW w:w="6260" w:type="dxa"/>
            <w:vAlign w:val="bottom"/>
          </w:tcPr>
          <w:p>
            <w:pPr>
              <w:spacing w:after="0"/>
              <w:rPr>
                <w:sz w:val="20"/>
                <w:szCs w:val="20"/>
                <w:color w:val="auto"/>
              </w:rPr>
            </w:pPr>
            <w:r>
              <w:rPr>
                <w:rFonts w:ascii="Arial" w:cs="Arial" w:eastAsia="Arial" w:hAnsi="Arial"/>
                <w:sz w:val="16"/>
                <w:szCs w:val="16"/>
                <w:b w:val="1"/>
                <w:bCs w:val="1"/>
                <w:color w:val="auto"/>
              </w:rPr>
              <w:t>(4) Balance Sheet Detail</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3"/>
        </w:trPr>
        <w:tc>
          <w:tcPr>
            <w:tcW w:w="6260" w:type="dxa"/>
            <w:vAlign w:val="bottom"/>
          </w:tcPr>
          <w:p>
            <w:pPr>
              <w:spacing w:after="0"/>
              <w:rPr>
                <w:sz w:val="24"/>
                <w:szCs w:val="24"/>
                <w:color w:val="auto"/>
              </w:rPr>
            </w:pPr>
          </w:p>
        </w:tc>
        <w:tc>
          <w:tcPr>
            <w:tcW w:w="1500" w:type="dxa"/>
            <w:vAlign w:val="bottom"/>
            <w:gridSpan w:val="3"/>
          </w:tcPr>
          <w:p>
            <w:pPr>
              <w:spacing w:after="0"/>
              <w:rPr>
                <w:sz w:val="20"/>
                <w:szCs w:val="20"/>
                <w:color w:val="auto"/>
              </w:rPr>
            </w:pPr>
            <w:r>
              <w:rPr>
                <w:rFonts w:ascii="Arial" w:cs="Arial" w:eastAsia="Arial" w:hAnsi="Arial"/>
                <w:sz w:val="16"/>
                <w:szCs w:val="16"/>
                <w:b w:val="1"/>
                <w:bCs w:val="1"/>
                <w:color w:val="auto"/>
              </w:rPr>
              <w:t>October 31, 2011</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93"/>
              </w:rPr>
              <w:t>April 30, 2011</w:t>
            </w:r>
          </w:p>
        </w:tc>
      </w:tr>
      <w:tr>
        <w:trPr>
          <w:trHeight w:val="189"/>
        </w:trPr>
        <w:tc>
          <w:tcPr>
            <w:tcW w:w="6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Property and Equipment</w:t>
            </w:r>
          </w:p>
        </w:tc>
        <w:tc>
          <w:tcPr>
            <w:tcW w:w="2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6"/>
        </w:trPr>
        <w:tc>
          <w:tcPr>
            <w:tcW w:w="6260" w:type="dxa"/>
            <w:vAlign w:val="bottom"/>
          </w:tcPr>
          <w:p>
            <w:pPr>
              <w:ind w:left="360"/>
              <w:spacing w:after="0"/>
              <w:rPr>
                <w:sz w:val="20"/>
                <w:szCs w:val="20"/>
                <w:color w:val="auto"/>
              </w:rPr>
            </w:pPr>
            <w:r>
              <w:rPr>
                <w:rFonts w:ascii="Arial" w:cs="Arial" w:eastAsia="Arial" w:hAnsi="Arial"/>
                <w:sz w:val="16"/>
                <w:szCs w:val="16"/>
                <w:color w:val="auto"/>
              </w:rPr>
              <w:t>Property and Equipment</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2,278,453</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2,151,179</w:t>
            </w:r>
          </w:p>
        </w:tc>
        <w:tc>
          <w:tcPr>
            <w:tcW w:w="100" w:type="dxa"/>
            <w:vAlign w:val="bottom"/>
          </w:tcPr>
          <w:p>
            <w:pPr>
              <w:spacing w:after="0"/>
              <w:rPr>
                <w:sz w:val="17"/>
                <w:szCs w:val="17"/>
                <w:color w:val="auto"/>
              </w:rPr>
            </w:pPr>
          </w:p>
        </w:tc>
      </w:tr>
      <w:tr>
        <w:trPr>
          <w:trHeight w:val="196"/>
        </w:trPr>
        <w:tc>
          <w:tcPr>
            <w:tcW w:w="6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depreciation and amortization</w:t>
            </w: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(1,514,317)</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(1,359,087)</w:t>
            </w:r>
          </w:p>
        </w:tc>
      </w:tr>
      <w:tr>
        <w:trPr>
          <w:trHeight w:val="201"/>
        </w:trPr>
        <w:tc>
          <w:tcPr>
            <w:tcW w:w="626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764,136</w:t>
            </w:r>
          </w:p>
        </w:tc>
        <w:tc>
          <w:tcPr>
            <w:tcW w:w="32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792,092</w:t>
            </w:r>
          </w:p>
        </w:tc>
        <w:tc>
          <w:tcPr>
            <w:tcW w:w="100" w:type="dxa"/>
            <w:vAlign w:val="bottom"/>
          </w:tcPr>
          <w:p>
            <w:pPr>
              <w:spacing w:after="0"/>
              <w:rPr>
                <w:sz w:val="17"/>
                <w:szCs w:val="17"/>
                <w:color w:val="auto"/>
              </w:rPr>
            </w:pPr>
          </w:p>
        </w:tc>
      </w:tr>
      <w:tr>
        <w:trPr>
          <w:trHeight w:val="20"/>
        </w:trPr>
        <w:tc>
          <w:tcPr>
            <w:tcW w:w="6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6"/>
        </w:trPr>
        <w:tc>
          <w:tcPr>
            <w:tcW w:w="6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6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Patents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6"/>
        </w:trPr>
        <w:tc>
          <w:tcPr>
            <w:tcW w:w="6260" w:type="dxa"/>
            <w:vAlign w:val="bottom"/>
          </w:tcPr>
          <w:p>
            <w:pPr>
              <w:ind w:left="360"/>
              <w:spacing w:after="0"/>
              <w:rPr>
                <w:sz w:val="20"/>
                <w:szCs w:val="20"/>
                <w:color w:val="auto"/>
              </w:rPr>
            </w:pPr>
            <w:r>
              <w:rPr>
                <w:rFonts w:ascii="Arial" w:cs="Arial" w:eastAsia="Arial" w:hAnsi="Arial"/>
                <w:sz w:val="16"/>
                <w:szCs w:val="16"/>
                <w:color w:val="auto"/>
              </w:rPr>
              <w:t>Patents</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1,658,288</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1,556,277</w:t>
            </w:r>
          </w:p>
        </w:tc>
        <w:tc>
          <w:tcPr>
            <w:tcW w:w="100" w:type="dxa"/>
            <w:vAlign w:val="bottom"/>
          </w:tcPr>
          <w:p>
            <w:pPr>
              <w:spacing w:after="0"/>
              <w:rPr>
                <w:sz w:val="17"/>
                <w:szCs w:val="17"/>
                <w:color w:val="auto"/>
              </w:rPr>
            </w:pPr>
          </w:p>
        </w:tc>
      </w:tr>
      <w:tr>
        <w:trPr>
          <w:trHeight w:val="196"/>
        </w:trPr>
        <w:tc>
          <w:tcPr>
            <w:tcW w:w="6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amortization</w:t>
            </w: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(361,590)</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(333,909)</w:t>
            </w:r>
          </w:p>
        </w:tc>
      </w:tr>
      <w:tr>
        <w:trPr>
          <w:trHeight w:val="201"/>
        </w:trPr>
        <w:tc>
          <w:tcPr>
            <w:tcW w:w="626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1,296,698</w:t>
            </w:r>
          </w:p>
        </w:tc>
        <w:tc>
          <w:tcPr>
            <w:tcW w:w="32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1,222,368</w:t>
            </w:r>
          </w:p>
        </w:tc>
        <w:tc>
          <w:tcPr>
            <w:tcW w:w="100" w:type="dxa"/>
            <w:vAlign w:val="bottom"/>
          </w:tcPr>
          <w:p>
            <w:pPr>
              <w:spacing w:after="0"/>
              <w:rPr>
                <w:sz w:val="17"/>
                <w:szCs w:val="17"/>
                <w:color w:val="auto"/>
              </w:rPr>
            </w:pPr>
          </w:p>
        </w:tc>
      </w:tr>
      <w:tr>
        <w:trPr>
          <w:trHeight w:val="20"/>
        </w:trPr>
        <w:tc>
          <w:tcPr>
            <w:tcW w:w="6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6"/>
        </w:trPr>
        <w:tc>
          <w:tcPr>
            <w:tcW w:w="6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6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Accrued Expenses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6"/>
        </w:trPr>
        <w:tc>
          <w:tcPr>
            <w:tcW w:w="6260" w:type="dxa"/>
            <w:vAlign w:val="bottom"/>
          </w:tcPr>
          <w:p>
            <w:pPr>
              <w:ind w:left="180"/>
              <w:spacing w:after="0"/>
              <w:rPr>
                <w:sz w:val="20"/>
                <w:szCs w:val="20"/>
                <w:color w:val="auto"/>
              </w:rPr>
            </w:pPr>
            <w:r>
              <w:rPr>
                <w:rFonts w:ascii="Arial" w:cs="Arial" w:eastAsia="Arial" w:hAnsi="Arial"/>
                <w:sz w:val="16"/>
                <w:szCs w:val="16"/>
                <w:color w:val="auto"/>
              </w:rPr>
              <w:t>Project costs</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1,336,102</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1,505,981</w:t>
            </w:r>
          </w:p>
        </w:tc>
        <w:tc>
          <w:tcPr>
            <w:tcW w:w="100" w:type="dxa"/>
            <w:vAlign w:val="bottom"/>
          </w:tcPr>
          <w:p>
            <w:pPr>
              <w:spacing w:after="0"/>
              <w:rPr>
                <w:sz w:val="17"/>
                <w:szCs w:val="17"/>
                <w:color w:val="auto"/>
              </w:rPr>
            </w:pPr>
          </w:p>
        </w:tc>
      </w:tr>
      <w:tr>
        <w:trPr>
          <w:trHeight w:val="196"/>
        </w:trPr>
        <w:tc>
          <w:tcPr>
            <w:tcW w:w="6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Contract loss reserves</w:t>
            </w: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785,000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785,000</w:t>
            </w:r>
          </w:p>
        </w:tc>
      </w:tr>
      <w:tr>
        <w:trPr>
          <w:trHeight w:val="196"/>
        </w:trPr>
        <w:tc>
          <w:tcPr>
            <w:tcW w:w="6260" w:type="dxa"/>
            <w:vAlign w:val="bottom"/>
          </w:tcPr>
          <w:p>
            <w:pPr>
              <w:ind w:left="180"/>
              <w:spacing w:after="0"/>
              <w:rPr>
                <w:sz w:val="20"/>
                <w:szCs w:val="20"/>
                <w:color w:val="auto"/>
              </w:rPr>
            </w:pPr>
            <w:r>
              <w:rPr>
                <w:rFonts w:ascii="Arial" w:cs="Arial" w:eastAsia="Arial" w:hAnsi="Arial"/>
                <w:sz w:val="16"/>
                <w:szCs w:val="16"/>
                <w:color w:val="auto"/>
              </w:rPr>
              <w:t>Employee incentive payments</w:t>
            </w:r>
          </w:p>
        </w:tc>
        <w:tc>
          <w:tcPr>
            <w:tcW w:w="280" w:type="dxa"/>
            <w:vAlign w:val="bottom"/>
          </w:tcPr>
          <w:p>
            <w:pPr>
              <w:spacing w:after="0"/>
              <w:rPr>
                <w:sz w:val="17"/>
                <w:szCs w:val="17"/>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368,786</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749,464</w:t>
            </w:r>
          </w:p>
        </w:tc>
      </w:tr>
      <w:tr>
        <w:trPr>
          <w:trHeight w:val="196"/>
        </w:trPr>
        <w:tc>
          <w:tcPr>
            <w:tcW w:w="6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206,612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282,999</w:t>
            </w:r>
          </w:p>
        </w:tc>
      </w:tr>
      <w:tr>
        <w:trPr>
          <w:trHeight w:val="196"/>
        </w:trPr>
        <w:tc>
          <w:tcPr>
            <w:tcW w:w="6260" w:type="dxa"/>
            <w:vAlign w:val="bottom"/>
          </w:tcPr>
          <w:p>
            <w:pPr>
              <w:ind w:left="180"/>
              <w:spacing w:after="0"/>
              <w:rPr>
                <w:sz w:val="20"/>
                <w:szCs w:val="20"/>
                <w:color w:val="auto"/>
              </w:rPr>
            </w:pPr>
            <w:r>
              <w:rPr>
                <w:rFonts w:ascii="Arial" w:cs="Arial" w:eastAsia="Arial" w:hAnsi="Arial"/>
                <w:sz w:val="16"/>
                <w:szCs w:val="16"/>
                <w:color w:val="auto"/>
              </w:rPr>
              <w:t>Employee-related costs</w:t>
            </w:r>
          </w:p>
        </w:tc>
        <w:tc>
          <w:tcPr>
            <w:tcW w:w="280" w:type="dxa"/>
            <w:vAlign w:val="bottom"/>
          </w:tcPr>
          <w:p>
            <w:pPr>
              <w:spacing w:after="0"/>
              <w:rPr>
                <w:sz w:val="17"/>
                <w:szCs w:val="17"/>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432,611</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364,799</w:t>
            </w:r>
          </w:p>
        </w:tc>
      </w:tr>
      <w:tr>
        <w:trPr>
          <w:trHeight w:val="196"/>
        </w:trPr>
        <w:tc>
          <w:tcPr>
            <w:tcW w:w="6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Payroll tax withholdings</w:t>
            </w: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166,162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219,632</w:t>
            </w:r>
          </w:p>
        </w:tc>
      </w:tr>
      <w:tr>
        <w:trPr>
          <w:trHeight w:val="196"/>
        </w:trPr>
        <w:tc>
          <w:tcPr>
            <w:tcW w:w="6260" w:type="dxa"/>
            <w:vAlign w:val="bottom"/>
          </w:tcPr>
          <w:p>
            <w:pPr>
              <w:ind w:left="180"/>
              <w:spacing w:after="0"/>
              <w:rPr>
                <w:sz w:val="20"/>
                <w:szCs w:val="20"/>
                <w:color w:val="auto"/>
              </w:rPr>
            </w:pPr>
            <w:r>
              <w:rPr>
                <w:rFonts w:ascii="Arial" w:cs="Arial" w:eastAsia="Arial" w:hAnsi="Arial"/>
                <w:sz w:val="16"/>
                <w:szCs w:val="16"/>
                <w:color w:val="auto"/>
              </w:rPr>
              <w:t>Investment in joint venture</w:t>
            </w:r>
          </w:p>
        </w:tc>
        <w:tc>
          <w:tcPr>
            <w:tcW w:w="280" w:type="dxa"/>
            <w:vAlign w:val="bottom"/>
          </w:tcPr>
          <w:p>
            <w:pPr>
              <w:spacing w:after="0"/>
              <w:rPr>
                <w:sz w:val="17"/>
                <w:szCs w:val="17"/>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188,027</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197,318</w:t>
            </w:r>
          </w:p>
        </w:tc>
      </w:tr>
      <w:tr>
        <w:trPr>
          <w:trHeight w:val="196"/>
        </w:trPr>
        <w:tc>
          <w:tcPr>
            <w:tcW w:w="6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Legal and accounting fees</w:t>
            </w: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202,361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157,616</w:t>
            </w:r>
          </w:p>
        </w:tc>
      </w:tr>
      <w:tr>
        <w:trPr>
          <w:trHeight w:val="201"/>
        </w:trPr>
        <w:tc>
          <w:tcPr>
            <w:tcW w:w="6260" w:type="dxa"/>
            <w:vAlign w:val="bottom"/>
          </w:tcPr>
          <w:p>
            <w:pPr>
              <w:ind w:left="180"/>
              <w:spacing w:after="0"/>
              <w:rPr>
                <w:sz w:val="20"/>
                <w:szCs w:val="20"/>
                <w:color w:val="auto"/>
              </w:rPr>
            </w:pPr>
            <w:r>
              <w:rPr>
                <w:rFonts w:ascii="Arial" w:cs="Arial" w:eastAsia="Arial" w:hAnsi="Arial"/>
                <w:sz w:val="16"/>
                <w:szCs w:val="16"/>
                <w:color w:val="auto"/>
              </w:rPr>
              <w:t>Value-added tax</w:t>
            </w:r>
          </w:p>
        </w:tc>
        <w:tc>
          <w:tcPr>
            <w:tcW w:w="280" w:type="dxa"/>
            <w:vAlign w:val="bottom"/>
          </w:tcPr>
          <w:p>
            <w:pPr>
              <w:spacing w:after="0"/>
              <w:rPr>
                <w:sz w:val="17"/>
                <w:szCs w:val="17"/>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3,367</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40,143</w:t>
            </w:r>
          </w:p>
        </w:tc>
      </w:tr>
      <w:tr>
        <w:trPr>
          <w:trHeight w:val="196"/>
        </w:trPr>
        <w:tc>
          <w:tcPr>
            <w:tcW w:w="6260" w:type="dxa"/>
            <w:vAlign w:val="bottom"/>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3,689,028</w:t>
            </w:r>
          </w:p>
        </w:tc>
        <w:tc>
          <w:tcPr>
            <w:tcW w:w="320" w:type="dxa"/>
            <w:vAlign w:val="bottom"/>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4,302,952</w:t>
            </w:r>
          </w:p>
        </w:tc>
        <w:tc>
          <w:tcPr>
            <w:tcW w:w="100" w:type="dxa"/>
            <w:vAlign w:val="bottom"/>
            <w:shd w:val="clear" w:color="auto" w:fill="CCEEFF"/>
          </w:tcPr>
          <w:p>
            <w:pPr>
              <w:spacing w:after="0"/>
              <w:rPr>
                <w:sz w:val="17"/>
                <w:szCs w:val="17"/>
                <w:color w:val="auto"/>
              </w:rPr>
            </w:pPr>
          </w:p>
        </w:tc>
      </w:tr>
      <w:tr>
        <w:trPr>
          <w:trHeight w:val="20"/>
        </w:trPr>
        <w:tc>
          <w:tcPr>
            <w:tcW w:w="6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5"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(5) Related Party Transactions</w:t>
      </w:r>
    </w:p>
    <w:p>
      <w:pPr>
        <w:spacing w:after="0" w:line="176" w:lineRule="exact"/>
        <w:rPr>
          <w:sz w:val="20"/>
          <w:szCs w:val="20"/>
          <w:color w:val="auto"/>
        </w:rPr>
      </w:pPr>
    </w:p>
    <w:p>
      <w:pPr>
        <w:ind w:left="300" w:right="1179"/>
        <w:spacing w:after="0" w:line="262" w:lineRule="auto"/>
        <w:rPr>
          <w:sz w:val="20"/>
          <w:szCs w:val="20"/>
          <w:color w:val="auto"/>
        </w:rPr>
      </w:pPr>
      <w:r>
        <w:rPr>
          <w:rFonts w:ascii="Arial" w:cs="Arial" w:eastAsia="Arial" w:hAnsi="Arial"/>
          <w:sz w:val="16"/>
          <w:szCs w:val="16"/>
          <w:color w:val="auto"/>
        </w:rPr>
        <w:t>In August 1999, the Company entered into a consulting agreement with an individual for the provision of marketing services. Currently, this agreement provides for fees at a rate of $950 per day of services provided. The individual became a member of the board of directors in June 2006. Under this consulting agreement, the Company expensed approximately $23,000 and $21,000 during the three month periods ended October 31, 2011 and 2010, respectively, and $44,000 and $42,000 during the six months ended October 31, 2011 and 2010, respectively. The amount of consulting fees payable to this individual at both October 31, 2011 and 2010 was $7,000.</w:t>
      </w:r>
    </w:p>
    <w:p>
      <w:pPr>
        <w:spacing w:after="0" w:line="146" w:lineRule="exact"/>
        <w:rPr>
          <w:sz w:val="20"/>
          <w:szCs w:val="20"/>
          <w:color w:val="auto"/>
        </w:rPr>
      </w:pPr>
    </w:p>
    <w:p>
      <w:pPr>
        <w:ind w:left="300" w:right="1399"/>
        <w:spacing w:after="0" w:line="264" w:lineRule="auto"/>
        <w:rPr>
          <w:sz w:val="20"/>
          <w:szCs w:val="20"/>
          <w:color w:val="auto"/>
        </w:rPr>
      </w:pPr>
      <w:r>
        <w:rPr>
          <w:rFonts w:ascii="Arial" w:cs="Arial" w:eastAsia="Arial" w:hAnsi="Arial"/>
          <w:sz w:val="16"/>
          <w:szCs w:val="16"/>
          <w:color w:val="auto"/>
        </w:rPr>
        <w:t>In addition, this individual is also the chief executive officer of a company that provides engineering and technical services to the Company. The Company incurred expenses of approximately $7,000 and $42,000 for such services during the three months ended October 31, 2011 and 2010, respectively, and $29,000 and $99,000 during the six months ended October 31, 2011 and 2010, respectively. There was no amount payable to the individual’s company at October 31, 2011, and $21,000 was payable as of October 31, 2010.</w:t>
      </w:r>
    </w:p>
    <w:p>
      <w:pPr>
        <w:spacing w:after="0" w:line="130" w:lineRule="exact"/>
        <w:rPr>
          <w:sz w:val="20"/>
          <w:szCs w:val="20"/>
          <w:color w:val="auto"/>
        </w:rPr>
      </w:pPr>
    </w:p>
    <w:p>
      <w:pPr>
        <w:ind w:left="300" w:right="1219"/>
        <w:spacing w:after="0" w:line="266" w:lineRule="auto"/>
        <w:rPr>
          <w:sz w:val="20"/>
          <w:szCs w:val="20"/>
          <w:color w:val="auto"/>
        </w:rPr>
      </w:pPr>
      <w:r>
        <w:rPr>
          <w:rFonts w:ascii="Arial" w:cs="Arial" w:eastAsia="Arial" w:hAnsi="Arial"/>
          <w:sz w:val="16"/>
          <w:szCs w:val="16"/>
          <w:color w:val="auto"/>
        </w:rPr>
        <w:t>The Company also provides services to the company where this individual is the chief executive officer. The Company recorded revenue of approximately $50,000 and $11,000 for such services during the three months ended October 31, 2011 and 2010, respectively, and $67,000 and $11,000 during the six months ended October 31, 2011 and 2010, respectively. There were no amounts receivable from the individual’s company at October 31, 2011 or October 31, 2010.</w:t>
      </w:r>
    </w:p>
    <w:p>
      <w:pPr>
        <w:spacing w:after="0" w:line="200" w:lineRule="exact"/>
        <w:rPr>
          <w:sz w:val="20"/>
          <w:szCs w:val="20"/>
          <w:color w:val="auto"/>
        </w:rPr>
      </w:pPr>
    </w:p>
    <w:p>
      <w:pPr>
        <w:spacing w:after="0" w:line="298"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263765"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0219"/>
          </w:cols>
          <w:pgMar w:left="240" w:top="394" w:right="1440"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82"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Ocean Power Technologies, Inc. and Subsidiaries</w:t>
      </w:r>
    </w:p>
    <w:p>
      <w:pPr>
        <w:spacing w:after="0" w:line="28"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2"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(Unaudited)</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(6) Debt</w:t>
      </w:r>
    </w:p>
    <w:p>
      <w:pPr>
        <w:spacing w:after="0" w:line="176" w:lineRule="exact"/>
        <w:rPr>
          <w:sz w:val="20"/>
          <w:szCs w:val="20"/>
          <w:color w:val="auto"/>
        </w:rPr>
      </w:pPr>
    </w:p>
    <w:p>
      <w:pPr>
        <w:ind w:left="300" w:right="1259"/>
        <w:spacing w:after="0" w:line="261" w:lineRule="auto"/>
        <w:rPr>
          <w:sz w:val="20"/>
          <w:szCs w:val="20"/>
          <w:color w:val="auto"/>
        </w:rPr>
      </w:pPr>
      <w:r>
        <w:rPr>
          <w:rFonts w:ascii="Arial" w:cs="Arial" w:eastAsia="Arial" w:hAnsi="Arial"/>
          <w:sz w:val="16"/>
          <w:szCs w:val="16"/>
          <w:color w:val="auto"/>
        </w:rPr>
        <w:t>During the year ended April 30, 2000, the Company received an award of $250,000 from the State of New Jersey Commission on Science and Technology for the development of a wave power system that was deployed off the coast of New Jersey. The award contract was assigned to the New Jersey Economic Development Authority in fiscal 2008. Under the terms of this award, the Company must repay the amount funded, without interest, by July 15, 2012. The amounts to be repaid each year are determined as a percentage of revenues (as defined in the loan agreement) the Company receives that year from its customer contracts that meet criteria specified in the loan agreement. The Company has repaid the entire award of $250,000 as of October 31, 2011. The final payment of $89,378 was paid in May 2011.</w:t>
      </w:r>
    </w:p>
    <w:p>
      <w:pPr>
        <w:spacing w:after="0" w:line="134" w:lineRule="exact"/>
        <w:rPr>
          <w:sz w:val="20"/>
          <w:szCs w:val="20"/>
          <w:color w:val="auto"/>
        </w:rPr>
      </w:pPr>
    </w:p>
    <w:p>
      <w:pPr>
        <w:ind w:left="300" w:right="1099"/>
        <w:spacing w:after="0" w:line="261" w:lineRule="auto"/>
        <w:rPr>
          <w:sz w:val="20"/>
          <w:szCs w:val="20"/>
          <w:color w:val="auto"/>
        </w:rPr>
      </w:pPr>
      <w:r>
        <w:rPr>
          <w:rFonts w:ascii="Arial" w:cs="Arial" w:eastAsia="Arial" w:hAnsi="Arial"/>
          <w:sz w:val="16"/>
          <w:szCs w:val="16"/>
          <w:color w:val="auto"/>
        </w:rPr>
        <w:t>The Company was awarded a recoverable grant totaling $500,000 from the NJBPU under the Renewable Energy Business Venture Assistance Program. Under the terms of this agreement, the amount to be repaid is a fixed monthly amount of principal only, repayable over a five-year period beginning in November 2011. As of October 31, 2011 and April 30, 2011, $100,000 and $50,000, respectively, was included in current portion of long-term debt on the accompanying consolidated balance sheet. The terms also required the Company to assign to the NJBPU a certificate of deposit in an amount equal to the outstanding grant balance. The Company received $250,000, representing the first half of the grant, during the year ended April 30, 2010, and the remaining $250,000 was received in June 2010. See Note 2(c).</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(7) Deferred Credits</w:t>
      </w:r>
    </w:p>
    <w:p>
      <w:pPr>
        <w:spacing w:after="0" w:line="176" w:lineRule="exact"/>
        <w:rPr>
          <w:sz w:val="20"/>
          <w:szCs w:val="20"/>
          <w:color w:val="auto"/>
        </w:rPr>
      </w:pPr>
    </w:p>
    <w:p>
      <w:pPr>
        <w:ind w:left="300" w:right="1119"/>
        <w:spacing w:after="0" w:line="279" w:lineRule="auto"/>
        <w:rPr>
          <w:sz w:val="20"/>
          <w:szCs w:val="20"/>
          <w:color w:val="auto"/>
        </w:rPr>
      </w:pPr>
      <w:r>
        <w:rPr>
          <w:rFonts w:ascii="Arial" w:cs="Arial" w:eastAsia="Arial" w:hAnsi="Arial"/>
          <w:sz w:val="15"/>
          <w:szCs w:val="15"/>
          <w:color w:val="auto"/>
        </w:rPr>
        <w:t>During the year ended April 30, 2001, in connection with the sale of common stock to an investor, the Company received $600,000 from the investor in exchange for an option to purchase up to 500,000 metric tons of carbon emissions credits generated by the Company during the years 2008 through 2012, at a 30% discount from the then-prevailing market rate. This amount has been recorded as deferred credits in the accompanying consolidated balance sheets as of October 31, 2011 and April 30, 2011. If the Company does not become entitled under applicable laws to the full amount of emission credits covered by the option by December 31, 2012, the Company is obligated to return the option fee of $600,000, less the aggregate discount on any emission credits sold to the investor prior to such date. If the Company receives emission credits under applicable laws and fails to sell to the investor the credits up to the full amount of emission credits covered by the option, the investor is entitled to liquidated damages equal to 30% of the aggregate market value of the shortfall in emission credits (subject to a limit on the market price of emission credits).</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(8) Stock-Based Compensation</w:t>
      </w:r>
    </w:p>
    <w:p>
      <w:pPr>
        <w:spacing w:after="0" w:line="188" w:lineRule="exact"/>
        <w:rPr>
          <w:sz w:val="20"/>
          <w:szCs w:val="20"/>
          <w:color w:val="auto"/>
        </w:rPr>
      </w:pPr>
    </w:p>
    <w:p>
      <w:pPr>
        <w:ind w:left="300" w:right="1099"/>
        <w:spacing w:after="0" w:line="262" w:lineRule="auto"/>
        <w:rPr>
          <w:sz w:val="20"/>
          <w:szCs w:val="20"/>
          <w:color w:val="auto"/>
        </w:rPr>
      </w:pPr>
      <w:r>
        <w:rPr>
          <w:rFonts w:ascii="Arial" w:cs="Arial" w:eastAsia="Arial" w:hAnsi="Arial"/>
          <w:sz w:val="16"/>
          <w:szCs w:val="16"/>
          <w:color w:val="auto"/>
        </w:rPr>
        <w:t>Costs resulting from all stock-based payment transactions are recognized in the consolidated financial statements at their fair values. Compensation cost for the portion of the awards for which the requisite service had not been rendered that were outstanding as of May 1, 2006 is being recognized in the consolidated statements of operations over the remaining service period after such date based on the award’s original estimated fair value. The aggregate stock-based compensation expense related to all stock-based transactions recorded in the consolidated statements of operations was approximately $704,000 and $792,000 for the six months ended October 31, 2011 and 2010, respectively.</w:t>
      </w:r>
    </w:p>
    <w:p>
      <w:pPr>
        <w:spacing w:after="0" w:line="200" w:lineRule="exact"/>
        <w:rPr>
          <w:sz w:val="20"/>
          <w:szCs w:val="20"/>
          <w:color w:val="auto"/>
        </w:rPr>
      </w:pPr>
    </w:p>
    <w:p>
      <w:pPr>
        <w:spacing w:after="0" w:line="28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263765"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0219"/>
          </w:cols>
          <w:pgMar w:left="240" w:top="394" w:right="1440" w:bottom="1440" w:gutter="0" w:footer="0" w:header="0"/>
        </w:sectPr>
      </w:pPr>
    </w:p>
    <w:bookmarkStart w:id="15" w:name="page16"/>
    <w:bookmarkEnd w:id="1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82"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Ocean Power Technologies, Inc. and Subsidiaries</w:t>
      </w:r>
    </w:p>
    <w:p>
      <w:pPr>
        <w:spacing w:after="0" w:line="28"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2"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(Unaudited)</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(a) Stock Options</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Valuation Assumptions for Options Granted During the Six Months Ended October 31, 2011 and 2010</w:t>
      </w:r>
    </w:p>
    <w:p>
      <w:pPr>
        <w:spacing w:after="0" w:line="176" w:lineRule="exact"/>
        <w:rPr>
          <w:sz w:val="20"/>
          <w:szCs w:val="20"/>
          <w:color w:val="auto"/>
        </w:rPr>
      </w:pPr>
    </w:p>
    <w:p>
      <w:pPr>
        <w:ind w:left="300" w:right="1079"/>
        <w:spacing w:after="0" w:line="283" w:lineRule="auto"/>
        <w:rPr>
          <w:sz w:val="20"/>
          <w:szCs w:val="20"/>
          <w:color w:val="auto"/>
        </w:rPr>
      </w:pPr>
      <w:r>
        <w:rPr>
          <w:rFonts w:ascii="Arial" w:cs="Arial" w:eastAsia="Arial" w:hAnsi="Arial"/>
          <w:sz w:val="15"/>
          <w:szCs w:val="15"/>
          <w:color w:val="auto"/>
        </w:rPr>
        <w:t xml:space="preserve">The fair value of each stock option granted during the six months ended October 31, 2011 and 2010 was estimated at the date of grant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was estimated using the “simplified” method as permitted by the SEC’s Staff Accounting Bulletin No. 107, </w:t>
      </w:r>
      <w:r>
        <w:rPr>
          <w:rFonts w:ascii="Arial" w:cs="Arial" w:eastAsia="Arial" w:hAnsi="Arial"/>
          <w:sz w:val="15"/>
          <w:szCs w:val="15"/>
          <w:i w:val="1"/>
          <w:iCs w:val="1"/>
          <w:color w:val="auto"/>
        </w:rPr>
        <w:t>Share-Based Payment.</w:t>
      </w:r>
      <w:r>
        <w:rPr>
          <w:rFonts w:ascii="Arial" w:cs="Arial" w:eastAsia="Arial" w:hAnsi="Arial"/>
          <w:sz w:val="15"/>
          <w:szCs w:val="15"/>
          <w:color w:val="auto"/>
        </w:rPr>
        <w:t xml:space="preserve"> Expected volatility was based on historical volatility for a peer group of companies for a period equal to the stock option’s expected life, calculated on a daily basis.</w:t>
      </w:r>
    </w:p>
    <w:p>
      <w:pPr>
        <w:spacing w:after="0" w:line="151" w:lineRule="exact"/>
        <w:rPr>
          <w:sz w:val="20"/>
          <w:szCs w:val="20"/>
          <w:color w:val="auto"/>
        </w:rPr>
      </w:pPr>
    </w:p>
    <w:tbl>
      <w:tblPr>
        <w:tblLayout w:type="fixed"/>
        <w:tblInd w:w="300" w:type="dxa"/>
        <w:tblCellMar>
          <w:top w:w="0" w:type="dxa"/>
          <w:left w:w="0" w:type="dxa"/>
          <w:bottom w:w="0" w:type="dxa"/>
          <w:right w:w="0" w:type="dxa"/>
        </w:tblCellMar>
      </w:tblPr>
      <w:tr>
        <w:trPr>
          <w:trHeight w:val="212"/>
        </w:trPr>
        <w:tc>
          <w:tcPr>
            <w:tcW w:w="6480" w:type="dxa"/>
            <w:vAlign w:val="bottom"/>
          </w:tcPr>
          <w:p>
            <w:pPr>
              <w:spacing w:after="0"/>
              <w:rPr>
                <w:sz w:val="18"/>
                <w:szCs w:val="18"/>
                <w:color w:val="auto"/>
              </w:rPr>
            </w:pPr>
          </w:p>
        </w:tc>
        <w:tc>
          <w:tcPr>
            <w:tcW w:w="2360" w:type="dxa"/>
            <w:vAlign w:val="bottom"/>
            <w:gridSpan w:val="4"/>
          </w:tcPr>
          <w:p>
            <w:pPr>
              <w:jc w:val="right"/>
              <w:ind w:right="180"/>
              <w:spacing w:after="0"/>
              <w:rPr>
                <w:sz w:val="20"/>
                <w:szCs w:val="20"/>
                <w:color w:val="auto"/>
              </w:rPr>
            </w:pPr>
            <w:r>
              <w:rPr>
                <w:rFonts w:ascii="Arial" w:cs="Arial" w:eastAsia="Arial" w:hAnsi="Arial"/>
                <w:sz w:val="16"/>
                <w:szCs w:val="16"/>
                <w:b w:val="1"/>
                <w:bCs w:val="1"/>
                <w:color w:val="auto"/>
                <w:w w:val="93"/>
              </w:rPr>
              <w:t>Six Months Ended October 31,</w:t>
            </w:r>
          </w:p>
        </w:tc>
      </w:tr>
      <w:tr>
        <w:trPr>
          <w:trHeight w:val="189"/>
        </w:trPr>
        <w:tc>
          <w:tcPr>
            <w:tcW w:w="6480" w:type="dxa"/>
            <w:vAlign w:val="bottom"/>
          </w:tcPr>
          <w:p>
            <w:pPr>
              <w:spacing w:after="0"/>
              <w:rPr>
                <w:sz w:val="16"/>
                <w:szCs w:val="16"/>
                <w:color w:val="auto"/>
              </w:rPr>
            </w:pPr>
          </w:p>
        </w:tc>
        <w:tc>
          <w:tcPr>
            <w:tcW w:w="9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6"/>
                <w:szCs w:val="16"/>
                <w:b w:val="1"/>
                <w:bCs w:val="1"/>
                <w:color w:val="auto"/>
              </w:rPr>
              <w:t>2011</w:t>
            </w:r>
          </w:p>
        </w:tc>
        <w:tc>
          <w:tcPr>
            <w:tcW w:w="400" w:type="dxa"/>
            <w:vAlign w:val="bottom"/>
            <w:tcBorders>
              <w:top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2010</w:t>
            </w:r>
          </w:p>
        </w:tc>
        <w:tc>
          <w:tcPr>
            <w:tcW w:w="160" w:type="dxa"/>
            <w:vAlign w:val="bottom"/>
          </w:tcPr>
          <w:p>
            <w:pPr>
              <w:spacing w:after="0"/>
              <w:rPr>
                <w:sz w:val="16"/>
                <w:szCs w:val="16"/>
                <w:color w:val="auto"/>
              </w:rPr>
            </w:pPr>
          </w:p>
        </w:tc>
      </w:tr>
      <w:tr>
        <w:trPr>
          <w:trHeight w:val="189"/>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r>
      <w:tr>
        <w:trPr>
          <w:trHeight w:val="196"/>
        </w:trPr>
        <w:tc>
          <w:tcPr>
            <w:tcW w:w="6480" w:type="dxa"/>
            <w:vAlign w:val="bottom"/>
          </w:tcPr>
          <w:p>
            <w:pPr>
              <w:spacing w:after="0"/>
              <w:rPr>
                <w:sz w:val="20"/>
                <w:szCs w:val="20"/>
                <w:color w:val="auto"/>
              </w:rPr>
            </w:pPr>
            <w:r>
              <w:rPr>
                <w:rFonts w:ascii="Arial" w:cs="Arial" w:eastAsia="Arial" w:hAnsi="Arial"/>
                <w:sz w:val="16"/>
                <w:szCs w:val="16"/>
                <w:color w:val="auto"/>
              </w:rPr>
              <w:t>Expected dividend yield</w:t>
            </w: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0.0%</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r>
      <w:tr>
        <w:trPr>
          <w:trHeight w:val="196"/>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Expected life</w:t>
            </w: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5.8 years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6.4 years</w:t>
            </w:r>
          </w:p>
        </w:tc>
      </w:tr>
      <w:tr>
        <w:trPr>
          <w:trHeight w:val="208"/>
        </w:trPr>
        <w:tc>
          <w:tcPr>
            <w:tcW w:w="6480" w:type="dxa"/>
            <w:vAlign w:val="bottom"/>
          </w:tcPr>
          <w:p>
            <w:pPr>
              <w:spacing w:after="0"/>
              <w:rPr>
                <w:sz w:val="20"/>
                <w:szCs w:val="20"/>
                <w:color w:val="auto"/>
              </w:rPr>
            </w:pPr>
            <w:r>
              <w:rPr>
                <w:rFonts w:ascii="Arial" w:cs="Arial" w:eastAsia="Arial" w:hAnsi="Arial"/>
                <w:sz w:val="16"/>
                <w:szCs w:val="16"/>
                <w:color w:val="auto"/>
              </w:rPr>
              <w:t>Expected volatility</w:t>
            </w: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94.5%</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93.8%</w:t>
            </w:r>
          </w:p>
        </w:tc>
      </w:tr>
    </w:tbl>
    <w:p>
      <w:pPr>
        <w:spacing w:after="0" w:line="148" w:lineRule="exact"/>
        <w:rPr>
          <w:sz w:val="20"/>
          <w:szCs w:val="20"/>
          <w:color w:val="auto"/>
        </w:rPr>
      </w:pPr>
    </w:p>
    <w:p>
      <w:pPr>
        <w:ind w:left="300" w:right="1159"/>
        <w:spacing w:after="0" w:line="287" w:lineRule="auto"/>
        <w:rPr>
          <w:sz w:val="20"/>
          <w:szCs w:val="20"/>
          <w:color w:val="auto"/>
        </w:rPr>
      </w:pPr>
      <w:r>
        <w:rPr>
          <w:rFonts w:ascii="Arial" w:cs="Arial" w:eastAsia="Arial" w:hAnsi="Arial"/>
          <w:sz w:val="16"/>
          <w:szCs w:val="16"/>
          <w:color w:val="auto"/>
        </w:rPr>
        <w:t>The above assumptions were used to determine the weighted average per share fair value of $2.98 and $5.36 for stock options granted during the six months ended October 31, 2011 and 2010, respectively.</w:t>
      </w:r>
    </w:p>
    <w:p>
      <w:pPr>
        <w:spacing w:after="0" w:line="113" w:lineRule="exact"/>
        <w:rPr>
          <w:sz w:val="20"/>
          <w:szCs w:val="20"/>
          <w:color w:val="auto"/>
        </w:rPr>
      </w:pPr>
    </w:p>
    <w:tbl>
      <w:tblPr>
        <w:tblLayout w:type="fixed"/>
        <w:tblInd w:w="300" w:type="dxa"/>
        <w:tblCellMar>
          <w:top w:w="0" w:type="dxa"/>
          <w:left w:w="0" w:type="dxa"/>
          <w:bottom w:w="0" w:type="dxa"/>
          <w:right w:w="0" w:type="dxa"/>
        </w:tblCellMar>
      </w:tblPr>
      <w:tr>
        <w:trPr>
          <w:trHeight w:val="208"/>
        </w:trPr>
        <w:tc>
          <w:tcPr>
            <w:tcW w:w="5400" w:type="dxa"/>
            <w:vAlign w:val="bottom"/>
          </w:tcPr>
          <w:p>
            <w:pPr>
              <w:spacing w:after="0"/>
              <w:rPr>
                <w:sz w:val="20"/>
                <w:szCs w:val="20"/>
                <w:color w:val="auto"/>
              </w:rPr>
            </w:pPr>
            <w:r>
              <w:rPr>
                <w:rFonts w:ascii="Arial" w:cs="Arial" w:eastAsia="Arial" w:hAnsi="Arial"/>
                <w:sz w:val="16"/>
                <w:szCs w:val="16"/>
                <w:color w:val="auto"/>
              </w:rPr>
              <w:t>A summary of stock options under the plans is as follows:</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5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Average</w:t>
            </w: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1"/>
              </w:rPr>
              <w:t>Weighted</w:t>
            </w:r>
          </w:p>
        </w:tc>
        <w:tc>
          <w:tcPr>
            <w:tcW w:w="9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Remaining</w:t>
            </w: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9"/>
              </w:rPr>
              <w:t>Shares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8"/>
              </w:rPr>
              <w:t>Average</w:t>
            </w:r>
          </w:p>
        </w:tc>
        <w:tc>
          <w:tcPr>
            <w:tcW w:w="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Contractual</w:t>
            </w: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5"/>
              </w:rPr>
              <w:t>Underlying</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1"/>
              </w:rPr>
              <w:t>Exercise</w:t>
            </w:r>
          </w:p>
        </w:tc>
        <w:tc>
          <w:tcPr>
            <w:tcW w:w="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Term</w:t>
            </w:r>
          </w:p>
        </w:tc>
        <w:tc>
          <w:tcPr>
            <w:tcW w:w="0" w:type="dxa"/>
            <w:vAlign w:val="bottom"/>
          </w:tcPr>
          <w:p>
            <w:pPr>
              <w:spacing w:after="0"/>
              <w:rPr>
                <w:sz w:val="1"/>
                <w:szCs w:val="1"/>
                <w:color w:val="auto"/>
              </w:rPr>
            </w:pPr>
          </w:p>
        </w:tc>
      </w:tr>
      <w:tr>
        <w:trPr>
          <w:trHeight w:val="212"/>
        </w:trPr>
        <w:tc>
          <w:tcPr>
            <w:tcW w:w="54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Options</w:t>
            </w:r>
          </w:p>
        </w:tc>
        <w:tc>
          <w:tcPr>
            <w:tcW w:w="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b w:val="1"/>
                <w:bCs w:val="1"/>
                <w:color w:val="auto"/>
                <w:w w:val="91"/>
              </w:rPr>
              <w:t>Price</w:t>
            </w:r>
          </w:p>
        </w:tc>
        <w:tc>
          <w:tcPr>
            <w:tcW w:w="34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(In Years)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Outstanding as of April 30, 2011</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1,353,935</w:t>
            </w:r>
          </w:p>
        </w:tc>
        <w:tc>
          <w:tcPr>
            <w:tcW w:w="18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10.30</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00" w:type="dxa"/>
            <w:vAlign w:val="bottom"/>
          </w:tcPr>
          <w:p>
            <w:pPr>
              <w:spacing w:after="0"/>
              <w:rPr>
                <w:sz w:val="20"/>
                <w:szCs w:val="20"/>
                <w:color w:val="auto"/>
              </w:rPr>
            </w:pPr>
            <w:r>
              <w:rPr>
                <w:rFonts w:ascii="Arial" w:cs="Arial" w:eastAsia="Arial" w:hAnsi="Arial"/>
                <w:sz w:val="16"/>
                <w:szCs w:val="16"/>
                <w:color w:val="auto"/>
              </w:rPr>
              <w:t>Forfeited</w:t>
            </w:r>
          </w:p>
        </w:tc>
        <w:tc>
          <w:tcPr>
            <w:tcW w:w="1100" w:type="dxa"/>
            <w:vAlign w:val="bottom"/>
            <w:gridSpan w:val="3"/>
          </w:tcPr>
          <w:p>
            <w:pPr>
              <w:jc w:val="right"/>
              <w:ind w:right="160"/>
              <w:spacing w:after="0"/>
              <w:rPr>
                <w:sz w:val="20"/>
                <w:szCs w:val="20"/>
                <w:color w:val="auto"/>
              </w:rPr>
            </w:pPr>
            <w:r>
              <w:rPr>
                <w:rFonts w:ascii="Arial" w:cs="Arial" w:eastAsia="Arial" w:hAnsi="Arial"/>
                <w:sz w:val="16"/>
                <w:szCs w:val="16"/>
                <w:color w:val="auto"/>
              </w:rPr>
              <w:t>(190,830)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color w:val="auto"/>
              </w:rPr>
              <w:t>12.78</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00" w:type="dxa"/>
            <w:vAlign w:val="bottom"/>
          </w:tcPr>
          <w:p>
            <w:pPr>
              <w:spacing w:after="0"/>
              <w:rPr>
                <w:sz w:val="20"/>
                <w:szCs w:val="20"/>
                <w:color w:val="auto"/>
              </w:rPr>
            </w:pPr>
            <w:r>
              <w:rPr>
                <w:rFonts w:ascii="Arial" w:cs="Arial" w:eastAsia="Arial" w:hAnsi="Arial"/>
                <w:sz w:val="16"/>
                <w:szCs w:val="16"/>
                <w:color w:val="auto"/>
              </w:rPr>
              <w:t>Granted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266,822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color w:val="auto"/>
              </w:rPr>
              <w:t>3.98</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Outstanding as of October 31, 2011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1,429,927</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8.79</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6"/>
                <w:szCs w:val="16"/>
                <w:color w:val="auto"/>
              </w:rPr>
              <w:t>Exercisable as of October 31, 2011</w:t>
            </w:r>
          </w:p>
        </w:tc>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vMerge w:val="restart"/>
          </w:tcPr>
          <w:p>
            <w:pPr>
              <w:jc w:val="right"/>
              <w:ind w:right="340"/>
              <w:spacing w:after="0"/>
              <w:rPr>
                <w:sz w:val="20"/>
                <w:szCs w:val="20"/>
                <w:color w:val="auto"/>
              </w:rPr>
            </w:pPr>
            <w:r>
              <w:rPr>
                <w:rFonts w:ascii="Arial" w:cs="Arial" w:eastAsia="Arial" w:hAnsi="Arial"/>
                <w:sz w:val="16"/>
                <w:szCs w:val="16"/>
                <w:color w:val="auto"/>
              </w:rPr>
              <w:t>11.26</w:t>
            </w: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5.0</w:t>
            </w:r>
          </w:p>
        </w:tc>
        <w:tc>
          <w:tcPr>
            <w:tcW w:w="0" w:type="dxa"/>
            <w:vAlign w:val="bottom"/>
          </w:tcPr>
          <w:p>
            <w:pPr>
              <w:spacing w:after="0" w:line="20" w:lineRule="exact"/>
              <w:rPr>
                <w:sz w:val="1"/>
                <w:szCs w:val="1"/>
                <w:color w:val="auto"/>
              </w:rPr>
            </w:pPr>
          </w:p>
        </w:tc>
      </w:tr>
      <w:tr>
        <w:trPr>
          <w:trHeight w:val="185"/>
        </w:trPr>
        <w:tc>
          <w:tcPr>
            <w:tcW w:w="5400" w:type="dxa"/>
            <w:vAlign w:val="bottom"/>
            <w:vMerge w:val="continue"/>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798,333</w:t>
            </w:r>
          </w:p>
        </w:tc>
        <w:tc>
          <w:tcPr>
            <w:tcW w:w="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300" w:right="1179"/>
        <w:spacing w:after="0" w:line="260" w:lineRule="auto"/>
        <w:rPr>
          <w:sz w:val="20"/>
          <w:szCs w:val="20"/>
          <w:color w:val="auto"/>
        </w:rPr>
      </w:pPr>
      <w:r>
        <w:rPr>
          <w:rFonts w:ascii="Arial" w:cs="Arial" w:eastAsia="Arial" w:hAnsi="Arial"/>
          <w:sz w:val="16"/>
          <w:szCs w:val="16"/>
          <w:color w:val="auto"/>
        </w:rPr>
        <w:t>The total intrinsic value of outstanding and exercisable options as of October 31, 2011 was $7,000. As of October 31, 2011, approximately 632,000 additional options are expected to vest in the future, which options have no intrinsic value and a weighted average remaining contractual term of 8.6 years. There was approximately $622,000 of total recognized compensation cost for the six months ended October 31, 2011 related to stock options. As of October 31, 2011, there was approximately $1,990,000 of total unrecognized compensation cost related to non-vested stock options granted under the plans. This cost is expected to be recognized over a weighted-average period of 3.2 years. The Company normally issues new shares to satisfy option exercises under these plans. During the six months ended October 31, 2011, stock options granted included 16,996 stock options which were subject to performance-based vesting requirements. Stock options outstanding as of October 31, 2011 included 16,996 stock options subject to performance-based vesting requirements.</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(b) Restricted Stock</w:t>
      </w:r>
    </w:p>
    <w:p>
      <w:pPr>
        <w:spacing w:after="0" w:line="172" w:lineRule="exact"/>
        <w:rPr>
          <w:sz w:val="20"/>
          <w:szCs w:val="20"/>
          <w:color w:val="auto"/>
        </w:rPr>
      </w:pPr>
    </w:p>
    <w:p>
      <w:pPr>
        <w:ind w:left="300" w:right="1279"/>
        <w:spacing w:after="0" w:line="280" w:lineRule="auto"/>
        <w:rPr>
          <w:sz w:val="20"/>
          <w:szCs w:val="20"/>
          <w:color w:val="auto"/>
        </w:rPr>
      </w:pPr>
      <w:r>
        <w:rPr>
          <w:rFonts w:ascii="Arial" w:cs="Arial" w:eastAsia="Arial" w:hAnsi="Arial"/>
          <w:sz w:val="15"/>
          <w:szCs w:val="15"/>
          <w:color w:val="auto"/>
        </w:rPr>
        <w:t>Compensation expense for non-vested restricted stock was historically recorded based on its market value on the date of grant and recognized over the associated service and performance period. During the six months ended October 31, 2011, there were 9,000 shares of non-vested restricted stock granted to employees with performance-based vesting requirements and 5,634 shares of non-vested restricted stock granted to a member of the Board of Directors with service based requirements. During the six months ended October 31, 2011, 16,888 shares of non-vested restricted stock subject to performance-based vesting requirements were forfeited in accordance with performance objectives and 2,540 shares of non-vested restricted stock subject to service-based requirements were forfeited. Restricted stock issued and unvested at October 31, 2011 included 71,999 shares of non-vested restricted stock subject to performance-based vesting requirements.</w:t>
      </w:r>
    </w:p>
    <w:p>
      <w:pPr>
        <w:spacing w:after="0" w:line="200" w:lineRule="exact"/>
        <w:rPr>
          <w:sz w:val="20"/>
          <w:szCs w:val="20"/>
          <w:color w:val="auto"/>
        </w:rPr>
      </w:pPr>
    </w:p>
    <w:p>
      <w:pPr>
        <w:spacing w:after="0" w:line="290"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263765"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0219"/>
          </w:cols>
          <w:pgMar w:left="240" w:top="394"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4"/>
        </w:trPr>
        <w:tc>
          <w:tcPr>
            <w:tcW w:w="6940" w:type="dxa"/>
            <w:vAlign w:val="bottom"/>
            <w:gridSpan w:val="3"/>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Table of Contents</w:t>
              </w:r>
            </w:hyperlink>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67"/>
        </w:trPr>
        <w:tc>
          <w:tcPr>
            <w:tcW w:w="30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5720" w:type="dxa"/>
            <w:vAlign w:val="bottom"/>
          </w:tcPr>
          <w:p>
            <w:pPr>
              <w:jc w:val="center"/>
              <w:ind w:left="1178"/>
              <w:spacing w:after="0"/>
              <w:rPr>
                <w:sz w:val="20"/>
                <w:szCs w:val="20"/>
                <w:color w:val="auto"/>
              </w:rPr>
            </w:pPr>
            <w:r>
              <w:rPr>
                <w:rFonts w:ascii="Arial" w:cs="Arial" w:eastAsia="Arial" w:hAnsi="Arial"/>
                <w:sz w:val="16"/>
                <w:szCs w:val="16"/>
                <w:b w:val="1"/>
                <w:bCs w:val="1"/>
                <w:color w:val="auto"/>
                <w:w w:val="90"/>
              </w:rPr>
              <w:t>Ocean Power Technologies, Inc. and Subsidiaries</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720" w:type="dxa"/>
            <w:vAlign w:val="bottom"/>
          </w:tcPr>
          <w:p>
            <w:pPr>
              <w:jc w:val="center"/>
              <w:ind w:left="1198"/>
              <w:spacing w:after="0"/>
              <w:rPr>
                <w:sz w:val="20"/>
                <w:szCs w:val="20"/>
                <w:color w:val="auto"/>
              </w:rPr>
            </w:pPr>
            <w:r>
              <w:rPr>
                <w:rFonts w:ascii="Arial" w:cs="Arial" w:eastAsia="Arial" w:hAnsi="Arial"/>
                <w:sz w:val="16"/>
                <w:szCs w:val="16"/>
                <w:b w:val="1"/>
                <w:bCs w:val="1"/>
                <w:color w:val="auto"/>
                <w:w w:val="90"/>
              </w:rPr>
              <w:t>Notes to Consolidated Financial Statements</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720" w:type="dxa"/>
            <w:vAlign w:val="bottom"/>
          </w:tcPr>
          <w:p>
            <w:pPr>
              <w:jc w:val="center"/>
              <w:ind w:left="1198"/>
              <w:spacing w:after="0"/>
              <w:rPr>
                <w:sz w:val="20"/>
                <w:szCs w:val="20"/>
                <w:color w:val="auto"/>
              </w:rPr>
            </w:pPr>
            <w:r>
              <w:rPr>
                <w:rFonts w:ascii="Arial" w:cs="Arial" w:eastAsia="Arial" w:hAnsi="Arial"/>
                <w:sz w:val="16"/>
                <w:szCs w:val="16"/>
                <w:b w:val="1"/>
                <w:bCs w:val="1"/>
                <w:color w:val="auto"/>
                <w:w w:val="94"/>
              </w:rPr>
              <w:t>(Unaudited)</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68"/>
        </w:trPr>
        <w:tc>
          <w:tcPr>
            <w:tcW w:w="300" w:type="dxa"/>
            <w:vAlign w:val="bottom"/>
          </w:tcPr>
          <w:p>
            <w:pPr>
              <w:spacing w:after="0"/>
              <w:rPr>
                <w:sz w:val="24"/>
                <w:szCs w:val="24"/>
                <w:color w:val="auto"/>
              </w:rPr>
            </w:pPr>
          </w:p>
        </w:tc>
        <w:tc>
          <w:tcPr>
            <w:tcW w:w="6640" w:type="dxa"/>
            <w:vAlign w:val="bottom"/>
            <w:gridSpan w:val="2"/>
          </w:tcPr>
          <w:p>
            <w:pPr>
              <w:spacing w:after="0"/>
              <w:rPr>
                <w:sz w:val="20"/>
                <w:szCs w:val="20"/>
                <w:color w:val="auto"/>
              </w:rPr>
            </w:pPr>
            <w:r>
              <w:rPr>
                <w:rFonts w:ascii="Arial" w:cs="Arial" w:eastAsia="Arial" w:hAnsi="Arial"/>
                <w:sz w:val="16"/>
                <w:szCs w:val="16"/>
                <w:color w:val="auto"/>
              </w:rPr>
              <w:t>A summary of non-vested restricted stock under the plans is as follows:</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Weighted</w:t>
            </w:r>
          </w:p>
        </w:tc>
      </w:tr>
      <w:tr>
        <w:trPr>
          <w:trHeight w:val="196"/>
        </w:trPr>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Average</w:t>
            </w:r>
          </w:p>
        </w:tc>
      </w:tr>
      <w:tr>
        <w:trPr>
          <w:trHeight w:val="196"/>
        </w:trPr>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Number</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Price per</w:t>
            </w:r>
          </w:p>
        </w:tc>
      </w:tr>
      <w:tr>
        <w:trPr>
          <w:trHeight w:val="212"/>
        </w:trPr>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of Shares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4"/>
              </w:rPr>
              <w:t>Share</w:t>
            </w:r>
          </w:p>
        </w:tc>
      </w:tr>
      <w:tr>
        <w:trPr>
          <w:trHeight w:val="189"/>
        </w:trPr>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300" w:type="dxa"/>
            <w:vAlign w:val="bottom"/>
          </w:tcPr>
          <w:p>
            <w:pPr>
              <w:spacing w:after="0"/>
              <w:rPr>
                <w:sz w:val="17"/>
                <w:szCs w:val="17"/>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Issued and unvested at April 30, 2011</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150,953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6.16</w:t>
            </w:r>
          </w:p>
        </w:tc>
      </w:tr>
      <w:tr>
        <w:trPr>
          <w:trHeight w:val="196"/>
        </w:trPr>
        <w:tc>
          <w:tcPr>
            <w:tcW w:w="300" w:type="dxa"/>
            <w:vAlign w:val="bottom"/>
          </w:tcPr>
          <w:p>
            <w:pPr>
              <w:spacing w:after="0"/>
              <w:rPr>
                <w:sz w:val="17"/>
                <w:szCs w:val="17"/>
                <w:color w:val="auto"/>
              </w:rPr>
            </w:pPr>
          </w:p>
        </w:tc>
        <w:tc>
          <w:tcPr>
            <w:tcW w:w="6640" w:type="dxa"/>
            <w:vAlign w:val="bottom"/>
            <w:gridSpan w:val="2"/>
          </w:tcPr>
          <w:p>
            <w:pPr>
              <w:spacing w:after="0"/>
              <w:rPr>
                <w:sz w:val="20"/>
                <w:szCs w:val="20"/>
                <w:color w:val="auto"/>
              </w:rPr>
            </w:pPr>
            <w:r>
              <w:rPr>
                <w:rFonts w:ascii="Arial" w:cs="Arial" w:eastAsia="Arial" w:hAnsi="Arial"/>
                <w:sz w:val="16"/>
                <w:szCs w:val="16"/>
                <w:color w:val="auto"/>
              </w:rPr>
              <w:t>Granted</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14,634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3.86</w:t>
            </w:r>
          </w:p>
        </w:tc>
      </w:tr>
      <w:tr>
        <w:trPr>
          <w:trHeight w:val="196"/>
        </w:trPr>
        <w:tc>
          <w:tcPr>
            <w:tcW w:w="300" w:type="dxa"/>
            <w:vAlign w:val="bottom"/>
          </w:tcPr>
          <w:p>
            <w:pPr>
              <w:spacing w:after="0"/>
              <w:rPr>
                <w:sz w:val="17"/>
                <w:szCs w:val="17"/>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Forfeited</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(19,428)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6.01</w:t>
            </w:r>
          </w:p>
        </w:tc>
      </w:tr>
      <w:tr>
        <w:trPr>
          <w:trHeight w:val="201"/>
        </w:trPr>
        <w:tc>
          <w:tcPr>
            <w:tcW w:w="300" w:type="dxa"/>
            <w:vAlign w:val="bottom"/>
          </w:tcPr>
          <w:p>
            <w:pPr>
              <w:spacing w:after="0"/>
              <w:rPr>
                <w:sz w:val="17"/>
                <w:szCs w:val="17"/>
                <w:color w:val="auto"/>
              </w:rPr>
            </w:pPr>
          </w:p>
        </w:tc>
        <w:tc>
          <w:tcPr>
            <w:tcW w:w="6640" w:type="dxa"/>
            <w:vAlign w:val="bottom"/>
            <w:gridSpan w:val="2"/>
          </w:tcPr>
          <w:p>
            <w:pPr>
              <w:spacing w:after="0"/>
              <w:rPr>
                <w:sz w:val="20"/>
                <w:szCs w:val="20"/>
                <w:color w:val="auto"/>
              </w:rPr>
            </w:pPr>
            <w:r>
              <w:rPr>
                <w:rFonts w:ascii="Arial" w:cs="Arial" w:eastAsia="Arial" w:hAnsi="Arial"/>
                <w:sz w:val="16"/>
                <w:szCs w:val="16"/>
                <w:color w:val="auto"/>
              </w:rPr>
              <w:t>Vested</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(24,653)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5.98</w:t>
            </w:r>
          </w:p>
        </w:tc>
      </w:tr>
      <w:tr>
        <w:trPr>
          <w:trHeight w:val="196"/>
        </w:trPr>
        <w:tc>
          <w:tcPr>
            <w:tcW w:w="300" w:type="dxa"/>
            <w:vAlign w:val="bottom"/>
          </w:tcPr>
          <w:p>
            <w:pPr>
              <w:spacing w:after="0"/>
              <w:rPr>
                <w:sz w:val="17"/>
                <w:szCs w:val="17"/>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Issued and unvested at October 31, 2011</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121,506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5.95</w:t>
            </w:r>
          </w:p>
        </w:tc>
      </w:tr>
      <w:tr>
        <w:trPr>
          <w:trHeight w:val="20"/>
        </w:trPr>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9" w:lineRule="exact"/>
        <w:rPr>
          <w:sz w:val="20"/>
          <w:szCs w:val="20"/>
          <w:color w:val="auto"/>
        </w:rPr>
      </w:pPr>
    </w:p>
    <w:p>
      <w:pPr>
        <w:ind w:left="300" w:right="1279"/>
        <w:spacing w:after="0" w:line="327" w:lineRule="auto"/>
        <w:rPr>
          <w:sz w:val="20"/>
          <w:szCs w:val="20"/>
          <w:color w:val="auto"/>
        </w:rPr>
      </w:pPr>
      <w:r>
        <w:rPr>
          <w:rFonts w:ascii="Arial" w:cs="Arial" w:eastAsia="Arial" w:hAnsi="Arial"/>
          <w:sz w:val="14"/>
          <w:szCs w:val="14"/>
          <w:color w:val="auto"/>
        </w:rPr>
        <w:t>There was approximately $82,000 of total recognized compensation cost for the six months ended October 31, 2011 related to restricted stock. As of October 31, 2011, there was approximately $240,000 of total unrecognized compensation cost related to non-vested restricted stock granted under the plans. This cost is expected to be recognized over a weighted average period of 1.6 years.</w:t>
      </w:r>
    </w:p>
    <w:p>
      <w:pPr>
        <w:spacing w:after="0" w:line="91"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(c) Treasury Stock</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During the six months ended October 31, 2011, 8,890 shares of common stock were purchased by the Company.</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(9) Commitments and Contingencies</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Litigation</w:t>
      </w:r>
    </w:p>
    <w:p>
      <w:pPr>
        <w:spacing w:after="0" w:line="184" w:lineRule="exact"/>
        <w:rPr>
          <w:sz w:val="20"/>
          <w:szCs w:val="20"/>
          <w:color w:val="auto"/>
        </w:rPr>
      </w:pPr>
    </w:p>
    <w:p>
      <w:pPr>
        <w:jc w:val="both"/>
        <w:ind w:left="300" w:right="1279"/>
        <w:spacing w:after="0" w:line="362" w:lineRule="auto"/>
        <w:rPr>
          <w:sz w:val="20"/>
          <w:szCs w:val="20"/>
          <w:color w:val="auto"/>
        </w:rPr>
      </w:pPr>
      <w:r>
        <w:rPr>
          <w:rFonts w:ascii="Arial" w:cs="Arial" w:eastAsia="Arial" w:hAnsi="Arial"/>
          <w:sz w:val="14"/>
          <w:szCs w:val="14"/>
          <w:color w:val="auto"/>
        </w:rPr>
        <w:t>The Company is involved from time to time in certain legal actions arising in the ordinary course of business. Management believes that the outcome of such actions will not have a material adverse effect on the Company’s financial position or results of operations.</w:t>
      </w:r>
    </w:p>
    <w:p>
      <w:pPr>
        <w:spacing w:after="0" w:line="67"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Spain Construction Agreement</w:t>
      </w:r>
    </w:p>
    <w:p>
      <w:pPr>
        <w:spacing w:after="0" w:line="172" w:lineRule="exact"/>
        <w:rPr>
          <w:sz w:val="20"/>
          <w:szCs w:val="20"/>
          <w:color w:val="auto"/>
        </w:rPr>
      </w:pPr>
    </w:p>
    <w:p>
      <w:pPr>
        <w:ind w:left="300" w:right="1139"/>
        <w:spacing w:after="0" w:line="281" w:lineRule="auto"/>
        <w:rPr>
          <w:sz w:val="20"/>
          <w:szCs w:val="20"/>
          <w:color w:val="auto"/>
        </w:rPr>
      </w:pPr>
      <w:r>
        <w:rPr>
          <w:rFonts w:ascii="Arial" w:cs="Arial" w:eastAsia="Arial" w:hAnsi="Arial"/>
          <w:sz w:val="15"/>
          <w:szCs w:val="15"/>
          <w:color w:val="auto"/>
        </w:rPr>
        <w:t>The Company is currently engaged with Iberdrola Cantabria in discussions regarding modifications to its agreement for the first phase of the construction of a wave power project off the coast of Spain. This first phase was due to be completed by December 31, 2009. If no modification is agreed to by the parties, the customer may, subject to certain conditions in the agreement, terminate the agreement and would not be obligated to make any more milestone payments. The agreement also provides that the customer may seek reimbursement for direct damages only, limited to amounts specified in the agreement, if the Company is in default of its obligations under the agreement. As of October 31, 2011, the Company does not believe that the outcome of this matter will have a material adverse effect on the Company’s financial position or results of operations.</w:t>
      </w:r>
    </w:p>
    <w:p>
      <w:pPr>
        <w:spacing w:after="0" w:line="200" w:lineRule="exact"/>
        <w:rPr>
          <w:sz w:val="20"/>
          <w:szCs w:val="20"/>
          <w:color w:val="auto"/>
        </w:rPr>
      </w:pPr>
    </w:p>
    <w:p>
      <w:pPr>
        <w:spacing w:after="0" w:line="290"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263765"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0219"/>
          </w:cols>
          <w:pgMar w:left="240" w:top="385" w:right="1440"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82" w:lineRule="exact"/>
        <w:rPr>
          <w:sz w:val="20"/>
          <w:szCs w:val="20"/>
          <w:color w:val="auto"/>
        </w:rPr>
      </w:pPr>
    </w:p>
    <w:p>
      <w:pPr>
        <w:jc w:val="center"/>
        <w:ind w:right="2000"/>
        <w:spacing w:after="0"/>
        <w:rPr>
          <w:sz w:val="20"/>
          <w:szCs w:val="20"/>
          <w:color w:val="auto"/>
        </w:rPr>
      </w:pPr>
      <w:r>
        <w:rPr>
          <w:rFonts w:ascii="Arial" w:cs="Arial" w:eastAsia="Arial" w:hAnsi="Arial"/>
          <w:sz w:val="16"/>
          <w:szCs w:val="16"/>
          <w:b w:val="1"/>
          <w:bCs w:val="1"/>
          <w:color w:val="auto"/>
        </w:rPr>
        <w:t>Ocean Power Technologies, Inc. and Subsidiaries</w:t>
      </w:r>
    </w:p>
    <w:p>
      <w:pPr>
        <w:spacing w:after="0" w:line="28" w:lineRule="exact"/>
        <w:rPr>
          <w:sz w:val="20"/>
          <w:szCs w:val="20"/>
          <w:color w:val="auto"/>
        </w:rPr>
      </w:pPr>
    </w:p>
    <w:p>
      <w:pPr>
        <w:jc w:val="center"/>
        <w:ind w:right="200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2" w:lineRule="exact"/>
        <w:rPr>
          <w:sz w:val="20"/>
          <w:szCs w:val="20"/>
          <w:color w:val="auto"/>
        </w:rPr>
      </w:pPr>
    </w:p>
    <w:p>
      <w:pPr>
        <w:jc w:val="center"/>
        <w:ind w:right="2000"/>
        <w:spacing w:after="0"/>
        <w:rPr>
          <w:sz w:val="20"/>
          <w:szCs w:val="20"/>
          <w:color w:val="auto"/>
        </w:rPr>
      </w:pPr>
      <w:r>
        <w:rPr>
          <w:rFonts w:ascii="Arial" w:cs="Arial" w:eastAsia="Arial" w:hAnsi="Arial"/>
          <w:sz w:val="16"/>
          <w:szCs w:val="16"/>
          <w:b w:val="1"/>
          <w:bCs w:val="1"/>
          <w:color w:val="auto"/>
        </w:rPr>
        <w:t>(Unaudited)</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(10) Income Taxes</w:t>
      </w:r>
    </w:p>
    <w:p>
      <w:pPr>
        <w:spacing w:after="0" w:line="176" w:lineRule="exact"/>
        <w:rPr>
          <w:sz w:val="20"/>
          <w:szCs w:val="20"/>
          <w:color w:val="auto"/>
        </w:rPr>
      </w:pPr>
    </w:p>
    <w:p>
      <w:pPr>
        <w:ind w:left="300" w:right="2300"/>
        <w:spacing w:after="0" w:line="266" w:lineRule="auto"/>
        <w:rPr>
          <w:sz w:val="20"/>
          <w:szCs w:val="20"/>
          <w:color w:val="auto"/>
        </w:rPr>
      </w:pPr>
      <w:r>
        <w:rPr>
          <w:rFonts w:ascii="Arial" w:cs="Arial" w:eastAsia="Arial" w:hAnsi="Arial"/>
          <w:sz w:val="16"/>
          <w:szCs w:val="16"/>
          <w:color w:val="auto"/>
        </w:rPr>
        <w:t>The Company did not recognize any consolidated income tax benefit (expense) for the three and six month periods ended October 31, 2011 and 2010. The Company has recorded a valuation allowance to reduce its net deferred tax asset to an amount that is more likely than not to be realized in future years. Accordingly, the benefit of the net operating loss that would have been recognized was offset by changes in the valuation allowance.</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During the six months ended October 31, 2011, the Company had no material changes in uncertain tax positions.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(11) Operating Segments and Geographic Information</w:t>
      </w:r>
    </w:p>
    <w:p>
      <w:pPr>
        <w:spacing w:after="0" w:line="176" w:lineRule="exact"/>
        <w:rPr>
          <w:sz w:val="20"/>
          <w:szCs w:val="20"/>
          <w:color w:val="auto"/>
        </w:rPr>
      </w:pPr>
    </w:p>
    <w:p>
      <w:pPr>
        <w:ind w:left="300" w:right="2360"/>
        <w:spacing w:after="0" w:line="266" w:lineRule="auto"/>
        <w:rPr>
          <w:sz w:val="20"/>
          <w:szCs w:val="20"/>
          <w:color w:val="auto"/>
        </w:rPr>
      </w:pPr>
      <w:r>
        <w:rPr>
          <w:rFonts w:ascii="Arial" w:cs="Arial" w:eastAsia="Arial" w:hAnsi="Arial"/>
          <w:sz w:val="16"/>
          <w:szCs w:val="16"/>
          <w:color w:val="auto"/>
        </w:rPr>
        <w:t>The Company views its business as one segment, which is the development and sale of its PowerBuoy product for wave energy applications. The Company operates on a worldwide basis with one operating company in the US, one operating subsidiary in the UK and one operating subsidiary in Australia, which are categorized below as North America, Europe and Australia, respectively. Revenues are generally attributed to the operating unit that bills the customers.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6"/>
                <w:szCs w:val="16"/>
                <w:color w:val="auto"/>
              </w:rPr>
              <w:t>Geographic information is as follows: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378"/>
        </w:trPr>
        <w:tc>
          <w:tcPr>
            <w:tcW w:w="3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Asia and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2"/>
        </w:trPr>
        <w:tc>
          <w:tcPr>
            <w:tcW w:w="3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100" w:type="dxa"/>
            <w:vAlign w:val="bottom"/>
            <w:gridSpan w:val="4"/>
          </w:tcPr>
          <w:p>
            <w:pPr>
              <w:ind w:left="700"/>
              <w:spacing w:after="0"/>
              <w:rPr>
                <w:sz w:val="20"/>
                <w:szCs w:val="20"/>
                <w:color w:val="auto"/>
              </w:rPr>
            </w:pPr>
            <w:r>
              <w:rPr>
                <w:rFonts w:ascii="Arial" w:cs="Arial" w:eastAsia="Arial" w:hAnsi="Arial"/>
                <w:sz w:val="16"/>
                <w:szCs w:val="16"/>
                <w:b w:val="1"/>
                <w:bCs w:val="1"/>
                <w:color w:val="auto"/>
              </w:rPr>
              <w:t>North America</w:t>
            </w:r>
          </w:p>
        </w:tc>
        <w:tc>
          <w:tcPr>
            <w:tcW w:w="12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Europe</w:t>
            </w:r>
          </w:p>
        </w:tc>
        <w:tc>
          <w:tcPr>
            <w:tcW w:w="12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Australia</w:t>
            </w:r>
          </w:p>
        </w:tc>
        <w:tc>
          <w:tcPr>
            <w:tcW w:w="9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Total</w:t>
            </w:r>
          </w:p>
        </w:tc>
        <w:tc>
          <w:tcPr>
            <w:tcW w:w="2280" w:type="dxa"/>
            <w:vAlign w:val="bottom"/>
          </w:tcPr>
          <w:p>
            <w:pPr>
              <w:spacing w:after="0"/>
              <w:rPr>
                <w:sz w:val="18"/>
                <w:szCs w:val="18"/>
                <w:color w:val="auto"/>
              </w:rPr>
            </w:pPr>
          </w:p>
        </w:tc>
      </w:tr>
      <w:tr>
        <w:trPr>
          <w:trHeight w:val="189"/>
        </w:trPr>
        <w:tc>
          <w:tcPr>
            <w:tcW w:w="3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196"/>
        </w:trPr>
        <w:tc>
          <w:tcPr>
            <w:tcW w:w="30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Three months ended October 31, 2011</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6"/>
                <w:szCs w:val="16"/>
                <w:color w:val="auto"/>
              </w:rPr>
              <w:t>Revenues from external customers</w:t>
            </w:r>
          </w:p>
        </w:tc>
        <w:tc>
          <w:tcPr>
            <w:tcW w:w="86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1,027,483</w:t>
            </w: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487,954</w:t>
            </w:r>
          </w:p>
        </w:tc>
        <w:tc>
          <w:tcPr>
            <w:tcW w:w="340" w:type="dxa"/>
            <w:vAlign w:val="bottom"/>
          </w:tcPr>
          <w:p>
            <w:pPr>
              <w:spacing w:after="0"/>
              <w:rPr>
                <w:sz w:val="17"/>
                <w:szCs w:val="17"/>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1,515,437</w:t>
            </w:r>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Operating loss</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(3,633,509)</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(330,622)</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(81,670)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(4,045,801)</w:t>
            </w:r>
          </w:p>
        </w:tc>
        <w:tc>
          <w:tcPr>
            <w:tcW w:w="2280" w:type="dxa"/>
            <w:vAlign w:val="bottom"/>
          </w:tcPr>
          <w:p>
            <w:pPr>
              <w:spacing w:after="0"/>
              <w:rPr>
                <w:sz w:val="17"/>
                <w:szCs w:val="17"/>
                <w:color w:val="auto"/>
              </w:rPr>
            </w:pPr>
          </w:p>
        </w:tc>
      </w:tr>
      <w:tr>
        <w:trPr>
          <w:trHeight w:val="392"/>
        </w:trPr>
        <w:tc>
          <w:tcPr>
            <w:tcW w:w="300" w:type="dxa"/>
            <w:vAlign w:val="bottom"/>
          </w:tcPr>
          <w:p>
            <w:pPr>
              <w:spacing w:after="0"/>
              <w:rPr>
                <w:sz w:val="24"/>
                <w:szCs w:val="24"/>
                <w:color w:val="auto"/>
              </w:rPr>
            </w:pPr>
          </w:p>
        </w:tc>
        <w:tc>
          <w:tcPr>
            <w:tcW w:w="3340" w:type="dxa"/>
            <w:vAlign w:val="bottom"/>
          </w:tcPr>
          <w:p>
            <w:pPr>
              <w:spacing w:after="0"/>
              <w:rPr>
                <w:sz w:val="20"/>
                <w:szCs w:val="20"/>
                <w:color w:val="auto"/>
              </w:rPr>
            </w:pPr>
            <w:r>
              <w:rPr>
                <w:rFonts w:ascii="Arial" w:cs="Arial" w:eastAsia="Arial" w:hAnsi="Arial"/>
                <w:sz w:val="16"/>
                <w:szCs w:val="16"/>
                <w:b w:val="1"/>
                <w:bCs w:val="1"/>
                <w:color w:val="auto"/>
              </w:rPr>
              <w:t>Three months ended October 31, 2010</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97"/>
        </w:trPr>
        <w:tc>
          <w:tcPr>
            <w:tcW w:w="30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Revenues from external customers</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1,577,993</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277,380</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9,034</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1,864,407</w:t>
            </w:r>
          </w:p>
        </w:tc>
        <w:tc>
          <w:tcPr>
            <w:tcW w:w="10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r>
      <w:tr>
        <w:trPr>
          <w:trHeight w:val="208"/>
        </w:trPr>
        <w:tc>
          <w:tcPr>
            <w:tcW w:w="3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6"/>
                <w:szCs w:val="16"/>
                <w:color w:val="auto"/>
              </w:rPr>
              <w:t>Operating loss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(5,322,111)</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(341,705)</w:t>
            </w:r>
          </w:p>
        </w:tc>
        <w:tc>
          <w:tcPr>
            <w:tcW w:w="1220" w:type="dxa"/>
            <w:vAlign w:val="bottom"/>
            <w:gridSpan w:val="2"/>
          </w:tcPr>
          <w:p>
            <w:pPr>
              <w:jc w:val="right"/>
              <w:ind w:right="280"/>
              <w:spacing w:after="0"/>
              <w:rPr>
                <w:sz w:val="20"/>
                <w:szCs w:val="20"/>
                <w:color w:val="auto"/>
              </w:rPr>
            </w:pPr>
            <w:r>
              <w:rPr>
                <w:rFonts w:ascii="Arial" w:cs="Arial" w:eastAsia="Arial" w:hAnsi="Arial"/>
                <w:sz w:val="16"/>
                <w:szCs w:val="16"/>
                <w:color w:val="auto"/>
              </w:rPr>
              <w:t>(75,072)</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(5,738,888)</w:t>
            </w:r>
          </w:p>
        </w:tc>
        <w:tc>
          <w:tcPr>
            <w:tcW w:w="2280" w:type="dxa"/>
            <w:vAlign w:val="bottom"/>
          </w:tcPr>
          <w:p>
            <w:pPr>
              <w:spacing w:after="0"/>
              <w:rPr>
                <w:sz w:val="18"/>
                <w:szCs w:val="18"/>
                <w:color w:val="auto"/>
              </w:rPr>
            </w:pPr>
          </w:p>
        </w:tc>
      </w:tr>
      <w:tr>
        <w:trPr>
          <w:trHeight w:val="185"/>
        </w:trPr>
        <w:tc>
          <w:tcPr>
            <w:tcW w:w="3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196"/>
        </w:trPr>
        <w:tc>
          <w:tcPr>
            <w:tcW w:w="30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Six months ended October 31, 2011</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6"/>
                <w:szCs w:val="16"/>
                <w:color w:val="auto"/>
              </w:rPr>
              <w:t>Revenues from external customers</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2,716,034</w:t>
            </w: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710,255</w:t>
            </w:r>
          </w:p>
        </w:tc>
        <w:tc>
          <w:tcPr>
            <w:tcW w:w="340" w:type="dxa"/>
            <w:vAlign w:val="bottom"/>
          </w:tcPr>
          <w:p>
            <w:pPr>
              <w:spacing w:after="0"/>
              <w:rPr>
                <w:sz w:val="17"/>
                <w:szCs w:val="17"/>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3,426,289</w:t>
            </w:r>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Operating loss</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(8,281,200)</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(744,244)</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(131,736)</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(9,157,180)</w:t>
            </w:r>
          </w:p>
        </w:tc>
        <w:tc>
          <w:tcPr>
            <w:tcW w:w="2280" w:type="dxa"/>
            <w:vAlign w:val="bottom"/>
          </w:tcPr>
          <w:p>
            <w:pPr>
              <w:spacing w:after="0"/>
              <w:rPr>
                <w:sz w:val="17"/>
                <w:szCs w:val="17"/>
                <w:color w:val="auto"/>
              </w:rPr>
            </w:pPr>
          </w:p>
        </w:tc>
      </w:tr>
      <w:tr>
        <w:trPr>
          <w:trHeight w:val="392"/>
        </w:trPr>
        <w:tc>
          <w:tcPr>
            <w:tcW w:w="300" w:type="dxa"/>
            <w:vAlign w:val="bottom"/>
          </w:tcPr>
          <w:p>
            <w:pPr>
              <w:spacing w:after="0"/>
              <w:rPr>
                <w:sz w:val="24"/>
                <w:szCs w:val="24"/>
                <w:color w:val="auto"/>
              </w:rPr>
            </w:pPr>
          </w:p>
        </w:tc>
        <w:tc>
          <w:tcPr>
            <w:tcW w:w="3340" w:type="dxa"/>
            <w:vAlign w:val="bottom"/>
          </w:tcPr>
          <w:p>
            <w:pPr>
              <w:spacing w:after="0"/>
              <w:rPr>
                <w:sz w:val="20"/>
                <w:szCs w:val="20"/>
                <w:color w:val="auto"/>
              </w:rPr>
            </w:pPr>
            <w:r>
              <w:rPr>
                <w:rFonts w:ascii="Arial" w:cs="Arial" w:eastAsia="Arial" w:hAnsi="Arial"/>
                <w:sz w:val="16"/>
                <w:szCs w:val="16"/>
                <w:b w:val="1"/>
                <w:bCs w:val="1"/>
                <w:color w:val="auto"/>
              </w:rPr>
              <w:t>Six months ended October 31, 2010</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97"/>
        </w:trPr>
        <w:tc>
          <w:tcPr>
            <w:tcW w:w="30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Revenues from external customers</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3,030,128</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199,652</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9,034</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3,238,814</w:t>
            </w:r>
          </w:p>
        </w:tc>
        <w:tc>
          <w:tcPr>
            <w:tcW w:w="10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r>
      <w:tr>
        <w:trPr>
          <w:trHeight w:val="208"/>
        </w:trPr>
        <w:tc>
          <w:tcPr>
            <w:tcW w:w="3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6"/>
                <w:szCs w:val="16"/>
                <w:color w:val="auto"/>
              </w:rPr>
              <w:t>Operating loss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(11,054,330)</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(840,377)</w:t>
            </w:r>
          </w:p>
        </w:tc>
        <w:tc>
          <w:tcPr>
            <w:tcW w:w="1220" w:type="dxa"/>
            <w:vAlign w:val="bottom"/>
            <w:gridSpan w:val="2"/>
          </w:tcPr>
          <w:p>
            <w:pPr>
              <w:jc w:val="right"/>
              <w:ind w:right="280"/>
              <w:spacing w:after="0"/>
              <w:rPr>
                <w:sz w:val="20"/>
                <w:szCs w:val="20"/>
                <w:color w:val="auto"/>
              </w:rPr>
            </w:pPr>
            <w:r>
              <w:rPr>
                <w:rFonts w:ascii="Arial" w:cs="Arial" w:eastAsia="Arial" w:hAnsi="Arial"/>
                <w:sz w:val="16"/>
                <w:szCs w:val="16"/>
                <w:color w:val="auto"/>
              </w:rPr>
              <w:t>(112,716)</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(12,007,423)</w:t>
            </w:r>
          </w:p>
        </w:tc>
        <w:tc>
          <w:tcPr>
            <w:tcW w:w="2280" w:type="dxa"/>
            <w:vAlign w:val="bottom"/>
          </w:tcPr>
          <w:p>
            <w:pPr>
              <w:spacing w:after="0"/>
              <w:rPr>
                <w:sz w:val="18"/>
                <w:szCs w:val="18"/>
                <w:color w:val="auto"/>
              </w:rPr>
            </w:pPr>
          </w:p>
        </w:tc>
      </w:tr>
      <w:tr>
        <w:trPr>
          <w:trHeight w:val="185"/>
        </w:trPr>
        <w:tc>
          <w:tcPr>
            <w:tcW w:w="3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196"/>
        </w:trPr>
        <w:tc>
          <w:tcPr>
            <w:tcW w:w="30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October 31, 2011</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6"/>
                <w:szCs w:val="16"/>
                <w:color w:val="auto"/>
              </w:rPr>
              <w:t>Long-lived assets</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578,568</w:t>
            </w: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185,568</w:t>
            </w:r>
          </w:p>
        </w:tc>
        <w:tc>
          <w:tcPr>
            <w:tcW w:w="340" w:type="dxa"/>
            <w:vAlign w:val="bottom"/>
          </w:tcPr>
          <w:p>
            <w:pPr>
              <w:spacing w:after="0"/>
              <w:rPr>
                <w:sz w:val="17"/>
                <w:szCs w:val="17"/>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764,136</w:t>
            </w:r>
          </w:p>
        </w:tc>
        <w:tc>
          <w:tcPr>
            <w:tcW w:w="228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39,872,578</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3,856,636</w:t>
            </w: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847,112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44,576,326</w:t>
            </w:r>
          </w:p>
        </w:tc>
        <w:tc>
          <w:tcPr>
            <w:tcW w:w="2280" w:type="dxa"/>
            <w:vAlign w:val="bottom"/>
          </w:tcPr>
          <w:p>
            <w:pPr>
              <w:spacing w:after="0"/>
              <w:rPr>
                <w:sz w:val="17"/>
                <w:szCs w:val="17"/>
                <w:color w:val="auto"/>
              </w:rPr>
            </w:pPr>
          </w:p>
        </w:tc>
      </w:tr>
      <w:tr>
        <w:trPr>
          <w:trHeight w:val="392"/>
        </w:trPr>
        <w:tc>
          <w:tcPr>
            <w:tcW w:w="300" w:type="dxa"/>
            <w:vAlign w:val="bottom"/>
          </w:tcPr>
          <w:p>
            <w:pPr>
              <w:spacing w:after="0"/>
              <w:rPr>
                <w:sz w:val="24"/>
                <w:szCs w:val="24"/>
                <w:color w:val="auto"/>
              </w:rPr>
            </w:pPr>
          </w:p>
        </w:tc>
        <w:tc>
          <w:tcPr>
            <w:tcW w:w="3340" w:type="dxa"/>
            <w:vAlign w:val="bottom"/>
          </w:tcPr>
          <w:p>
            <w:pPr>
              <w:spacing w:after="0"/>
              <w:rPr>
                <w:sz w:val="20"/>
                <w:szCs w:val="20"/>
                <w:color w:val="auto"/>
              </w:rPr>
            </w:pPr>
            <w:r>
              <w:rPr>
                <w:rFonts w:ascii="Arial" w:cs="Arial" w:eastAsia="Arial" w:hAnsi="Arial"/>
                <w:sz w:val="16"/>
                <w:szCs w:val="16"/>
                <w:b w:val="1"/>
                <w:bCs w:val="1"/>
                <w:color w:val="auto"/>
              </w:rPr>
              <w:t>April 30, 2011</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97"/>
        </w:trPr>
        <w:tc>
          <w:tcPr>
            <w:tcW w:w="30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Long-lived assets</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619,861</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172,231</w:t>
            </w: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792,092</w:t>
            </w:r>
          </w:p>
        </w:tc>
        <w:tc>
          <w:tcPr>
            <w:tcW w:w="2280" w:type="dxa"/>
            <w:vAlign w:val="bottom"/>
          </w:tcPr>
          <w:p>
            <w:pPr>
              <w:spacing w:after="0"/>
              <w:rPr>
                <w:sz w:val="17"/>
                <w:szCs w:val="17"/>
                <w:color w:val="auto"/>
              </w:rPr>
            </w:pPr>
          </w:p>
        </w:tc>
      </w:tr>
      <w:tr>
        <w:trPr>
          <w:trHeight w:val="208"/>
        </w:trPr>
        <w:tc>
          <w:tcPr>
            <w:tcW w:w="3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6"/>
                <w:szCs w:val="16"/>
                <w:color w:val="auto"/>
              </w:rPr>
              <w:t>Total assets</w:t>
            </w:r>
          </w:p>
        </w:tc>
        <w:tc>
          <w:tcPr>
            <w:tcW w:w="86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6"/>
                <w:szCs w:val="16"/>
                <w:color w:val="auto"/>
              </w:rPr>
              <w:t>47,697,028</w:t>
            </w:r>
          </w:p>
        </w:tc>
        <w:tc>
          <w:tcPr>
            <w:tcW w:w="860" w:type="dxa"/>
            <w:vAlign w:val="bottom"/>
          </w:tcPr>
          <w:p>
            <w:pPr>
              <w:jc w:val="right"/>
              <w:spacing w:after="0"/>
              <w:rPr>
                <w:sz w:val="20"/>
                <w:szCs w:val="20"/>
                <w:color w:val="auto"/>
              </w:rPr>
            </w:pPr>
            <w:r>
              <w:rPr>
                <w:rFonts w:ascii="Arial" w:cs="Arial" w:eastAsia="Arial" w:hAnsi="Arial"/>
                <w:sz w:val="16"/>
                <w:szCs w:val="16"/>
                <w:color w:val="auto"/>
              </w:rPr>
              <w:t>4,935,922</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919,628</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53,552,578</w:t>
            </w:r>
          </w:p>
        </w:tc>
        <w:tc>
          <w:tcPr>
            <w:tcW w:w="2280" w:type="dxa"/>
            <w:vAlign w:val="bottom"/>
          </w:tcPr>
          <w:p>
            <w:pPr>
              <w:spacing w:after="0"/>
              <w:rPr>
                <w:sz w:val="18"/>
                <w:szCs w:val="18"/>
                <w:color w:val="auto"/>
              </w:rPr>
            </w:pPr>
          </w:p>
        </w:tc>
      </w:tr>
      <w:tr>
        <w:trPr>
          <w:trHeight w:val="712"/>
        </w:trPr>
        <w:tc>
          <w:tcPr>
            <w:tcW w:w="3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498"/>
              <w:spacing w:after="0"/>
              <w:rPr>
                <w:sz w:val="20"/>
                <w:szCs w:val="20"/>
                <w:color w:val="auto"/>
              </w:rPr>
            </w:pPr>
            <w:r>
              <w:rPr>
                <w:rFonts w:ascii="Arial" w:cs="Arial" w:eastAsia="Arial" w:hAnsi="Arial"/>
                <w:sz w:val="16"/>
                <w:szCs w:val="16"/>
                <w:color w:val="auto"/>
              </w:rPr>
              <w:t>16</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06"/>
        </w:trPr>
        <w:tc>
          <w:tcPr>
            <w:tcW w:w="300" w:type="dxa"/>
            <w:vAlign w:val="bottom"/>
            <w:tcBorders>
              <w:bottom w:val="single" w:sz="8" w:color="808080"/>
            </w:tcBorders>
          </w:tcPr>
          <w:p>
            <w:pPr>
              <w:spacing w:after="0"/>
              <w:rPr>
                <w:sz w:val="17"/>
                <w:szCs w:val="17"/>
                <w:color w:val="auto"/>
              </w:rPr>
            </w:pPr>
          </w:p>
        </w:tc>
        <w:tc>
          <w:tcPr>
            <w:tcW w:w="33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88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88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88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228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394" w:right="23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82"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b w:val="1"/>
          <w:bCs w:val="1"/>
          <w:i w:val="1"/>
          <w:iCs w:val="1"/>
          <w:color w:val="auto"/>
        </w:rPr>
        <w:t>MANAGEMENT’S DISCUSSION AND ANALYSIS OF FINANCIAL CONDITION AND RESULTS OF OPERATIONS</w:t>
      </w:r>
    </w:p>
    <w:p>
      <w:pPr>
        <w:spacing w:after="0" w:line="188" w:lineRule="exact"/>
        <w:rPr>
          <w:sz w:val="20"/>
          <w:szCs w:val="20"/>
          <w:color w:val="auto"/>
        </w:rPr>
      </w:pPr>
    </w:p>
    <w:p>
      <w:pPr>
        <w:ind w:left="300" w:right="1119"/>
        <w:spacing w:after="0" w:line="271" w:lineRule="auto"/>
        <w:rPr>
          <w:sz w:val="20"/>
          <w:szCs w:val="20"/>
          <w:color w:val="auto"/>
        </w:rPr>
      </w:pPr>
      <w:r>
        <w:rPr>
          <w:rFonts w:ascii="Arial" w:cs="Arial" w:eastAsia="Arial" w:hAnsi="Arial"/>
          <w:sz w:val="16"/>
          <w:szCs w:val="16"/>
          <w:color w:val="auto"/>
        </w:rPr>
        <w:t>The following discussion and analysis should be read in conjunction with the accompanying unaudited consolidated financial statements and related notes included in this Quarterly Report on Form 10-Q. References to a fiscal year in this Form 10-Q refer to the year ended April 30 of that year (e.g., fiscal 2012 refers to the year ending April 30, 2012).</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Overview</w:t>
      </w:r>
    </w:p>
    <w:p>
      <w:pPr>
        <w:spacing w:after="0" w:line="176" w:lineRule="exact"/>
        <w:rPr>
          <w:sz w:val="20"/>
          <w:szCs w:val="20"/>
          <w:color w:val="auto"/>
        </w:rPr>
      </w:pPr>
    </w:p>
    <w:p>
      <w:pPr>
        <w:ind w:left="300" w:right="1119"/>
        <w:spacing w:after="0" w:line="278" w:lineRule="auto"/>
        <w:rPr>
          <w:sz w:val="20"/>
          <w:szCs w:val="20"/>
          <w:color w:val="auto"/>
        </w:rPr>
      </w:pPr>
      <w:r>
        <w:rPr>
          <w:rFonts w:ascii="Arial" w:cs="Arial" w:eastAsia="Arial" w:hAnsi="Arial"/>
          <w:sz w:val="15"/>
          <w:szCs w:val="15"/>
          <w:color w:val="auto"/>
        </w:rPr>
        <w:t>We develop and are commercializing proprietary systems that generate electricity by harnessing the renewable energy of ocean waves. Our PowerBuoy</w:t>
      </w:r>
      <w:r>
        <w:rPr>
          <w:rFonts w:ascii="Arial" w:cs="Arial" w:eastAsia="Arial" w:hAnsi="Arial"/>
          <w:sz w:val="12"/>
          <w:szCs w:val="12"/>
          <w:color w:val="auto"/>
        </w:rPr>
        <w:t>®</w:t>
      </w:r>
      <w:r>
        <w:rPr>
          <w:rFonts w:ascii="Arial" w:cs="Arial" w:eastAsia="Arial" w:hAnsi="Arial"/>
          <w:sz w:val="15"/>
          <w:szCs w:val="15"/>
          <w:color w:val="auto"/>
        </w:rPr>
        <w:t xml:space="preserve"> systems use proprietary technologies to convert the mechanical energy created by the rising and falling of ocean waves into electricity. We currently offer two PowerBuoy products, which consist of our utility PowerBuoy system and our autonomous PowerBuoy system. We also offer our customers operations and maintenance services for our PowerBuoy systems, which are expected to provide a source of recurring revenues. In addition, we market our undersea substation pod and undersea power connection infrastructure services to other companies in the marine energy sector. Since fiscal 2002, the US Navy and other government agencies have accounted for a significant portion of our revenues. These revenues were largely for the support of our product development efforts. Our goal, over time, is to generate revenues from utilities and other non-government commercial customers and to have such revenues increase more rapidly than those from government customers, and to have them represent the majority of our revenues in the future. In addition, we expect that in the future an increased portion of our revenues will be from the sale of products and maintenance services, as compared to revenue to support our product development efforts.</w:t>
      </w:r>
    </w:p>
    <w:p>
      <w:pPr>
        <w:spacing w:after="0" w:line="135" w:lineRule="exact"/>
        <w:rPr>
          <w:sz w:val="20"/>
          <w:szCs w:val="20"/>
          <w:color w:val="auto"/>
        </w:rPr>
      </w:pPr>
    </w:p>
    <w:p>
      <w:pPr>
        <w:ind w:left="300" w:right="1099"/>
        <w:spacing w:after="0" w:line="310" w:lineRule="auto"/>
        <w:rPr>
          <w:sz w:val="20"/>
          <w:szCs w:val="20"/>
          <w:color w:val="auto"/>
        </w:rPr>
      </w:pPr>
      <w:r>
        <w:rPr>
          <w:rFonts w:ascii="Arial" w:cs="Arial" w:eastAsia="Arial" w:hAnsi="Arial"/>
          <w:sz w:val="14"/>
          <w:szCs w:val="14"/>
          <w:color w:val="auto"/>
        </w:rPr>
        <w:t>We market our utility PowerBuoy system, which is designed to supply electricity to a local or regional power grid, to utilities and other electrical power producers seeking to add electricity generated by wave energy to their existing electricity supply. We market our autonomous PowerBuoy system, which is designed to generate power for use independent of the power grid, to customers that require electricity in remote locations. We believe there are a variety of potential applications for our autonomous PowerBuoy system, including sonar and radar surveillance, tsunami warning, oceanographic data collection, offshore platforms and offshore aquaculture.</w:t>
      </w:r>
    </w:p>
    <w:p>
      <w:pPr>
        <w:spacing w:after="0" w:line="102" w:lineRule="exact"/>
        <w:rPr>
          <w:sz w:val="20"/>
          <w:szCs w:val="20"/>
          <w:color w:val="auto"/>
        </w:rPr>
      </w:pPr>
    </w:p>
    <w:p>
      <w:pPr>
        <w:ind w:left="300" w:right="1119"/>
        <w:spacing w:after="0" w:line="266" w:lineRule="auto"/>
        <w:rPr>
          <w:sz w:val="20"/>
          <w:szCs w:val="20"/>
          <w:color w:val="auto"/>
        </w:rPr>
      </w:pPr>
      <w:r>
        <w:rPr>
          <w:rFonts w:ascii="Arial" w:cs="Arial" w:eastAsia="Arial" w:hAnsi="Arial"/>
          <w:sz w:val="16"/>
          <w:szCs w:val="16"/>
          <w:color w:val="auto"/>
        </w:rPr>
        <w:t>We were incorporated in New Jersey in April 1984, began commercial operations in 1994, and were re-incorporated in Delaware in 2007. We currently have three wholly-owned subsidiaries, which include Ocean Power Technologies Ltd., Reedsport OPT Wave Park LLC, and Oregon Wave Energy Partners I, LLC, and we own approximately 88% of the ordinary shares of Ocean Power Technologies (Australasia) Pty Ltd.</w:t>
      </w:r>
    </w:p>
    <w:p>
      <w:pPr>
        <w:spacing w:after="0" w:line="130" w:lineRule="exact"/>
        <w:rPr>
          <w:sz w:val="20"/>
          <w:szCs w:val="20"/>
          <w:color w:val="auto"/>
        </w:rPr>
      </w:pPr>
    </w:p>
    <w:p>
      <w:pPr>
        <w:ind w:left="300" w:right="1099"/>
        <w:spacing w:after="0" w:line="277" w:lineRule="auto"/>
        <w:rPr>
          <w:sz w:val="20"/>
          <w:szCs w:val="20"/>
          <w:color w:val="auto"/>
        </w:rPr>
      </w:pPr>
      <w:r>
        <w:rPr>
          <w:rFonts w:ascii="Arial" w:cs="Arial" w:eastAsia="Arial" w:hAnsi="Arial"/>
          <w:sz w:val="15"/>
          <w:szCs w:val="15"/>
          <w:color w:val="auto"/>
        </w:rPr>
        <w:t>The development of our technology has been funded by capital we raised and by development engineering contracts we received starting in fiscal 1995. In fiscal 1996, we received the first of several research contracts with the US Navy to study the feasibility of wave energy. As a result of those research contracts, we entered into our first development and construction contract with the US Navy in fiscal 2002 under a project for the development and testing of our wave power systems at the US Marine Corps Base in Oahu, Hawaii. This project included the grid-connection of one of our utility-grade PowerBuoys at the Marine Corps Base. We generated our first revenue relating to our autonomous PowerBuoy system from contracts with Lockheed Martin Corporation, or Lockheed Martin, in fiscal 2003, and we entered into our first development and construction contract with Lockheed Martin in fiscal 2004 for the development and construction of a prototype demonstration autonomous PowerBuoy system. Subsequently, we received a contract from the US Navy to test our autonomous PowerBuoy system as a power source for the Navy’s Deep Water Active Detection System (“DWADS”). From August to October 2011, an autonomous PowerBuoy was deployed for ocean trials off the coast of New Jersey under a contract from the US Navy under its Littoral Expeditionary Autonomous PowerBuoy (“LEAP”) program. The LEAP PowerBuoy, incorporating a unique power take-off and on-board storage system, is significantly smaller and more compact than our standard utility PowerBuoy. It provides persistent, off-grid clean energy in remote ocean locations for a wide variety of maritime security, monitoring and other commercial applications.</w:t>
      </w:r>
    </w:p>
    <w:p>
      <w:pPr>
        <w:spacing w:after="0" w:line="135" w:lineRule="exact"/>
        <w:rPr>
          <w:sz w:val="20"/>
          <w:szCs w:val="20"/>
          <w:color w:val="auto"/>
        </w:rPr>
      </w:pPr>
    </w:p>
    <w:p>
      <w:pPr>
        <w:ind w:left="300" w:right="1219"/>
        <w:spacing w:after="0" w:line="298" w:lineRule="auto"/>
        <w:rPr>
          <w:sz w:val="20"/>
          <w:szCs w:val="20"/>
          <w:color w:val="auto"/>
        </w:rPr>
      </w:pPr>
      <w:r>
        <w:rPr>
          <w:rFonts w:ascii="Arial" w:cs="Arial" w:eastAsia="Arial" w:hAnsi="Arial"/>
          <w:sz w:val="14"/>
          <w:szCs w:val="14"/>
          <w:color w:val="auto"/>
        </w:rPr>
        <w:t>During the three months ended October 31, 2011, we received a $3.0 million grant from the European Union related to our WavePort project to enhance the efficiency of our PowerBuoy. At October 31, 2011, our total negotiated backlog was $8.8 million compared with $7.5 million at October 31, 2010. We anticipate that a majority of our backlog will be recognized as revenue over the next</w:t>
      </w:r>
    </w:p>
    <w:p>
      <w:pPr>
        <w:spacing w:after="0" w:line="1" w:lineRule="exact"/>
        <w:rPr>
          <w:sz w:val="20"/>
          <w:szCs w:val="20"/>
          <w:color w:val="auto"/>
        </w:rPr>
      </w:pPr>
    </w:p>
    <w:p>
      <w:pPr>
        <w:ind w:left="300" w:right="1199"/>
        <w:spacing w:after="0" w:line="258" w:lineRule="auto"/>
        <w:rPr>
          <w:sz w:val="20"/>
          <w:szCs w:val="20"/>
          <w:color w:val="auto"/>
        </w:rPr>
      </w:pPr>
      <w:r>
        <w:rPr>
          <w:rFonts w:ascii="Arial" w:cs="Arial" w:eastAsia="Arial" w:hAnsi="Arial"/>
          <w:sz w:val="16"/>
          <w:szCs w:val="16"/>
          <w:color w:val="auto"/>
        </w:rPr>
        <w:t>12 months. Most of our backlog at October 31, 2011 and October 31, 2010 consisted of cost-sharing contracts as described in the Financial Operations Overview section of this Management’s Discussion and Analysis. Our backlog includes both funded amounts, which are unfilled firm orders for our products and services for which funding has been both authorized and appropriated by the customer (Congress, in the case of US Government agencies) and unfunded amounts, which are unfilled firm orders from the US Department of Energy for which funding has not been appropriated. If any of our contracts were to be terminated, our backlog would be reduced by the expected value of the remaining terms of such contracts. Funded backlog was $6.8 million and $6.9 million at October 31, 2011 and 2010, respectively.</w:t>
      </w:r>
    </w:p>
    <w:p>
      <w:pPr>
        <w:spacing w:after="0" w:line="200" w:lineRule="exact"/>
        <w:rPr>
          <w:sz w:val="20"/>
          <w:szCs w:val="20"/>
          <w:color w:val="auto"/>
        </w:rPr>
      </w:pPr>
    </w:p>
    <w:p>
      <w:pPr>
        <w:spacing w:after="0" w:line="295"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263765"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0219"/>
          </w:cols>
          <w:pgMar w:left="240" w:top="394" w:right="1440" w:bottom="1440" w:gutter="0" w:footer="0" w:header="0"/>
        </w:sectPr>
      </w:pPr>
    </w:p>
    <w:bookmarkStart w:id="19" w:name="page20"/>
    <w:bookmarkEnd w:id="1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86" w:lineRule="exact"/>
        <w:rPr>
          <w:sz w:val="20"/>
          <w:szCs w:val="20"/>
          <w:color w:val="auto"/>
        </w:rPr>
      </w:pPr>
    </w:p>
    <w:p>
      <w:pPr>
        <w:ind w:left="300" w:right="1099"/>
        <w:spacing w:after="0" w:line="280" w:lineRule="auto"/>
        <w:rPr>
          <w:sz w:val="20"/>
          <w:szCs w:val="20"/>
          <w:color w:val="auto"/>
        </w:rPr>
      </w:pPr>
      <w:r>
        <w:rPr>
          <w:rFonts w:ascii="Arial" w:cs="Arial" w:eastAsia="Arial" w:hAnsi="Arial"/>
          <w:sz w:val="15"/>
          <w:szCs w:val="15"/>
          <w:color w:val="auto"/>
        </w:rPr>
        <w:t>For the three months ended October 31, 2011, we generated revenues of $1.5 million and incurred a net loss attributable to Ocean Power Technologies, Inc. of $3.9 million, compared to revenues of $1.9 million and a net loss attributable to Ocean Power Technologies, Inc. of $5.5 million for the three months ended October 31, 2010. For the six months ended October 31, 2011, we generated revenues of $3.4 million and incurred a net loss attributable to Ocean Power Technologies, Inc. of $8.9 million, compared to revenues of $3.2 million and a net loss attributable to Ocean Power Technologies, Inc. of $11.8 million for the six months ended October 31, 2010. As of October 31, 2011, our accumulated deficit was $119.7 million. We have not been profitable since inception, and we do not know whether or when we will become profitable because of the significant uncertainties with respect to our ability to successfully commercialize our PowerBuoy systems in the emerging renewable energy market.</w:t>
      </w:r>
    </w:p>
    <w:p>
      <w:pPr>
        <w:spacing w:after="0" w:line="134" w:lineRule="exact"/>
        <w:rPr>
          <w:sz w:val="20"/>
          <w:szCs w:val="20"/>
          <w:color w:val="auto"/>
        </w:rPr>
      </w:pPr>
    </w:p>
    <w:p>
      <w:pPr>
        <w:ind w:left="300" w:right="1279"/>
        <w:spacing w:after="0" w:line="281" w:lineRule="auto"/>
        <w:rPr>
          <w:sz w:val="20"/>
          <w:szCs w:val="20"/>
          <w:color w:val="auto"/>
        </w:rPr>
      </w:pPr>
      <w:r>
        <w:rPr>
          <w:rFonts w:ascii="Arial" w:cs="Arial" w:eastAsia="Arial" w:hAnsi="Arial"/>
          <w:sz w:val="15"/>
          <w:szCs w:val="15"/>
          <w:color w:val="auto"/>
        </w:rPr>
        <w:t>The marine energy industry, including wave, tidal and ocean current energy technologies, is expected to benefit from various legislative initiatives that have been undertaken or are planned by state and federal agencies. For example, the US production tax credit was expanded to include marine energy as part of the Energy Improvement and Extension Act of 2008, signed into law in October 2008. Production tax credit provisions, that were previously in place, served only to benefit other renewable energy sources such as wind and solar. This legislation enables owners of wave power projects in the US to receive federal production tax credits, which, by their prospective effect of lowering income taxes for our customers based on energy produced, should improve the comparative economics of wave power as a renewable energy source.</w:t>
      </w:r>
    </w:p>
    <w:p>
      <w:pPr>
        <w:spacing w:after="0" w:line="121" w:lineRule="exact"/>
        <w:rPr>
          <w:sz w:val="20"/>
          <w:szCs w:val="20"/>
          <w:color w:val="auto"/>
        </w:rPr>
      </w:pPr>
    </w:p>
    <w:p>
      <w:pPr>
        <w:ind w:left="300" w:right="1119"/>
        <w:spacing w:after="0" w:line="301" w:lineRule="auto"/>
        <w:rPr>
          <w:sz w:val="20"/>
          <w:szCs w:val="20"/>
          <w:color w:val="auto"/>
        </w:rPr>
      </w:pPr>
      <w:r>
        <w:rPr>
          <w:rFonts w:ascii="Arial" w:cs="Arial" w:eastAsia="Arial" w:hAnsi="Arial"/>
          <w:sz w:val="14"/>
          <w:szCs w:val="14"/>
          <w:color w:val="auto"/>
        </w:rPr>
        <w:t>Further, it is expected that the US federal and state governments will continue to increase their investments in the renewable energy sector under various economic stimulus measures. The American Recovery and Reinvestment Act of 2009 provides significant grants, tax incentives and policy initiatives to stimulate investment and innovation in the “cleantech” sector. The US Department of Energy (DOE) has also accepted proposals to be funded under government programs to further investment in marine energy technologies. We have devoted additional resources to develop proposals seeking government funding to support existing projects and technology enhancements. Consequently, while our selling, general and administrative costs related to such efforts may increase over the next year, we believe that these governmental initiatives may result in additional revenues for us over the next several years. Given the uncertainties surrounding the scope and size of these government programs, there can be no assurances as to whether we will be successful in obtaining significant additional government funding or as to the terms and conditions of any such funding.</w:t>
      </w:r>
    </w:p>
    <w:p>
      <w:pPr>
        <w:spacing w:after="0" w:line="111" w:lineRule="exact"/>
        <w:rPr>
          <w:sz w:val="20"/>
          <w:szCs w:val="20"/>
          <w:color w:val="auto"/>
        </w:rPr>
      </w:pPr>
    </w:p>
    <w:p>
      <w:pPr>
        <w:ind w:left="300" w:right="1139"/>
        <w:spacing w:after="0" w:line="280" w:lineRule="auto"/>
        <w:rPr>
          <w:sz w:val="20"/>
          <w:szCs w:val="20"/>
          <w:color w:val="auto"/>
        </w:rPr>
      </w:pPr>
      <w:r>
        <w:rPr>
          <w:rFonts w:ascii="Arial" w:cs="Arial" w:eastAsia="Arial" w:hAnsi="Arial"/>
          <w:sz w:val="15"/>
          <w:szCs w:val="15"/>
          <w:color w:val="auto"/>
        </w:rPr>
        <w:t>The recent global economic uncertainty may have a negative effect on our business, financial condition and results of operations because the utility companies with which we contract or propose to contract may decrease their investment in new power generation equipment in response to the uncertainty. However, the various legislative initiatives described above may diminish the effect of any decrease in such capital expenditures by these utility companies insofar as they may relate to renewable energy generation equipment. As discussed above, the timing, scope and size of these new government programs for renewable energy is uncertain, and there can be no assurances that we or our customers will be successful in obtaining any additional government funding. In addition, we do not believe the recent global economic uncertainty will have a material negative impact on our sources of supply, as our products incorporate what are substantially non-custom, standard parts found in many regions of the world.</w:t>
      </w:r>
    </w:p>
    <w:p>
      <w:pPr>
        <w:spacing w:after="0" w:line="134" w:lineRule="exact"/>
        <w:rPr>
          <w:sz w:val="20"/>
          <w:szCs w:val="20"/>
          <w:color w:val="auto"/>
        </w:rPr>
      </w:pPr>
    </w:p>
    <w:p>
      <w:pPr>
        <w:jc w:val="both"/>
        <w:ind w:left="300" w:right="1139"/>
        <w:spacing w:after="0" w:line="297" w:lineRule="auto"/>
        <w:rPr>
          <w:sz w:val="20"/>
          <w:szCs w:val="20"/>
          <w:color w:val="auto"/>
        </w:rPr>
      </w:pPr>
      <w:r>
        <w:rPr>
          <w:rFonts w:ascii="Arial" w:cs="Arial" w:eastAsia="Arial" w:hAnsi="Arial"/>
          <w:sz w:val="15"/>
          <w:szCs w:val="15"/>
          <w:color w:val="auto"/>
        </w:rPr>
        <w:t>According to the International Energy Agency, $3.4 trillion is expected to be spent for new renewable energy generation equipment in the period from 2007 to 2030. This equates to annual global expenditures of approximately $150 billion. We plan to take advantage of these global drivers of demand for renewable energy as we continue to refine and expand our proprietary technology.</w:t>
      </w:r>
    </w:p>
    <w:p>
      <w:pPr>
        <w:spacing w:after="0" w:line="200" w:lineRule="exact"/>
        <w:rPr>
          <w:sz w:val="20"/>
          <w:szCs w:val="20"/>
          <w:color w:val="auto"/>
        </w:rPr>
      </w:pPr>
    </w:p>
    <w:p>
      <w:pPr>
        <w:spacing w:after="0" w:line="265"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263765"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0219"/>
          </w:cols>
          <w:pgMar w:left="240" w:top="394" w:right="1440" w:bottom="1440" w:gutter="0" w:footer="0" w:header="0"/>
        </w:sectPr>
      </w:pPr>
    </w:p>
    <w:bookmarkStart w:id="20" w:name="page21"/>
    <w:bookmarkEnd w:id="2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82"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Financial Operations Overview</w:t>
      </w:r>
    </w:p>
    <w:p>
      <w:pPr>
        <w:spacing w:after="0" w:line="188" w:lineRule="exact"/>
        <w:rPr>
          <w:sz w:val="20"/>
          <w:szCs w:val="20"/>
          <w:color w:val="auto"/>
        </w:rPr>
      </w:pPr>
    </w:p>
    <w:p>
      <w:pPr>
        <w:ind w:left="300" w:right="1719"/>
        <w:spacing w:after="0" w:line="287" w:lineRule="auto"/>
        <w:rPr>
          <w:sz w:val="20"/>
          <w:szCs w:val="20"/>
          <w:color w:val="auto"/>
        </w:rPr>
      </w:pPr>
      <w:r>
        <w:rPr>
          <w:rFonts w:ascii="Arial" w:cs="Arial" w:eastAsia="Arial" w:hAnsi="Arial"/>
          <w:sz w:val="16"/>
          <w:szCs w:val="16"/>
          <w:color w:val="auto"/>
        </w:rPr>
        <w:t>The following describes certain line items in our consolidated statements of operations and some of the factors that affect our operating results.</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Revenues</w:t>
      </w:r>
    </w:p>
    <w:p>
      <w:pPr>
        <w:spacing w:after="0" w:line="172" w:lineRule="exact"/>
        <w:rPr>
          <w:sz w:val="20"/>
          <w:szCs w:val="20"/>
          <w:color w:val="auto"/>
        </w:rPr>
      </w:pPr>
    </w:p>
    <w:p>
      <w:pPr>
        <w:ind w:left="300" w:right="1079"/>
        <w:spacing w:after="0" w:line="304" w:lineRule="auto"/>
        <w:rPr>
          <w:sz w:val="20"/>
          <w:szCs w:val="20"/>
          <w:color w:val="auto"/>
        </w:rPr>
      </w:pPr>
      <w:r>
        <w:rPr>
          <w:rFonts w:ascii="Arial" w:cs="Arial" w:eastAsia="Arial" w:hAnsi="Arial"/>
          <w:sz w:val="14"/>
          <w:szCs w:val="14"/>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our customer acknowledges that such criteria have been satisfied. In addition, recognition of revenue (and the related costs) may be deferred for fixed-price contracts until contract completion if we are unable to reasonably estimate the total costs of the project prior to completion. Because we have a small number of contracts, revisions to the percentage-of-completion determination or delays in meeting performance criteria or in completing projects may have a significant effect on our revenue for the periods involved. Upon anticipating a loss on a contract, we recognize the full amount of the anticipated loss in the current period.</w:t>
      </w:r>
    </w:p>
    <w:p>
      <w:pPr>
        <w:spacing w:after="0" w:line="120" w:lineRule="exact"/>
        <w:rPr>
          <w:sz w:val="20"/>
          <w:szCs w:val="20"/>
          <w:color w:val="auto"/>
        </w:rPr>
      </w:pPr>
    </w:p>
    <w:p>
      <w:pPr>
        <w:ind w:left="300" w:right="1119"/>
        <w:spacing w:after="0" w:line="299" w:lineRule="auto"/>
        <w:rPr>
          <w:sz w:val="20"/>
          <w:szCs w:val="20"/>
          <w:color w:val="auto"/>
        </w:rPr>
      </w:pPr>
      <w:r>
        <w:rPr>
          <w:rFonts w:ascii="Arial" w:cs="Arial" w:eastAsia="Arial" w:hAnsi="Arial"/>
          <w:sz w:val="14"/>
          <w:szCs w:val="14"/>
          <w:color w:val="auto"/>
        </w:rPr>
        <w:t>Generally our contracts are either cost plus or fixed price contracts. Under cost plus contracts, we bill the customer for actual expenses incurred plus an agreed-upon fee. Revenue is typically recorded using the percentage-of-completion method based on the maximum awarded contract amount. In certain cases, we may choose to incur costs in excess of the maximum awarded contract amounts resulting in a loss on the contract. Currently, we have two types of fixed price contracts, firm fixed price and cost-sharing. Under firm fixed price contracts, we receive an agreed-upon amount for providing products and services that are specified in the contract. Revenue is typically recorded using the percentage-of-completion method based on the contract amount. Depending on whether actual costs are more or less than the agreed upon amount, there is a profit or loss on the project. Under cost-sharing contracts, the fixed amount agreed-upon with the customer is only intended to fund a portion of the costs on a specific project. We fund the remainder of the costs as part of our product development efforts. Revenue is typically recorded using the percentage-of-completion method based on the amount agreed upon with the customer. An amount corresponding to the revenue is recorded in cost of revenues resulting in gross profit on these contracts of zero. Our share of the costs is recorded as product development expense.</w:t>
      </w:r>
    </w:p>
    <w:p>
      <w:pPr>
        <w:spacing w:after="0" w:line="114"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provides information regarding the breakdown of our revenues by customer for the three and six months ended</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October 31, 2011 and 2010:</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212"/>
        </w:trPr>
        <w:tc>
          <w:tcPr>
            <w:tcW w:w="3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7"/>
          </w:tcPr>
          <w:p>
            <w:pPr>
              <w:spacing w:after="0"/>
              <w:rPr>
                <w:sz w:val="20"/>
                <w:szCs w:val="20"/>
                <w:color w:val="auto"/>
              </w:rPr>
            </w:pPr>
            <w:r>
              <w:rPr>
                <w:rFonts w:ascii="Arial" w:cs="Arial" w:eastAsia="Arial" w:hAnsi="Arial"/>
                <w:sz w:val="16"/>
                <w:szCs w:val="16"/>
                <w:b w:val="1"/>
                <w:bCs w:val="1"/>
                <w:color w:val="auto"/>
                <w:w w:val="96"/>
              </w:rPr>
              <w:t>Three months ended October 31,</w:t>
            </w:r>
          </w:p>
        </w:tc>
        <w:tc>
          <w:tcPr>
            <w:tcW w:w="2340" w:type="dxa"/>
            <w:vAlign w:val="bottom"/>
            <w:gridSpan w:val="8"/>
          </w:tcPr>
          <w:p>
            <w:pPr>
              <w:ind w:left="160"/>
              <w:spacing w:after="0"/>
              <w:rPr>
                <w:sz w:val="20"/>
                <w:szCs w:val="20"/>
                <w:color w:val="auto"/>
              </w:rPr>
            </w:pPr>
            <w:r>
              <w:rPr>
                <w:rFonts w:ascii="Arial" w:cs="Arial" w:eastAsia="Arial" w:hAnsi="Arial"/>
                <w:sz w:val="16"/>
                <w:szCs w:val="16"/>
                <w:b w:val="1"/>
                <w:bCs w:val="1"/>
                <w:color w:val="auto"/>
                <w:w w:val="93"/>
              </w:rPr>
              <w:t>Six months ended October 31,</w:t>
            </w:r>
          </w:p>
        </w:tc>
      </w:tr>
      <w:tr>
        <w:trPr>
          <w:trHeight w:val="173"/>
        </w:trPr>
        <w:tc>
          <w:tcPr>
            <w:tcW w:w="3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4"/>
          </w:tcPr>
          <w:p>
            <w:pPr>
              <w:jc w:val="right"/>
              <w:spacing w:after="0" w:line="173" w:lineRule="exact"/>
              <w:rPr>
                <w:sz w:val="20"/>
                <w:szCs w:val="20"/>
                <w:color w:val="auto"/>
              </w:rPr>
            </w:pPr>
            <w:r>
              <w:rPr>
                <w:rFonts w:ascii="Arial" w:cs="Arial" w:eastAsia="Arial" w:hAnsi="Arial"/>
                <w:sz w:val="16"/>
                <w:szCs w:val="16"/>
                <w:color w:val="auto"/>
              </w:rPr>
              <w:t>($ millions)</w:t>
            </w:r>
          </w:p>
        </w:tc>
        <w:tc>
          <w:tcPr>
            <w:tcW w:w="7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4"/>
          </w:tcPr>
          <w:p>
            <w:pPr>
              <w:jc w:val="right"/>
              <w:spacing w:after="0" w:line="173" w:lineRule="exact"/>
              <w:rPr>
                <w:sz w:val="20"/>
                <w:szCs w:val="20"/>
                <w:color w:val="auto"/>
              </w:rPr>
            </w:pPr>
            <w:r>
              <w:rPr>
                <w:rFonts w:ascii="Arial" w:cs="Arial" w:eastAsia="Arial" w:hAnsi="Arial"/>
                <w:sz w:val="16"/>
                <w:szCs w:val="16"/>
                <w:color w:val="auto"/>
              </w:rPr>
              <w:t>($ millions)</w:t>
            </w: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2"/>
        </w:trPr>
        <w:tc>
          <w:tcPr>
            <w:tcW w:w="4060" w:type="dxa"/>
            <w:vAlign w:val="bottom"/>
            <w:gridSpan w:val="2"/>
          </w:tcPr>
          <w:p>
            <w:pPr>
              <w:spacing w:after="0"/>
              <w:rPr>
                <w:sz w:val="20"/>
                <w:szCs w:val="20"/>
                <w:color w:val="auto"/>
              </w:rPr>
            </w:pPr>
            <w:r>
              <w:rPr>
                <w:rFonts w:ascii="Arial" w:cs="Arial" w:eastAsia="Arial" w:hAnsi="Arial"/>
                <w:sz w:val="16"/>
                <w:szCs w:val="16"/>
                <w:b w:val="1"/>
                <w:bCs w:val="1"/>
                <w:color w:val="auto"/>
              </w:rPr>
              <w:t>Customer</w:t>
            </w:r>
          </w:p>
        </w:tc>
        <w:tc>
          <w:tcPr>
            <w:tcW w:w="200" w:type="dxa"/>
            <w:vAlign w:val="bottom"/>
          </w:tcPr>
          <w:p>
            <w:pPr>
              <w:spacing w:after="0"/>
              <w:rPr>
                <w:sz w:val="18"/>
                <w:szCs w:val="18"/>
                <w:color w:val="auto"/>
              </w:rPr>
            </w:pPr>
          </w:p>
        </w:tc>
        <w:tc>
          <w:tcPr>
            <w:tcW w:w="740" w:type="dxa"/>
            <w:vAlign w:val="bottom"/>
          </w:tcPr>
          <w:p>
            <w:pPr>
              <w:jc w:val="right"/>
              <w:ind w:right="238"/>
              <w:spacing w:after="0"/>
              <w:rPr>
                <w:sz w:val="20"/>
                <w:szCs w:val="20"/>
                <w:color w:val="auto"/>
              </w:rPr>
            </w:pPr>
            <w:r>
              <w:rPr>
                <w:rFonts w:ascii="Arial" w:cs="Arial" w:eastAsia="Arial" w:hAnsi="Arial"/>
                <w:sz w:val="16"/>
                <w:szCs w:val="16"/>
                <w:b w:val="1"/>
                <w:bCs w:val="1"/>
                <w:color w:val="auto"/>
              </w:rPr>
              <w:t>2011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238"/>
              <w:spacing w:after="0"/>
              <w:rPr>
                <w:sz w:val="20"/>
                <w:szCs w:val="20"/>
                <w:color w:val="auto"/>
              </w:rPr>
            </w:pPr>
            <w:r>
              <w:rPr>
                <w:rFonts w:ascii="Arial" w:cs="Arial" w:eastAsia="Arial" w:hAnsi="Arial"/>
                <w:sz w:val="16"/>
                <w:szCs w:val="16"/>
                <w:b w:val="1"/>
                <w:bCs w:val="1"/>
                <w:color w:val="auto"/>
              </w:rPr>
              <w:t>2010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98"/>
              <w:spacing w:after="0"/>
              <w:rPr>
                <w:sz w:val="20"/>
                <w:szCs w:val="20"/>
                <w:color w:val="auto"/>
              </w:rPr>
            </w:pPr>
            <w:r>
              <w:rPr>
                <w:rFonts w:ascii="Arial" w:cs="Arial" w:eastAsia="Arial" w:hAnsi="Arial"/>
                <w:sz w:val="16"/>
                <w:szCs w:val="16"/>
                <w:b w:val="1"/>
                <w:bCs w:val="1"/>
                <w:color w:val="auto"/>
              </w:rPr>
              <w:t>2011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ind w:right="178"/>
              <w:spacing w:after="0"/>
              <w:rPr>
                <w:sz w:val="20"/>
                <w:szCs w:val="20"/>
                <w:color w:val="auto"/>
              </w:rPr>
            </w:pPr>
            <w:r>
              <w:rPr>
                <w:rFonts w:ascii="Arial" w:cs="Arial" w:eastAsia="Arial" w:hAnsi="Arial"/>
                <w:sz w:val="16"/>
                <w:szCs w:val="16"/>
                <w:b w:val="1"/>
                <w:bCs w:val="1"/>
                <w:color w:val="auto"/>
                <w:w w:val="95"/>
              </w:rPr>
              <w:t>2010</w:t>
            </w:r>
          </w:p>
        </w:tc>
        <w:tc>
          <w:tcPr>
            <w:tcW w:w="100" w:type="dxa"/>
            <w:vAlign w:val="bottom"/>
          </w:tcPr>
          <w:p>
            <w:pPr>
              <w:spacing w:after="0"/>
              <w:rPr>
                <w:sz w:val="18"/>
                <w:szCs w:val="18"/>
                <w:color w:val="auto"/>
              </w:rPr>
            </w:pPr>
          </w:p>
        </w:tc>
      </w:tr>
      <w:tr>
        <w:trPr>
          <w:trHeight w:val="189"/>
        </w:trPr>
        <w:tc>
          <w:tcPr>
            <w:tcW w:w="38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4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US Navy</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60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0.9</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w:t>
            </w:r>
          </w:p>
        </w:tc>
        <w:tc>
          <w:tcPr>
            <w:tcW w:w="42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w:t>
            </w:r>
          </w:p>
        </w:tc>
      </w:tr>
      <w:tr>
        <w:trPr>
          <w:trHeight w:val="196"/>
        </w:trPr>
        <w:tc>
          <w:tcPr>
            <w:tcW w:w="4060" w:type="dxa"/>
            <w:vAlign w:val="bottom"/>
            <w:gridSpan w:val="2"/>
          </w:tcPr>
          <w:p>
            <w:pPr>
              <w:spacing w:after="0"/>
              <w:rPr>
                <w:sz w:val="20"/>
                <w:szCs w:val="20"/>
                <w:color w:val="auto"/>
              </w:rPr>
            </w:pPr>
            <w:r>
              <w:rPr>
                <w:rFonts w:ascii="Arial" w:cs="Arial" w:eastAsia="Arial" w:hAnsi="Arial"/>
                <w:sz w:val="16"/>
                <w:szCs w:val="16"/>
                <w:color w:val="auto"/>
              </w:rPr>
              <w:t>US Department of Energy</w:t>
            </w:r>
          </w:p>
        </w:tc>
        <w:tc>
          <w:tcPr>
            <w:tcW w:w="20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0.3</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0.6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0.8</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0.9</w:t>
            </w:r>
          </w:p>
        </w:tc>
      </w:tr>
      <w:tr>
        <w:trPr>
          <w:trHeight w:val="196"/>
        </w:trPr>
        <w:tc>
          <w:tcPr>
            <w:tcW w:w="4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UK Government’s Technology Strategy Board</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0.7</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w:t>
            </w:r>
          </w:p>
        </w:tc>
      </w:tr>
      <w:tr>
        <w:trPr>
          <w:trHeight w:val="196"/>
        </w:trPr>
        <w:tc>
          <w:tcPr>
            <w:tcW w:w="4060" w:type="dxa"/>
            <w:vAlign w:val="bottom"/>
            <w:gridSpan w:val="2"/>
          </w:tcPr>
          <w:p>
            <w:pPr>
              <w:spacing w:after="0"/>
              <w:rPr>
                <w:sz w:val="20"/>
                <w:szCs w:val="20"/>
                <w:color w:val="auto"/>
              </w:rPr>
            </w:pPr>
            <w:r>
              <w:rPr>
                <w:rFonts w:ascii="Arial" w:cs="Arial" w:eastAsia="Arial" w:hAnsi="Arial"/>
                <w:sz w:val="16"/>
                <w:szCs w:val="16"/>
                <w:color w:val="auto"/>
              </w:rPr>
              <w:t>European Union (WavePort project)</w:t>
            </w:r>
          </w:p>
        </w:tc>
        <w:tc>
          <w:tcPr>
            <w:tcW w:w="20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0.2</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0.2</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6"/>
        </w:trPr>
        <w:tc>
          <w:tcPr>
            <w:tcW w:w="4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Iberdrola Cantabria</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(0.2)</w:t>
            </w:r>
          </w:p>
        </w:tc>
      </w:tr>
      <w:tr>
        <w:trPr>
          <w:trHeight w:val="196"/>
        </w:trPr>
        <w:tc>
          <w:tcPr>
            <w:tcW w:w="4060" w:type="dxa"/>
            <w:vAlign w:val="bottom"/>
            <w:gridSpan w:val="2"/>
          </w:tcPr>
          <w:p>
            <w:pPr>
              <w:spacing w:after="0"/>
              <w:rPr>
                <w:sz w:val="20"/>
                <w:szCs w:val="20"/>
                <w:color w:val="auto"/>
              </w:rPr>
            </w:pPr>
            <w:r>
              <w:rPr>
                <w:rFonts w:ascii="Arial" w:cs="Arial" w:eastAsia="Arial" w:hAnsi="Arial"/>
                <w:sz w:val="16"/>
                <w:szCs w:val="16"/>
                <w:color w:val="auto"/>
              </w:rPr>
              <w:t>Scottish Government</w:t>
            </w:r>
          </w:p>
        </w:tc>
        <w:tc>
          <w:tcPr>
            <w:tcW w:w="20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0.2</w:t>
            </w:r>
          </w:p>
        </w:tc>
      </w:tr>
      <w:tr>
        <w:trPr>
          <w:trHeight w:val="196"/>
        </w:trPr>
        <w:tc>
          <w:tcPr>
            <w:tcW w:w="4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0.1</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1"/>
        </w:trPr>
        <w:tc>
          <w:tcPr>
            <w:tcW w:w="3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r>
      <w:tr>
        <w:trPr>
          <w:trHeight w:val="20"/>
        </w:trPr>
        <w:tc>
          <w:tcPr>
            <w:tcW w:w="3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9" w:lineRule="exact"/>
        <w:rPr>
          <w:sz w:val="20"/>
          <w:szCs w:val="20"/>
          <w:color w:val="auto"/>
        </w:rPr>
      </w:pPr>
    </w:p>
    <w:p>
      <w:pPr>
        <w:ind w:left="300" w:right="1539"/>
        <w:spacing w:after="0" w:line="287" w:lineRule="auto"/>
        <w:rPr>
          <w:sz w:val="20"/>
          <w:szCs w:val="20"/>
          <w:color w:val="auto"/>
        </w:rPr>
      </w:pPr>
      <w:r>
        <w:rPr>
          <w:rFonts w:ascii="Arial" w:cs="Arial" w:eastAsia="Arial" w:hAnsi="Arial"/>
          <w:sz w:val="16"/>
          <w:szCs w:val="16"/>
          <w:color w:val="auto"/>
        </w:rPr>
        <w:t>During the six months ended October 31, 2010, we reduced revenue by approximately $0.2 million due to a change in estimated revenue to be recognized in connection with the Spain construction agreement.</w:t>
      </w:r>
    </w:p>
    <w:p>
      <w:pPr>
        <w:spacing w:after="0" w:line="200" w:lineRule="exact"/>
        <w:rPr>
          <w:sz w:val="20"/>
          <w:szCs w:val="20"/>
          <w:color w:val="auto"/>
        </w:rPr>
      </w:pPr>
    </w:p>
    <w:p>
      <w:pPr>
        <w:spacing w:after="0" w:line="28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263765"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0219"/>
          </w:cols>
          <w:pgMar w:left="240" w:top="394" w:right="1440"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86" w:lineRule="exact"/>
        <w:rPr>
          <w:sz w:val="20"/>
          <w:szCs w:val="20"/>
          <w:color w:val="auto"/>
        </w:rPr>
      </w:pPr>
    </w:p>
    <w:p>
      <w:pPr>
        <w:ind w:left="300" w:right="1319"/>
        <w:spacing w:after="0" w:line="271" w:lineRule="auto"/>
        <w:rPr>
          <w:sz w:val="20"/>
          <w:szCs w:val="20"/>
          <w:color w:val="auto"/>
        </w:rPr>
      </w:pPr>
      <w:r>
        <w:rPr>
          <w:rFonts w:ascii="Arial" w:cs="Arial" w:eastAsia="Arial" w:hAnsi="Arial"/>
          <w:sz w:val="16"/>
          <w:szCs w:val="16"/>
          <w:color w:val="auto"/>
        </w:rPr>
        <w:t>We currently focus our sales and marketing efforts on North America, the west coast of Europe, Australia and Japan. The following table provides information regarding the breakdown of our revenues by geographical location of our customers for the six months ended October 31, 2011 and 2010:</w:t>
      </w:r>
    </w:p>
    <w:p>
      <w:pPr>
        <w:spacing w:after="0" w:line="159" w:lineRule="exact"/>
        <w:rPr>
          <w:sz w:val="20"/>
          <w:szCs w:val="20"/>
          <w:color w:val="auto"/>
        </w:rPr>
      </w:pPr>
    </w:p>
    <w:tbl>
      <w:tblPr>
        <w:tblLayout w:type="fixed"/>
        <w:tblInd w:w="300" w:type="dxa"/>
        <w:tblCellMar>
          <w:top w:w="0" w:type="dxa"/>
          <w:left w:w="0" w:type="dxa"/>
          <w:bottom w:w="0" w:type="dxa"/>
          <w:right w:w="0" w:type="dxa"/>
        </w:tblCellMar>
      </w:tblPr>
      <w:tr>
        <w:trPr>
          <w:trHeight w:val="212"/>
        </w:trPr>
        <w:tc>
          <w:tcPr>
            <w:tcW w:w="65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Customer Location</w:t>
            </w:r>
          </w:p>
        </w:tc>
        <w:tc>
          <w:tcPr>
            <w:tcW w:w="2300" w:type="dxa"/>
            <w:vAlign w:val="bottom"/>
            <w:gridSpan w:val="4"/>
          </w:tcPr>
          <w:p>
            <w:pPr>
              <w:jc w:val="right"/>
              <w:ind w:right="180"/>
              <w:spacing w:after="0"/>
              <w:rPr>
                <w:sz w:val="20"/>
                <w:szCs w:val="20"/>
                <w:color w:val="auto"/>
              </w:rPr>
            </w:pPr>
            <w:r>
              <w:rPr>
                <w:rFonts w:ascii="Arial" w:cs="Arial" w:eastAsia="Arial" w:hAnsi="Arial"/>
                <w:sz w:val="16"/>
                <w:szCs w:val="16"/>
                <w:b w:val="1"/>
                <w:bCs w:val="1"/>
                <w:color w:val="auto"/>
                <w:w w:val="91"/>
              </w:rPr>
              <w:t>Six months ended October 31,</w:t>
            </w:r>
          </w:p>
        </w:tc>
        <w:tc>
          <w:tcPr>
            <w:tcW w:w="0" w:type="dxa"/>
            <w:vAlign w:val="bottom"/>
          </w:tcPr>
          <w:p>
            <w:pPr>
              <w:spacing w:after="0"/>
              <w:rPr>
                <w:sz w:val="1"/>
                <w:szCs w:val="1"/>
                <w:color w:val="auto"/>
              </w:rPr>
            </w:pPr>
          </w:p>
        </w:tc>
      </w:tr>
      <w:tr>
        <w:trPr>
          <w:trHeight w:val="189"/>
        </w:trPr>
        <w:tc>
          <w:tcPr>
            <w:tcW w:w="6540" w:type="dxa"/>
            <w:vAlign w:val="bottom"/>
            <w:gridSpan w:val="2"/>
            <w:vMerge w:val="continue"/>
          </w:tcPr>
          <w:p>
            <w:pPr>
              <w:spacing w:after="0"/>
              <w:rPr>
                <w:sz w:val="16"/>
                <w:szCs w:val="16"/>
                <w:color w:val="auto"/>
              </w:rPr>
            </w:pPr>
          </w:p>
        </w:tc>
        <w:tc>
          <w:tcPr>
            <w:tcW w:w="860" w:type="dxa"/>
            <w:vAlign w:val="bottom"/>
            <w:tcBorders>
              <w:top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2011</w:t>
            </w:r>
          </w:p>
        </w:tc>
        <w:tc>
          <w:tcPr>
            <w:tcW w:w="4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2010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United States</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75%</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96"/>
        </w:trPr>
        <w:tc>
          <w:tcPr>
            <w:tcW w:w="6540" w:type="dxa"/>
            <w:vAlign w:val="bottom"/>
            <w:gridSpan w:val="2"/>
          </w:tcPr>
          <w:p>
            <w:pPr>
              <w:spacing w:after="0"/>
              <w:rPr>
                <w:sz w:val="20"/>
                <w:szCs w:val="20"/>
                <w:color w:val="auto"/>
              </w:rPr>
            </w:pPr>
            <w:r>
              <w:rPr>
                <w:rFonts w:ascii="Arial" w:cs="Arial" w:eastAsia="Arial" w:hAnsi="Arial"/>
                <w:sz w:val="16"/>
                <w:szCs w:val="16"/>
                <w:color w:val="auto"/>
              </w:rPr>
              <w:t>Europe</w:t>
            </w: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25%</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6"/>
        </w:trPr>
        <w:tc>
          <w:tcPr>
            <w:tcW w:w="6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Asia and Australia</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100%</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Cost of revenues</w:t>
      </w:r>
    </w:p>
    <w:p>
      <w:pPr>
        <w:spacing w:after="0" w:line="172" w:lineRule="exact"/>
        <w:rPr>
          <w:sz w:val="20"/>
          <w:szCs w:val="20"/>
          <w:color w:val="auto"/>
        </w:rPr>
      </w:pPr>
    </w:p>
    <w:p>
      <w:pPr>
        <w:ind w:left="300" w:right="1079"/>
        <w:spacing w:after="0" w:line="266" w:lineRule="auto"/>
        <w:rPr>
          <w:sz w:val="20"/>
          <w:szCs w:val="20"/>
          <w:color w:val="auto"/>
        </w:rPr>
      </w:pPr>
      <w:r>
        <w:rPr>
          <w:rFonts w:ascii="Arial" w:cs="Arial" w:eastAsia="Arial" w:hAnsi="Arial"/>
          <w:sz w:val="16"/>
          <w:szCs w:val="16"/>
          <w:color w:val="auto"/>
        </w:rPr>
        <w:t>Our cost of revenues consists primarily of incurred material, labor and manufacturing overhead expenses, such as engineering expense, equipment depreciation and maintenance and facility related expenses, and includes the cost of PowerBuoy parts and services supplied by third-party suppliers. Cost of revenues also includes PowerBuoy system delivery and deployment expenses and anticipated losses at completion on certain contracts.</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Product development costs</w:t>
      </w:r>
    </w:p>
    <w:p>
      <w:pPr>
        <w:spacing w:after="0" w:line="184" w:lineRule="exact"/>
        <w:rPr>
          <w:sz w:val="20"/>
          <w:szCs w:val="20"/>
          <w:color w:val="auto"/>
        </w:rPr>
      </w:pPr>
    </w:p>
    <w:p>
      <w:pPr>
        <w:ind w:left="300" w:right="1339"/>
        <w:spacing w:after="0" w:line="266" w:lineRule="auto"/>
        <w:rPr>
          <w:sz w:val="20"/>
          <w:szCs w:val="20"/>
          <w:color w:val="auto"/>
        </w:rPr>
      </w:pPr>
      <w:r>
        <w:rPr>
          <w:rFonts w:ascii="Arial" w:cs="Arial" w:eastAsia="Arial" w:hAnsi="Arial"/>
          <w:sz w:val="16"/>
          <w:szCs w:val="16"/>
          <w:color w:val="auto"/>
        </w:rPr>
        <w:t>Our product development costs consist of salaries and other personnel-related costs and the costs of products, materials and outside services used in our product development and unfunded research activities. Our product development costs relate primarily to our efforts to increase the output of our utility PowerBuoy system, primarily the 150kW PowerBuoy system, and to our research and development of new products, product applications and complementary technologies.</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Selling, general and administrative costs</w:t>
      </w:r>
    </w:p>
    <w:p>
      <w:pPr>
        <w:spacing w:after="0" w:line="172" w:lineRule="exact"/>
        <w:rPr>
          <w:sz w:val="20"/>
          <w:szCs w:val="20"/>
          <w:color w:val="auto"/>
        </w:rPr>
      </w:pPr>
    </w:p>
    <w:p>
      <w:pPr>
        <w:ind w:left="300" w:right="1119"/>
        <w:spacing w:after="0" w:line="271" w:lineRule="auto"/>
        <w:rPr>
          <w:sz w:val="20"/>
          <w:szCs w:val="20"/>
          <w:color w:val="auto"/>
        </w:rPr>
      </w:pPr>
      <w:r>
        <w:rPr>
          <w:rFonts w:ascii="Arial" w:cs="Arial" w:eastAsia="Arial" w:hAnsi="Arial"/>
          <w:sz w:val="16"/>
          <w:szCs w:val="16"/>
          <w:color w:val="auto"/>
        </w:rPr>
        <w:t>Our selling, general and administrative costs consist primarily of professional fees, salaries and other personnel-related costs for employees and consultants engaged in sales and marketing and support of our PowerBuoy systems and costs for executive, accounting and administrative personnel, professional fees and other general corporate expenses.</w:t>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Interest income</w:t>
      </w:r>
    </w:p>
    <w:p>
      <w:pPr>
        <w:spacing w:after="0" w:line="172" w:lineRule="exact"/>
        <w:rPr>
          <w:sz w:val="20"/>
          <w:szCs w:val="20"/>
          <w:color w:val="auto"/>
        </w:rPr>
      </w:pPr>
    </w:p>
    <w:p>
      <w:pPr>
        <w:ind w:left="300" w:right="1139"/>
        <w:spacing w:after="0" w:line="264" w:lineRule="auto"/>
        <w:rPr>
          <w:sz w:val="20"/>
          <w:szCs w:val="20"/>
          <w:color w:val="auto"/>
        </w:rPr>
      </w:pPr>
      <w:r>
        <w:rPr>
          <w:rFonts w:ascii="Arial" w:cs="Arial" w:eastAsia="Arial" w:hAnsi="Arial"/>
          <w:sz w:val="16"/>
          <w:szCs w:val="16"/>
          <w:color w:val="auto"/>
        </w:rPr>
        <w:t>Interest income consists of interest received on cash and cash equivalents, investments in commercial bank-issued certificates of deposit and US Treasury bills and notes. Total cash, cash equivalents, restricted cash, and marketable securities were $39.9 million as of October 31, 2011, compared to $57.7 million as of October 31, 2010. Interest income in the six months ended October 31, 2011 decreased compared to the six months ended October 31, 2010 due to a decline in interest rates and a decline in cash, cash equivalents and marketable securities.</w:t>
      </w:r>
    </w:p>
    <w:p>
      <w:pPr>
        <w:spacing w:after="0" w:line="130" w:lineRule="exact"/>
        <w:rPr>
          <w:sz w:val="20"/>
          <w:szCs w:val="20"/>
          <w:color w:val="auto"/>
        </w:rPr>
      </w:pPr>
    </w:p>
    <w:p>
      <w:pPr>
        <w:ind w:left="300" w:right="1179"/>
        <w:spacing w:after="0" w:line="287" w:lineRule="auto"/>
        <w:rPr>
          <w:sz w:val="20"/>
          <w:szCs w:val="20"/>
          <w:color w:val="auto"/>
        </w:rPr>
      </w:pPr>
      <w:r>
        <w:rPr>
          <w:rFonts w:ascii="Arial" w:cs="Arial" w:eastAsia="Arial" w:hAnsi="Arial"/>
          <w:sz w:val="16"/>
          <w:szCs w:val="16"/>
          <w:color w:val="auto"/>
        </w:rPr>
        <w:t>We anticipate that our interest income reported in fiscal 2012 will continue to be lower than the comparable periods of the prior fiscal year as a result of the decrease in invested cash.</w:t>
      </w:r>
    </w:p>
    <w:p>
      <w:pPr>
        <w:spacing w:after="0" w:line="200" w:lineRule="exact"/>
        <w:rPr>
          <w:sz w:val="20"/>
          <w:szCs w:val="20"/>
          <w:color w:val="auto"/>
        </w:rPr>
      </w:pPr>
    </w:p>
    <w:p>
      <w:pPr>
        <w:spacing w:after="0" w:line="28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263765"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0219"/>
          </w:cols>
          <w:pgMar w:left="240" w:top="394" w:right="1440"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86"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Foreign exchange gain (loss)</w:t>
      </w:r>
    </w:p>
    <w:p>
      <w:pPr>
        <w:spacing w:after="0" w:line="184" w:lineRule="exact"/>
        <w:rPr>
          <w:sz w:val="20"/>
          <w:szCs w:val="20"/>
          <w:color w:val="auto"/>
        </w:rPr>
      </w:pPr>
    </w:p>
    <w:p>
      <w:pPr>
        <w:ind w:left="300" w:right="1119"/>
        <w:spacing w:after="0" w:line="264" w:lineRule="auto"/>
        <w:rPr>
          <w:sz w:val="20"/>
          <w:szCs w:val="20"/>
          <w:color w:val="auto"/>
        </w:rPr>
      </w:pPr>
      <w:r>
        <w:rPr>
          <w:rFonts w:ascii="Arial" w:cs="Arial" w:eastAsia="Arial" w:hAnsi="Arial"/>
          <w:sz w:val="16"/>
          <w:szCs w:val="16"/>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w:t>
      </w:r>
    </w:p>
    <w:p>
      <w:pPr>
        <w:spacing w:after="0" w:line="130" w:lineRule="exact"/>
        <w:rPr>
          <w:sz w:val="20"/>
          <w:szCs w:val="20"/>
          <w:color w:val="auto"/>
        </w:rPr>
      </w:pPr>
    </w:p>
    <w:p>
      <w:pPr>
        <w:ind w:left="300" w:right="1259"/>
        <w:spacing w:after="0" w:line="301" w:lineRule="auto"/>
        <w:rPr>
          <w:sz w:val="20"/>
          <w:szCs w:val="20"/>
          <w:color w:val="auto"/>
        </w:rPr>
      </w:pPr>
      <w:r>
        <w:rPr>
          <w:rFonts w:ascii="Arial" w:cs="Arial" w:eastAsia="Arial" w:hAnsi="Arial"/>
          <w:sz w:val="14"/>
          <w:szCs w:val="14"/>
          <w:color w:val="auto"/>
        </w:rPr>
        <w:t>We invest in certificates of deposit and maintain cash accounts that are denominated in British pounds, Euros and Australian dollars. These foreign-denominated certificates of deposit and cash accounts had a balance of $4.1 million as of October 31, 2011 and</w:t>
      </w:r>
    </w:p>
    <w:p>
      <w:pPr>
        <w:jc w:val="both"/>
        <w:ind w:left="300" w:right="1159"/>
        <w:spacing w:after="0" w:line="319" w:lineRule="auto"/>
        <w:rPr>
          <w:sz w:val="20"/>
          <w:szCs w:val="20"/>
          <w:color w:val="auto"/>
        </w:rPr>
      </w:pPr>
      <w:r>
        <w:rPr>
          <w:rFonts w:ascii="Arial" w:cs="Arial" w:eastAsia="Arial" w:hAnsi="Arial"/>
          <w:sz w:val="14"/>
          <w:szCs w:val="14"/>
          <w:color w:val="auto"/>
        </w:rPr>
        <w:t>$6.9 million as of October 31, 2010, compared to our total cash, cash equivalents, restricted cash, and marketable security balances of $39.9 million as of October 31, 2011 and $57.7 million as of October 31, 2010. These foreign currency balances are translated at each month end to our functional currency, the US dollar, and any resulting gain or loss is recognized in our results of operations.</w:t>
      </w:r>
    </w:p>
    <w:p>
      <w:pPr>
        <w:spacing w:after="0" w:line="96" w:lineRule="exact"/>
        <w:rPr>
          <w:sz w:val="20"/>
          <w:szCs w:val="20"/>
          <w:color w:val="auto"/>
        </w:rPr>
      </w:pPr>
    </w:p>
    <w:p>
      <w:pPr>
        <w:ind w:left="300" w:right="1399"/>
        <w:spacing w:after="0" w:line="283" w:lineRule="auto"/>
        <w:rPr>
          <w:sz w:val="20"/>
          <w:szCs w:val="20"/>
          <w:color w:val="auto"/>
        </w:rPr>
      </w:pPr>
      <w:r>
        <w:rPr>
          <w:rFonts w:ascii="Arial" w:cs="Arial" w:eastAsia="Arial" w:hAnsi="Arial"/>
          <w:sz w:val="15"/>
          <w:szCs w:val="15"/>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 All of our international revenues for the three and six months ended October 31, 2011 and 2010 were recorded in Euros, British pounds sterling or Australian dollars.</w:t>
      </w:r>
    </w:p>
    <w:p>
      <w:pPr>
        <w:spacing w:after="0" w:line="130" w:lineRule="exact"/>
        <w:rPr>
          <w:sz w:val="20"/>
          <w:szCs w:val="20"/>
          <w:color w:val="auto"/>
        </w:rPr>
      </w:pPr>
    </w:p>
    <w:p>
      <w:pPr>
        <w:ind w:left="300" w:right="1259"/>
        <w:spacing w:after="0" w:line="264" w:lineRule="auto"/>
        <w:rPr>
          <w:sz w:val="20"/>
          <w:szCs w:val="20"/>
          <w:color w:val="auto"/>
        </w:rPr>
      </w:pPr>
      <w:r>
        <w:rPr>
          <w:rFonts w:ascii="Arial" w:cs="Arial" w:eastAsia="Arial" w:hAnsi="Arial"/>
          <w:sz w:val="16"/>
          <w:szCs w:val="16"/>
          <w:color w:val="auto"/>
        </w:rPr>
        <w:t>We currently do not hedge our exchange rate exposure. However, we assess the anticipated foreign currency working capital requirements and capital asset acquisitions of our foreign operations and attempt to maintain a portion of our cash, cash equivalents and marketable securities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200" w:lineRule="exact"/>
        <w:rPr>
          <w:sz w:val="20"/>
          <w:szCs w:val="20"/>
          <w:color w:val="auto"/>
        </w:rPr>
      </w:pPr>
    </w:p>
    <w:p>
      <w:pPr>
        <w:spacing w:after="0" w:line="286"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263765"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0219"/>
          </w:cols>
          <w:pgMar w:left="240" w:top="394" w:right="1440" w:bottom="1440" w:gutter="0" w:footer="0" w:header="0"/>
        </w:sectPr>
      </w:pPr>
    </w:p>
    <w:bookmarkStart w:id="23" w:name="page24"/>
    <w:bookmarkEnd w:id="2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82"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Results of Operations</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Three Months Ended October 31, 2011 Compared to Three Months Ended October 31, 2010</w:t>
      </w:r>
    </w:p>
    <w:p>
      <w:pPr>
        <w:spacing w:after="0" w:line="172" w:lineRule="exact"/>
        <w:rPr>
          <w:sz w:val="20"/>
          <w:szCs w:val="20"/>
          <w:color w:val="auto"/>
        </w:rPr>
      </w:pPr>
    </w:p>
    <w:p>
      <w:pPr>
        <w:ind w:left="300" w:right="1159"/>
        <w:spacing w:after="0" w:line="287" w:lineRule="auto"/>
        <w:rPr>
          <w:sz w:val="20"/>
          <w:szCs w:val="20"/>
          <w:color w:val="auto"/>
        </w:rPr>
      </w:pPr>
      <w:r>
        <w:rPr>
          <w:rFonts w:ascii="Arial" w:cs="Arial" w:eastAsia="Arial" w:hAnsi="Arial"/>
          <w:sz w:val="16"/>
          <w:szCs w:val="16"/>
          <w:color w:val="auto"/>
        </w:rPr>
        <w:t>The following table contains selected statement of operations information, which serves as the basis of the discussion of our results of operations for the three months ended October 31, 2011 and 2010:</w:t>
      </w:r>
    </w:p>
    <w:p>
      <w:pPr>
        <w:spacing w:after="0" w:line="145" w:lineRule="exact"/>
        <w:rPr>
          <w:sz w:val="20"/>
          <w:szCs w:val="20"/>
          <w:color w:val="auto"/>
        </w:rPr>
      </w:pPr>
    </w:p>
    <w:tbl>
      <w:tblPr>
        <w:tblLayout w:type="fixed"/>
        <w:tblInd w:w="300" w:type="dxa"/>
        <w:tblCellMar>
          <w:top w:w="0" w:type="dxa"/>
          <w:left w:w="0" w:type="dxa"/>
          <w:bottom w:w="0" w:type="dxa"/>
          <w:right w:w="0" w:type="dxa"/>
        </w:tblCellMar>
      </w:tblPr>
      <w:tr>
        <w:trPr>
          <w:trHeight w:val="196"/>
        </w:trPr>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5"/>
          </w:tcPr>
          <w:p>
            <w:pPr>
              <w:jc w:val="right"/>
              <w:ind w:right="60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gridSpan w:val="5"/>
          </w:tcPr>
          <w:p>
            <w:pPr>
              <w:jc w:val="right"/>
              <w:ind w:right="740"/>
              <w:spacing w:after="0"/>
              <w:rPr>
                <w:sz w:val="20"/>
                <w:szCs w:val="20"/>
                <w:color w:val="auto"/>
              </w:rPr>
            </w:pPr>
            <w:r>
              <w:rPr>
                <w:rFonts w:ascii="Arial" w:cs="Arial" w:eastAsia="Arial" w:hAnsi="Arial"/>
                <w:sz w:val="16"/>
                <w:szCs w:val="16"/>
                <w:b w:val="1"/>
                <w:bCs w:val="1"/>
                <w:color w:val="auto"/>
              </w:rPr>
              <w:t>Three Months Ended</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3"/>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5"/>
          </w:tcPr>
          <w:p>
            <w:pPr>
              <w:jc w:val="right"/>
              <w:ind w:right="760"/>
              <w:spacing w:after="0"/>
              <w:rPr>
                <w:sz w:val="20"/>
                <w:szCs w:val="20"/>
                <w:color w:val="auto"/>
              </w:rPr>
            </w:pPr>
            <w:r>
              <w:rPr>
                <w:rFonts w:ascii="Arial" w:cs="Arial" w:eastAsia="Arial" w:hAnsi="Arial"/>
                <w:sz w:val="16"/>
                <w:szCs w:val="16"/>
                <w:b w:val="1"/>
                <w:bCs w:val="1"/>
                <w:color w:val="auto"/>
              </w:rPr>
              <w:t>October 31, 2011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5"/>
          </w:tcPr>
          <w:p>
            <w:pPr>
              <w:jc w:val="right"/>
              <w:ind w:right="880"/>
              <w:spacing w:after="0"/>
              <w:rPr>
                <w:sz w:val="20"/>
                <w:szCs w:val="20"/>
                <w:color w:val="auto"/>
              </w:rPr>
            </w:pPr>
            <w:r>
              <w:rPr>
                <w:rFonts w:ascii="Arial" w:cs="Arial" w:eastAsia="Arial" w:hAnsi="Arial"/>
                <w:sz w:val="16"/>
                <w:szCs w:val="16"/>
                <w:b w:val="1"/>
                <w:bCs w:val="1"/>
                <w:color w:val="auto"/>
              </w:rPr>
              <w:t>October 31, 2010</w:t>
            </w: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5"/>
              </w:rPr>
              <w:t>% Change</w:t>
            </w:r>
          </w:p>
        </w:tc>
      </w:tr>
      <w:tr>
        <w:trPr>
          <w:trHeight w:val="172"/>
        </w:trPr>
        <w:tc>
          <w:tcPr>
            <w:tcW w:w="26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18"/>
              <w:spacing w:after="0" w:line="172" w:lineRule="exact"/>
              <w:rPr>
                <w:sz w:val="20"/>
                <w:szCs w:val="20"/>
                <w:color w:val="auto"/>
              </w:rPr>
            </w:pPr>
            <w:r>
              <w:rPr>
                <w:rFonts w:ascii="Arial" w:cs="Arial" w:eastAsia="Arial" w:hAnsi="Arial"/>
                <w:sz w:val="16"/>
                <w:szCs w:val="16"/>
                <w:b w:val="1"/>
                <w:bCs w:val="1"/>
                <w:color w:val="auto"/>
              </w:rPr>
              <w:t>As a % of</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18"/>
              <w:spacing w:after="0" w:line="172" w:lineRule="exact"/>
              <w:rPr>
                <w:sz w:val="20"/>
                <w:szCs w:val="20"/>
                <w:color w:val="auto"/>
              </w:rPr>
            </w:pPr>
            <w:r>
              <w:rPr>
                <w:rFonts w:ascii="Arial" w:cs="Arial" w:eastAsia="Arial" w:hAnsi="Arial"/>
                <w:sz w:val="16"/>
                <w:szCs w:val="16"/>
                <w:b w:val="1"/>
                <w:bCs w:val="1"/>
                <w:color w:val="auto"/>
              </w:rPr>
              <w:t>As a % of</w:t>
            </w:r>
          </w:p>
        </w:tc>
        <w:tc>
          <w:tcPr>
            <w:tcW w:w="440" w:type="dxa"/>
            <w:vAlign w:val="bottom"/>
          </w:tcPr>
          <w:p>
            <w:pPr>
              <w:spacing w:after="0"/>
              <w:rPr>
                <w:sz w:val="14"/>
                <w:szCs w:val="14"/>
                <w:color w:val="auto"/>
              </w:rPr>
            </w:pPr>
          </w:p>
        </w:tc>
        <w:tc>
          <w:tcPr>
            <w:tcW w:w="1140" w:type="dxa"/>
            <w:vAlign w:val="bottom"/>
            <w:gridSpan w:val="2"/>
          </w:tcPr>
          <w:p>
            <w:pPr>
              <w:jc w:val="center"/>
              <w:ind w:right="140"/>
              <w:spacing w:after="0" w:line="172" w:lineRule="exact"/>
              <w:rPr>
                <w:sz w:val="20"/>
                <w:szCs w:val="20"/>
                <w:color w:val="auto"/>
              </w:rPr>
            </w:pPr>
            <w:r>
              <w:rPr>
                <w:rFonts w:ascii="Arial" w:cs="Arial" w:eastAsia="Arial" w:hAnsi="Arial"/>
                <w:sz w:val="16"/>
                <w:szCs w:val="16"/>
                <w:b w:val="1"/>
                <w:bCs w:val="1"/>
                <w:color w:val="auto"/>
                <w:w w:val="91"/>
              </w:rPr>
              <w:t>2011 Period to</w:t>
            </w:r>
          </w:p>
        </w:tc>
      </w:tr>
      <w:tr>
        <w:trPr>
          <w:trHeight w:val="212"/>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78"/>
              <w:spacing w:after="0"/>
              <w:rPr>
                <w:sz w:val="20"/>
                <w:szCs w:val="20"/>
                <w:color w:val="auto"/>
              </w:rPr>
            </w:pPr>
            <w:r>
              <w:rPr>
                <w:rFonts w:ascii="Arial" w:cs="Arial" w:eastAsia="Arial" w:hAnsi="Arial"/>
                <w:sz w:val="16"/>
                <w:szCs w:val="16"/>
                <w:b w:val="1"/>
                <w:bCs w:val="1"/>
                <w:color w:val="auto"/>
                <w:w w:val="95"/>
              </w:rPr>
              <w:t>Amount</w:t>
            </w:r>
          </w:p>
        </w:tc>
        <w:tc>
          <w:tcPr>
            <w:tcW w:w="180" w:type="dxa"/>
            <w:vAlign w:val="bottom"/>
          </w:tcPr>
          <w:p>
            <w:pPr>
              <w:spacing w:after="0"/>
              <w:rPr>
                <w:sz w:val="18"/>
                <w:szCs w:val="18"/>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rPr>
              <w:t>Revenues (1)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5"/>
              </w:rPr>
              <w:t>Amount</w:t>
            </w:r>
          </w:p>
        </w:tc>
        <w:tc>
          <w:tcPr>
            <w:tcW w:w="1460" w:type="dxa"/>
            <w:vAlign w:val="bottom"/>
            <w:gridSpan w:val="3"/>
          </w:tcPr>
          <w:p>
            <w:pPr>
              <w:jc w:val="right"/>
              <w:ind w:right="420"/>
              <w:spacing w:after="0"/>
              <w:rPr>
                <w:sz w:val="20"/>
                <w:szCs w:val="20"/>
                <w:color w:val="auto"/>
              </w:rPr>
            </w:pPr>
            <w:r>
              <w:rPr>
                <w:rFonts w:ascii="Arial" w:cs="Arial" w:eastAsia="Arial" w:hAnsi="Arial"/>
                <w:sz w:val="16"/>
                <w:szCs w:val="16"/>
                <w:b w:val="1"/>
                <w:bCs w:val="1"/>
                <w:color w:val="auto"/>
              </w:rPr>
              <w:t>Revenues (1)</w:t>
            </w: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2010 Period</w:t>
            </w:r>
          </w:p>
        </w:tc>
      </w:tr>
      <w:tr>
        <w:trPr>
          <w:trHeight w:val="20"/>
        </w:trPr>
        <w:tc>
          <w:tcPr>
            <w:tcW w:w="2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9"/>
        </w:trPr>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1,515,437</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1,864,407</w:t>
            </w:r>
          </w:p>
        </w:tc>
        <w:tc>
          <w:tcPr>
            <w:tcW w:w="180" w:type="dxa"/>
            <w:vAlign w:val="bottom"/>
            <w:shd w:val="clear" w:color="auto" w:fill="CCEEFF"/>
          </w:tcPr>
          <w:p>
            <w:pPr>
              <w:spacing w:after="0"/>
              <w:rPr>
                <w:sz w:val="16"/>
                <w:szCs w:val="16"/>
                <w:color w:val="auto"/>
              </w:rPr>
            </w:pPr>
          </w:p>
        </w:tc>
        <w:tc>
          <w:tcPr>
            <w:tcW w:w="146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100%</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r>
      <w:tr>
        <w:trPr>
          <w:trHeight w:val="196"/>
        </w:trPr>
        <w:tc>
          <w:tcPr>
            <w:tcW w:w="2680" w:type="dxa"/>
            <w:vAlign w:val="bottom"/>
          </w:tcPr>
          <w:p>
            <w:pPr>
              <w:spacing w:after="0"/>
              <w:rPr>
                <w:sz w:val="20"/>
                <w:szCs w:val="20"/>
                <w:color w:val="auto"/>
              </w:rPr>
            </w:pPr>
            <w:r>
              <w:rPr>
                <w:rFonts w:ascii="Arial" w:cs="Arial" w:eastAsia="Arial" w:hAnsi="Arial"/>
                <w:sz w:val="16"/>
                <w:szCs w:val="16"/>
                <w:color w:val="auto"/>
              </w:rPr>
              <w:t>Cost of revenues</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1,483,590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98</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1,776,980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6"/>
                <w:szCs w:val="16"/>
                <w:color w:val="auto"/>
              </w:rPr>
              <w:t>95</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17</w:t>
            </w:r>
          </w:p>
        </w:tc>
      </w:tr>
      <w:tr>
        <w:trPr>
          <w:trHeight w:val="25"/>
        </w:trPr>
        <w:tc>
          <w:tcPr>
            <w:tcW w:w="2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2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profit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31,847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87,427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5</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64</w:t>
            </w:r>
          </w:p>
        </w:tc>
      </w:tr>
      <w:tr>
        <w:trPr>
          <w:trHeight w:val="200"/>
        </w:trPr>
        <w:tc>
          <w:tcPr>
            <w:tcW w:w="2680" w:type="dxa"/>
            <w:vAlign w:val="bottom"/>
          </w:tcPr>
          <w:p>
            <w:pPr>
              <w:spacing w:after="0"/>
              <w:rPr>
                <w:sz w:val="20"/>
                <w:szCs w:val="20"/>
                <w:color w:val="auto"/>
              </w:rPr>
            </w:pPr>
            <w:r>
              <w:rPr>
                <w:rFonts w:ascii="Arial" w:cs="Arial" w:eastAsia="Arial" w:hAnsi="Arial"/>
                <w:sz w:val="16"/>
                <w:szCs w:val="16"/>
                <w:color w:val="auto"/>
              </w:rPr>
              <w:t>Operating expenses:</w:t>
            </w: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7"/>
        </w:trPr>
        <w:tc>
          <w:tcPr>
            <w:tcW w:w="2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Product development costs</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2,062,540</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136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3,679,470</w:t>
            </w:r>
          </w:p>
        </w:tc>
        <w:tc>
          <w:tcPr>
            <w:tcW w:w="18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197</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44</w:t>
            </w:r>
          </w:p>
        </w:tc>
      </w:tr>
      <w:tr>
        <w:trPr>
          <w:trHeight w:val="184"/>
        </w:trPr>
        <w:tc>
          <w:tcPr>
            <w:tcW w:w="2680" w:type="dxa"/>
            <w:vAlign w:val="bottom"/>
          </w:tcPr>
          <w:p>
            <w:pPr>
              <w:ind w:left="180"/>
              <w:spacing w:after="0"/>
              <w:rPr>
                <w:sz w:val="20"/>
                <w:szCs w:val="20"/>
                <w:color w:val="auto"/>
              </w:rPr>
            </w:pPr>
            <w:r>
              <w:rPr>
                <w:rFonts w:ascii="Arial" w:cs="Arial" w:eastAsia="Arial" w:hAnsi="Arial"/>
                <w:sz w:val="16"/>
                <w:szCs w:val="16"/>
                <w:color w:val="auto"/>
              </w:rPr>
              <w:t>Selling, general and</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8"/>
        </w:trPr>
        <w:tc>
          <w:tcPr>
            <w:tcW w:w="2680" w:type="dxa"/>
            <w:vAlign w:val="bottom"/>
          </w:tcPr>
          <w:p>
            <w:pPr>
              <w:ind w:left="360"/>
              <w:spacing w:after="0"/>
              <w:rPr>
                <w:sz w:val="20"/>
                <w:szCs w:val="20"/>
                <w:color w:val="auto"/>
              </w:rPr>
            </w:pPr>
            <w:r>
              <w:rPr>
                <w:rFonts w:ascii="Arial" w:cs="Arial" w:eastAsia="Arial" w:hAnsi="Arial"/>
                <w:sz w:val="16"/>
                <w:szCs w:val="16"/>
                <w:color w:val="auto"/>
              </w:rPr>
              <w:t>administrative costs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2,015,108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2,146,845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6"/>
                <w:szCs w:val="16"/>
                <w:color w:val="auto"/>
              </w:rPr>
              <w:t>115</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6</w:t>
            </w:r>
          </w:p>
        </w:tc>
      </w:tr>
      <w:tr>
        <w:trPr>
          <w:trHeight w:val="25"/>
        </w:trPr>
        <w:tc>
          <w:tcPr>
            <w:tcW w:w="2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2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operating expenses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4,077,648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5,826,315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313</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w:t>
            </w:r>
          </w:p>
        </w:tc>
      </w:tr>
      <w:tr>
        <w:trPr>
          <w:trHeight w:val="201"/>
        </w:trPr>
        <w:tc>
          <w:tcPr>
            <w:tcW w:w="2680" w:type="dxa"/>
            <w:vAlign w:val="bottom"/>
          </w:tcPr>
          <w:p>
            <w:pPr>
              <w:spacing w:after="0"/>
              <w:rPr>
                <w:sz w:val="20"/>
                <w:szCs w:val="20"/>
                <w:color w:val="auto"/>
              </w:rPr>
            </w:pPr>
            <w:r>
              <w:rPr>
                <w:rFonts w:ascii="Arial" w:cs="Arial" w:eastAsia="Arial" w:hAnsi="Arial"/>
                <w:sz w:val="16"/>
                <w:szCs w:val="16"/>
                <w:color w:val="auto"/>
              </w:rPr>
              <w:t>Operating loss</w:t>
            </w: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(4,045,801)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(5,738,888)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(308)</w:t>
            </w:r>
          </w:p>
        </w:tc>
        <w:tc>
          <w:tcPr>
            <w:tcW w:w="4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30</w:t>
            </w:r>
          </w:p>
        </w:tc>
      </w:tr>
      <w:tr>
        <w:trPr>
          <w:trHeight w:val="197"/>
        </w:trPr>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 net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125,602</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160,884</w:t>
            </w:r>
          </w:p>
        </w:tc>
        <w:tc>
          <w:tcPr>
            <w:tcW w:w="18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9</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w:t>
            </w:r>
          </w:p>
        </w:tc>
      </w:tr>
      <w:tr>
        <w:trPr>
          <w:trHeight w:val="196"/>
        </w:trPr>
        <w:tc>
          <w:tcPr>
            <w:tcW w:w="2680" w:type="dxa"/>
            <w:vAlign w:val="bottom"/>
          </w:tcPr>
          <w:p>
            <w:pPr>
              <w:spacing w:after="0"/>
              <w:rPr>
                <w:sz w:val="20"/>
                <w:szCs w:val="20"/>
                <w:color w:val="auto"/>
              </w:rPr>
            </w:pPr>
            <w:r>
              <w:rPr>
                <w:rFonts w:ascii="Arial" w:cs="Arial" w:eastAsia="Arial" w:hAnsi="Arial"/>
                <w:sz w:val="16"/>
                <w:szCs w:val="16"/>
                <w:color w:val="auto"/>
              </w:rPr>
              <w:t>Foreign exchange gain</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29,334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71,192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6"/>
                <w:szCs w:val="16"/>
                <w:color w:val="auto"/>
              </w:rPr>
              <w:t>4</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59</w:t>
            </w:r>
          </w:p>
        </w:tc>
      </w:tr>
      <w:tr>
        <w:trPr>
          <w:trHeight w:val="25"/>
        </w:trPr>
        <w:tc>
          <w:tcPr>
            <w:tcW w:w="2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5"/>
              </w:rPr>
              <w:t>(3,890,865)</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(257)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7"/>
              </w:rPr>
              <w:t>(5,506,812)</w:t>
            </w: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(295)</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84"/>
        </w:trPr>
        <w:tc>
          <w:tcPr>
            <w:tcW w:w="2680" w:type="dxa"/>
            <w:vAlign w:val="bottom"/>
          </w:tcPr>
          <w:p>
            <w:pPr>
              <w:ind w:left="180"/>
              <w:spacing w:after="0"/>
              <w:rPr>
                <w:sz w:val="20"/>
                <w:szCs w:val="20"/>
                <w:color w:val="auto"/>
              </w:rPr>
            </w:pPr>
            <w:r>
              <w:rPr>
                <w:rFonts w:ascii="Arial" w:cs="Arial" w:eastAsia="Arial" w:hAnsi="Arial"/>
                <w:sz w:val="16"/>
                <w:szCs w:val="16"/>
                <w:color w:val="auto"/>
              </w:rPr>
              <w:t>Less: Net loss attributable to the</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6"/>
        </w:trPr>
        <w:tc>
          <w:tcPr>
            <w:tcW w:w="2680" w:type="dxa"/>
            <w:vAlign w:val="bottom"/>
          </w:tcPr>
          <w:p>
            <w:pPr>
              <w:ind w:left="360"/>
              <w:spacing w:after="0"/>
              <w:rPr>
                <w:sz w:val="20"/>
                <w:szCs w:val="20"/>
                <w:color w:val="auto"/>
              </w:rPr>
            </w:pPr>
            <w:r>
              <w:rPr>
                <w:rFonts w:ascii="Arial" w:cs="Arial" w:eastAsia="Arial" w:hAnsi="Arial"/>
                <w:sz w:val="16"/>
                <w:szCs w:val="16"/>
                <w:color w:val="auto"/>
              </w:rPr>
              <w:t>noncontrolling interest in</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2680" w:type="dxa"/>
            <w:vAlign w:val="bottom"/>
          </w:tcPr>
          <w:p>
            <w:pPr>
              <w:ind w:left="360"/>
              <w:spacing w:after="0"/>
              <w:rPr>
                <w:sz w:val="20"/>
                <w:szCs w:val="20"/>
                <w:color w:val="auto"/>
              </w:rPr>
            </w:pPr>
            <w:r>
              <w:rPr>
                <w:rFonts w:ascii="Arial" w:cs="Arial" w:eastAsia="Arial" w:hAnsi="Arial"/>
                <w:sz w:val="16"/>
                <w:szCs w:val="16"/>
                <w:color w:val="auto"/>
              </w:rPr>
              <w:t>Ocean Power Technologies</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4"/>
        </w:trPr>
        <w:tc>
          <w:tcPr>
            <w:tcW w:w="2680" w:type="dxa"/>
            <w:vAlign w:val="bottom"/>
          </w:tcPr>
          <w:p>
            <w:pPr>
              <w:ind w:left="360"/>
              <w:spacing w:after="0"/>
              <w:rPr>
                <w:sz w:val="20"/>
                <w:szCs w:val="20"/>
                <w:color w:val="auto"/>
              </w:rPr>
            </w:pPr>
            <w:r>
              <w:rPr>
                <w:rFonts w:ascii="Arial" w:cs="Arial" w:eastAsia="Arial" w:hAnsi="Arial"/>
                <w:sz w:val="16"/>
                <w:szCs w:val="16"/>
                <w:color w:val="auto"/>
              </w:rPr>
              <w:t>(Australasia) Pty Ltd.</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8,508</w:t>
            </w:r>
          </w:p>
        </w:tc>
        <w:tc>
          <w:tcPr>
            <w:tcW w:w="1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7,620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12</w:t>
            </w:r>
          </w:p>
        </w:tc>
      </w:tr>
      <w:tr>
        <w:trPr>
          <w:trHeight w:val="184"/>
        </w:trPr>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Net loss attributable to Ocean Power</w:t>
            </w: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9"/>
        </w:trPr>
        <w:tc>
          <w:tcPr>
            <w:tcW w:w="2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Technologies, Inc.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5"/>
              </w:rPr>
              <w:t>(3,882,357)</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(256)%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7"/>
              </w:rPr>
              <w:t>(5,499,192)</w:t>
            </w:r>
          </w:p>
        </w:tc>
        <w:tc>
          <w:tcPr>
            <w:tcW w:w="14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(295)%</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r>
      <w:tr>
        <w:trPr>
          <w:trHeight w:val="20"/>
        </w:trPr>
        <w:tc>
          <w:tcPr>
            <w:tcW w:w="2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10" w:lineRule="exact"/>
        <w:rPr>
          <w:sz w:val="20"/>
          <w:szCs w:val="20"/>
          <w:color w:val="auto"/>
        </w:rPr>
      </w:pPr>
    </w:p>
    <w:p>
      <w:pPr>
        <w:ind w:left="640" w:hanging="347"/>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Certain subtotals may not add due to rounding.</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Revenues</w:t>
      </w:r>
    </w:p>
    <w:p>
      <w:pPr>
        <w:spacing w:after="0" w:line="184" w:lineRule="exact"/>
        <w:rPr>
          <w:sz w:val="20"/>
          <w:szCs w:val="20"/>
          <w:color w:val="auto"/>
        </w:rPr>
      </w:pPr>
    </w:p>
    <w:p>
      <w:pPr>
        <w:ind w:left="300" w:right="1079"/>
        <w:spacing w:after="0" w:line="287" w:lineRule="auto"/>
        <w:rPr>
          <w:sz w:val="20"/>
          <w:szCs w:val="20"/>
          <w:color w:val="auto"/>
        </w:rPr>
      </w:pPr>
      <w:r>
        <w:rPr>
          <w:rFonts w:ascii="Arial" w:cs="Arial" w:eastAsia="Arial" w:hAnsi="Arial"/>
          <w:sz w:val="16"/>
          <w:szCs w:val="16"/>
          <w:color w:val="auto"/>
        </w:rPr>
        <w:t>Revenues decreased by $0.4 million, or 19%, to $1.5 million, in the three months ended October 31, 2011, as compared to $1.9 million in the three months ended October 31, 2010. The change in revenues was attributable to the following factors:</w:t>
      </w:r>
    </w:p>
    <w:p>
      <w:pPr>
        <w:spacing w:after="0" w:line="113" w:lineRule="exact"/>
        <w:rPr>
          <w:sz w:val="20"/>
          <w:szCs w:val="20"/>
          <w:color w:val="auto"/>
        </w:rPr>
      </w:pPr>
    </w:p>
    <w:p>
      <w:pPr>
        <w:jc w:val="both"/>
        <w:ind w:left="640" w:right="1179" w:hanging="347"/>
        <w:spacing w:after="0" w:line="297" w:lineRule="auto"/>
        <w:tabs>
          <w:tab w:leader="none" w:pos="640" w:val="left"/>
        </w:tabs>
        <w:numPr>
          <w:ilvl w:val="0"/>
          <w:numId w:val="4"/>
        </w:numPr>
        <w:rPr>
          <w:rFonts w:ascii="Arial" w:cs="Arial" w:eastAsia="Arial" w:hAnsi="Arial"/>
          <w:sz w:val="15"/>
          <w:szCs w:val="15"/>
          <w:b w:val="1"/>
          <w:bCs w:val="1"/>
          <w:color w:val="auto"/>
        </w:rPr>
      </w:pPr>
      <w:r>
        <w:rPr>
          <w:rFonts w:ascii="Arial" w:cs="Arial" w:eastAsia="Arial" w:hAnsi="Arial"/>
          <w:sz w:val="15"/>
          <w:szCs w:val="15"/>
          <w:color w:val="auto"/>
        </w:rPr>
        <w:t>Revenues relating to our autonomous PowerBuoy system decreased by $0.5 million as a result of a decrease in billable work on our projects to provide our PowerBuoy technology to the US Navy’s Littoral Expeditionary Autonomous PowerBuoy (“LEAP”) program and the US Navy’s Deep Water Active Detection System (“DWADS”), as these projects neared completion.</w:t>
      </w:r>
    </w:p>
    <w:p>
      <w:pPr>
        <w:spacing w:after="0" w:line="84" w:lineRule="exact"/>
        <w:rPr>
          <w:rFonts w:ascii="Arial" w:cs="Arial" w:eastAsia="Arial" w:hAnsi="Arial"/>
          <w:sz w:val="15"/>
          <w:szCs w:val="15"/>
          <w:b w:val="1"/>
          <w:bCs w:val="1"/>
          <w:color w:val="auto"/>
        </w:rPr>
      </w:pPr>
    </w:p>
    <w:p>
      <w:pPr>
        <w:ind w:left="640" w:right="1119" w:hanging="347"/>
        <w:spacing w:after="0" w:line="266" w:lineRule="auto"/>
        <w:tabs>
          <w:tab w:leader="none" w:pos="64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Revenues relating to our utility PowerBuoy system increased by $0.1 million due primarily to an increase in billable work on our PB500 PowerBuoy development project and our WavePort project off the coast of Spain. This was partially offset by a decrease in revenue related to our 150kW PowerBuoy project off the coast of Oregon, due primarily to a decrease in billable work on the project, which is currently in a testing phase.</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Cost of revenues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5"/>
          <w:szCs w:val="15"/>
          <w:color w:val="auto"/>
        </w:rPr>
        <w:t>Cost of revenues decreased by $0.3 million, or 17%, to $1.5 million in the three months ended October 31, 2011, as compared to</w:t>
      </w:r>
    </w:p>
    <w:p>
      <w:pPr>
        <w:spacing w:after="0" w:line="35" w:lineRule="exact"/>
        <w:rPr>
          <w:sz w:val="20"/>
          <w:szCs w:val="20"/>
          <w:color w:val="auto"/>
        </w:rPr>
      </w:pPr>
    </w:p>
    <w:p>
      <w:pPr>
        <w:jc w:val="both"/>
        <w:ind w:left="300" w:right="1159"/>
        <w:spacing w:after="0" w:line="319" w:lineRule="auto"/>
        <w:rPr>
          <w:sz w:val="20"/>
          <w:szCs w:val="20"/>
          <w:color w:val="auto"/>
        </w:rPr>
      </w:pPr>
      <w:r>
        <w:rPr>
          <w:rFonts w:ascii="Arial" w:cs="Arial" w:eastAsia="Arial" w:hAnsi="Arial"/>
          <w:sz w:val="14"/>
          <w:szCs w:val="14"/>
          <w:color w:val="auto"/>
        </w:rPr>
        <w:t>$1.8 million in the three months ended October 31, 2010. This decrease in the cost of revenues reflected the decreased activity related to our 150kW PowerBuoy project off the coast of Oregon and our LEAP and DWADS projects with the US Navy. This was partially offset by the increased activity on our PB500 PowerBuoy development project and our WavePort project off the coast of Spain.</w:t>
      </w:r>
    </w:p>
    <w:p>
      <w:pPr>
        <w:spacing w:after="0" w:line="200" w:lineRule="exact"/>
        <w:rPr>
          <w:sz w:val="20"/>
          <w:szCs w:val="20"/>
          <w:color w:val="auto"/>
        </w:rPr>
      </w:pPr>
    </w:p>
    <w:p>
      <w:pPr>
        <w:spacing w:after="0" w:line="25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263765"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0219"/>
          </w:cols>
          <w:pgMar w:left="240" w:top="394" w:right="1440" w:bottom="1440" w:gutter="0" w:footer="0" w:header="0"/>
        </w:sectPr>
      </w:pPr>
    </w:p>
    <w:bookmarkStart w:id="24" w:name="page25"/>
    <w:bookmarkEnd w:id="2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86" w:lineRule="exact"/>
        <w:rPr>
          <w:sz w:val="20"/>
          <w:szCs w:val="20"/>
          <w:color w:val="auto"/>
        </w:rPr>
      </w:pPr>
    </w:p>
    <w:p>
      <w:pPr>
        <w:ind w:left="300" w:right="1099"/>
        <w:spacing w:after="0" w:line="260" w:lineRule="auto"/>
        <w:rPr>
          <w:sz w:val="20"/>
          <w:szCs w:val="20"/>
          <w:color w:val="auto"/>
        </w:rPr>
      </w:pPr>
      <w:r>
        <w:rPr>
          <w:rFonts w:ascii="Arial" w:cs="Arial" w:eastAsia="Arial" w:hAnsi="Arial"/>
          <w:sz w:val="16"/>
          <w:szCs w:val="16"/>
          <w:color w:val="auto"/>
        </w:rPr>
        <w:t>We operated at a break-even gross profit in the three months ended October 31, 2011 and a gross profit of $0.1 million for the three months ended October 31, 2010. Certain of our projects in the three months ended October 31, 2011 and 2010 were under cost-sharing contracts. Under cost-sharing contracts, we receive a fixed amount agreed upon with the customer that is only intended to fund a portion of the costs on a specific project. We fund the remainder of the costs as part of our product development efforts. Revenue is typically recorded using the percentage-of-completion method applied to the contractual amount agreed upon with the customer. An equal amount corresponding to the revenue is recorded in cost of revenues resulting in gross profit on these contracts of zero. Our share of the costs is considered to be product development expense. Our ability to generate a gross profit will depend on the nature of future contracts, our success at increasing sales of our PowerBuoy systems and on our ability to manage costs incurred on our fixed price commercial contracts.</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Product development costs</w:t>
      </w:r>
    </w:p>
    <w:p>
      <w:pPr>
        <w:spacing w:after="0" w:line="172" w:lineRule="exact"/>
        <w:rPr>
          <w:sz w:val="20"/>
          <w:szCs w:val="20"/>
          <w:color w:val="auto"/>
        </w:rPr>
      </w:pPr>
    </w:p>
    <w:p>
      <w:pPr>
        <w:ind w:left="300" w:right="1239"/>
        <w:spacing w:after="0" w:line="278" w:lineRule="auto"/>
        <w:rPr>
          <w:sz w:val="20"/>
          <w:szCs w:val="20"/>
          <w:color w:val="auto"/>
        </w:rPr>
      </w:pPr>
      <w:r>
        <w:rPr>
          <w:rFonts w:ascii="Arial" w:cs="Arial" w:eastAsia="Arial" w:hAnsi="Arial"/>
          <w:sz w:val="15"/>
          <w:szCs w:val="15"/>
          <w:color w:val="auto"/>
        </w:rPr>
        <w:t>Product development costs decreased by $1.6 million, or 44%, to $2.1 million in the three months ended October 31, 2011, as compared to $3.7 million in the three months ended October 31, 2010. Product development costs were attributable primarily to our efforts to increase the power output and reliability of our utility PowerBuoy system, especially the 150kW PowerBuoy system. The decrease in product development costs was related primarily to a decrease in billable work related to our 150kW PowerBuoy project off the coast of Oregon, as the project is in an on-shore testing phase. Costs related to the Oregon project may increase in future quarters, as work on the PowerBuoy progresses. Over the next several years, it is our intent to fund the majority of our research and development expenses, including cost-sharing arrangements, with sources of external funding. If we are unable to obtain external funding, we may curtail our research and development expenses or we may decide to self-fund significant research and development expenses, in which case our product development costs may increase. During the three months ended October 31, 2011, the majority of funding for our PB500 PowerBuoy development project was from external sources.</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Selling, general and administrative costs</w:t>
      </w:r>
    </w:p>
    <w:p>
      <w:pPr>
        <w:spacing w:after="0" w:line="184" w:lineRule="exact"/>
        <w:rPr>
          <w:sz w:val="20"/>
          <w:szCs w:val="20"/>
          <w:color w:val="auto"/>
        </w:rPr>
      </w:pPr>
    </w:p>
    <w:p>
      <w:pPr>
        <w:ind w:left="300" w:right="1139"/>
        <w:spacing w:after="0" w:line="287" w:lineRule="auto"/>
        <w:rPr>
          <w:sz w:val="20"/>
          <w:szCs w:val="20"/>
          <w:color w:val="auto"/>
        </w:rPr>
      </w:pPr>
      <w:r>
        <w:rPr>
          <w:rFonts w:ascii="Arial" w:cs="Arial" w:eastAsia="Arial" w:hAnsi="Arial"/>
          <w:sz w:val="16"/>
          <w:szCs w:val="16"/>
          <w:color w:val="auto"/>
        </w:rPr>
        <w:t>Selling, general and administrative costs were $2.0 million for the three months ended October 31, 2011 and $2.1 million for the three months ended October 31, 2010. The decrease was due primarily to a decrease in legal and consulting expenses.</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Interest income</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Interest income decreased approximately 22%, to $0.1 million for the three months ended October 31, 2011, as compared to</w:t>
      </w:r>
    </w:p>
    <w:p>
      <w:pPr>
        <w:spacing w:after="0" w:line="24" w:lineRule="exact"/>
        <w:rPr>
          <w:sz w:val="20"/>
          <w:szCs w:val="20"/>
          <w:color w:val="auto"/>
        </w:rPr>
      </w:pPr>
    </w:p>
    <w:p>
      <w:pPr>
        <w:ind w:left="300"/>
        <w:spacing w:after="0"/>
        <w:rPr>
          <w:sz w:val="20"/>
          <w:szCs w:val="20"/>
          <w:color w:val="auto"/>
        </w:rPr>
      </w:pPr>
      <w:r>
        <w:rPr>
          <w:rFonts w:ascii="Arial" w:cs="Arial" w:eastAsia="Arial" w:hAnsi="Arial"/>
          <w:sz w:val="15"/>
          <w:szCs w:val="15"/>
          <w:color w:val="auto"/>
        </w:rPr>
        <w:t>$0.2 million in the three months ended October 31, 2010, due to a decrease in cash, cash equivalents and marketable securities.</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Foreign exchange gain (loss)</w:t>
      </w:r>
    </w:p>
    <w:p>
      <w:pPr>
        <w:spacing w:after="0" w:line="172" w:lineRule="exact"/>
        <w:rPr>
          <w:sz w:val="20"/>
          <w:szCs w:val="20"/>
          <w:color w:val="auto"/>
        </w:rPr>
      </w:pPr>
    </w:p>
    <w:p>
      <w:pPr>
        <w:jc w:val="both"/>
        <w:ind w:left="300" w:right="1099"/>
        <w:spacing w:after="0" w:line="271" w:lineRule="auto"/>
        <w:rPr>
          <w:sz w:val="20"/>
          <w:szCs w:val="20"/>
          <w:color w:val="auto"/>
        </w:rPr>
      </w:pPr>
      <w:r>
        <w:rPr>
          <w:rFonts w:ascii="Arial" w:cs="Arial" w:eastAsia="Arial" w:hAnsi="Arial"/>
          <w:sz w:val="16"/>
          <w:szCs w:val="16"/>
          <w:color w:val="auto"/>
        </w:rPr>
        <w:t>Foreign exchange gain was $29,000 for the three months ended October 31, 2011, compared to a foreign exchange gain of $71,000 for the three months ended October 31, 2010. The difference was attributable primarily to the relative change in value of the British pound sterling, Euro and Australian dollar compared to the US dollar during the two periods.</w:t>
      </w:r>
    </w:p>
    <w:p>
      <w:pPr>
        <w:spacing w:after="0" w:line="200" w:lineRule="exact"/>
        <w:rPr>
          <w:sz w:val="20"/>
          <w:szCs w:val="20"/>
          <w:color w:val="auto"/>
        </w:rPr>
      </w:pPr>
    </w:p>
    <w:p>
      <w:pPr>
        <w:spacing w:after="0" w:line="294"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263765"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0219"/>
          </w:cols>
          <w:pgMar w:left="240" w:top="394" w:right="1440" w:bottom="1440" w:gutter="0" w:footer="0" w:header="0"/>
        </w:sectPr>
      </w:pPr>
    </w:p>
    <w:bookmarkStart w:id="25" w:name="page26"/>
    <w:bookmarkEnd w:id="2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86"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Six Months Ended October 31, 2011 Compared to Six Months Ended October 31, 2010</w:t>
      </w:r>
    </w:p>
    <w:p>
      <w:pPr>
        <w:spacing w:after="0" w:line="184" w:lineRule="exact"/>
        <w:rPr>
          <w:sz w:val="20"/>
          <w:szCs w:val="20"/>
          <w:color w:val="auto"/>
        </w:rPr>
      </w:pPr>
    </w:p>
    <w:p>
      <w:pPr>
        <w:ind w:left="300" w:right="1159"/>
        <w:spacing w:after="0" w:line="287" w:lineRule="auto"/>
        <w:rPr>
          <w:sz w:val="20"/>
          <w:szCs w:val="20"/>
          <w:color w:val="auto"/>
        </w:rPr>
      </w:pPr>
      <w:r>
        <w:rPr>
          <w:rFonts w:ascii="Arial" w:cs="Arial" w:eastAsia="Arial" w:hAnsi="Arial"/>
          <w:sz w:val="16"/>
          <w:szCs w:val="16"/>
          <w:color w:val="auto"/>
        </w:rPr>
        <w:t>The following table contains selected statement of operations information, which serves as the basis of the discussion of our results of operations for the six months ended October 31, 2011 and 2010:</w:t>
      </w:r>
    </w:p>
    <w:p>
      <w:pPr>
        <w:spacing w:after="0" w:line="145" w:lineRule="exact"/>
        <w:rPr>
          <w:sz w:val="20"/>
          <w:szCs w:val="20"/>
          <w:color w:val="auto"/>
        </w:rPr>
      </w:pPr>
    </w:p>
    <w:tbl>
      <w:tblPr>
        <w:tblLayout w:type="fixed"/>
        <w:tblInd w:w="300" w:type="dxa"/>
        <w:tblCellMar>
          <w:top w:w="0" w:type="dxa"/>
          <w:left w:w="0" w:type="dxa"/>
          <w:bottom w:w="0" w:type="dxa"/>
          <w:right w:w="0" w:type="dxa"/>
        </w:tblCellMar>
      </w:tblPr>
      <w:tr>
        <w:trPr>
          <w:trHeight w:val="196"/>
        </w:trPr>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gridSpan w:val="4"/>
          </w:tcPr>
          <w:p>
            <w:pPr>
              <w:jc w:val="right"/>
              <w:ind w:right="820"/>
              <w:spacing w:after="0"/>
              <w:rPr>
                <w:sz w:val="20"/>
                <w:szCs w:val="20"/>
                <w:color w:val="auto"/>
              </w:rPr>
            </w:pPr>
            <w:r>
              <w:rPr>
                <w:rFonts w:ascii="Arial" w:cs="Arial" w:eastAsia="Arial" w:hAnsi="Arial"/>
                <w:sz w:val="16"/>
                <w:szCs w:val="16"/>
                <w:b w:val="1"/>
                <w:bCs w:val="1"/>
                <w:color w:val="auto"/>
              </w:rPr>
              <w:t>Six Months Ended</w:t>
            </w:r>
          </w:p>
        </w:tc>
        <w:tc>
          <w:tcPr>
            <w:tcW w:w="80" w:type="dxa"/>
            <w:vAlign w:val="bottom"/>
          </w:tcPr>
          <w:p>
            <w:pPr>
              <w:spacing w:after="0"/>
              <w:rPr>
                <w:sz w:val="17"/>
                <w:szCs w:val="17"/>
                <w:color w:val="auto"/>
              </w:rPr>
            </w:pPr>
          </w:p>
        </w:tc>
        <w:tc>
          <w:tcPr>
            <w:tcW w:w="2440" w:type="dxa"/>
            <w:vAlign w:val="bottom"/>
            <w:gridSpan w:val="5"/>
          </w:tcPr>
          <w:p>
            <w:pPr>
              <w:jc w:val="right"/>
              <w:ind w:right="840"/>
              <w:spacing w:after="0"/>
              <w:rPr>
                <w:sz w:val="20"/>
                <w:szCs w:val="20"/>
                <w:color w:val="auto"/>
              </w:rPr>
            </w:pPr>
            <w:r>
              <w:rPr>
                <w:rFonts w:ascii="Arial" w:cs="Arial" w:eastAsia="Arial" w:hAnsi="Arial"/>
                <w:sz w:val="16"/>
                <w:szCs w:val="16"/>
                <w:b w:val="1"/>
                <w:bCs w:val="1"/>
                <w:color w:val="auto"/>
              </w:rPr>
              <w:t>Six Months Ended</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3"/>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4"/>
          </w:tcPr>
          <w:p>
            <w:pPr>
              <w:jc w:val="right"/>
              <w:ind w:right="880"/>
              <w:spacing w:after="0"/>
              <w:rPr>
                <w:sz w:val="20"/>
                <w:szCs w:val="20"/>
                <w:color w:val="auto"/>
              </w:rPr>
            </w:pPr>
            <w:r>
              <w:rPr>
                <w:rFonts w:ascii="Arial" w:cs="Arial" w:eastAsia="Arial" w:hAnsi="Arial"/>
                <w:sz w:val="16"/>
                <w:szCs w:val="16"/>
                <w:b w:val="1"/>
                <w:bCs w:val="1"/>
                <w:color w:val="auto"/>
              </w:rPr>
              <w:t>October 31, 2011</w:t>
            </w:r>
          </w:p>
        </w:tc>
        <w:tc>
          <w:tcPr>
            <w:tcW w:w="80" w:type="dxa"/>
            <w:vAlign w:val="bottom"/>
          </w:tcPr>
          <w:p>
            <w:pPr>
              <w:spacing w:after="0"/>
              <w:rPr>
                <w:sz w:val="18"/>
                <w:szCs w:val="18"/>
                <w:color w:val="auto"/>
              </w:rPr>
            </w:pPr>
          </w:p>
        </w:tc>
        <w:tc>
          <w:tcPr>
            <w:tcW w:w="2440" w:type="dxa"/>
            <w:vAlign w:val="bottom"/>
            <w:gridSpan w:val="5"/>
          </w:tcPr>
          <w:p>
            <w:pPr>
              <w:jc w:val="right"/>
              <w:ind w:right="880"/>
              <w:spacing w:after="0"/>
              <w:rPr>
                <w:sz w:val="20"/>
                <w:szCs w:val="20"/>
                <w:color w:val="auto"/>
              </w:rPr>
            </w:pPr>
            <w:r>
              <w:rPr>
                <w:rFonts w:ascii="Arial" w:cs="Arial" w:eastAsia="Arial" w:hAnsi="Arial"/>
                <w:sz w:val="16"/>
                <w:szCs w:val="16"/>
                <w:b w:val="1"/>
                <w:bCs w:val="1"/>
                <w:color w:val="auto"/>
              </w:rPr>
              <w:t>October 31, 2010</w:t>
            </w: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5"/>
              </w:rPr>
              <w:t>% Change</w:t>
            </w:r>
          </w:p>
        </w:tc>
      </w:tr>
      <w:tr>
        <w:trPr>
          <w:trHeight w:val="172"/>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18"/>
              <w:spacing w:after="0" w:line="172" w:lineRule="exact"/>
              <w:rPr>
                <w:sz w:val="20"/>
                <w:szCs w:val="20"/>
                <w:color w:val="auto"/>
              </w:rPr>
            </w:pPr>
            <w:r>
              <w:rPr>
                <w:rFonts w:ascii="Arial" w:cs="Arial" w:eastAsia="Arial" w:hAnsi="Arial"/>
                <w:sz w:val="16"/>
                <w:szCs w:val="16"/>
                <w:b w:val="1"/>
                <w:bCs w:val="1"/>
                <w:color w:val="auto"/>
              </w:rPr>
              <w:t>As a % of</w:t>
            </w:r>
          </w:p>
        </w:tc>
        <w:tc>
          <w:tcPr>
            <w:tcW w:w="4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18"/>
              <w:spacing w:after="0" w:line="172" w:lineRule="exact"/>
              <w:rPr>
                <w:sz w:val="20"/>
                <w:szCs w:val="20"/>
                <w:color w:val="auto"/>
              </w:rPr>
            </w:pPr>
            <w:r>
              <w:rPr>
                <w:rFonts w:ascii="Arial" w:cs="Arial" w:eastAsia="Arial" w:hAnsi="Arial"/>
                <w:sz w:val="16"/>
                <w:szCs w:val="16"/>
                <w:b w:val="1"/>
                <w:bCs w:val="1"/>
                <w:color w:val="auto"/>
              </w:rPr>
              <w:t>As a % of</w:t>
            </w:r>
          </w:p>
        </w:tc>
        <w:tc>
          <w:tcPr>
            <w:tcW w:w="440" w:type="dxa"/>
            <w:vAlign w:val="bottom"/>
          </w:tcPr>
          <w:p>
            <w:pPr>
              <w:spacing w:after="0"/>
              <w:rPr>
                <w:sz w:val="14"/>
                <w:szCs w:val="14"/>
                <w:color w:val="auto"/>
              </w:rPr>
            </w:pPr>
          </w:p>
        </w:tc>
        <w:tc>
          <w:tcPr>
            <w:tcW w:w="1140" w:type="dxa"/>
            <w:vAlign w:val="bottom"/>
            <w:gridSpan w:val="2"/>
          </w:tcPr>
          <w:p>
            <w:pPr>
              <w:jc w:val="center"/>
              <w:ind w:right="140"/>
              <w:spacing w:after="0" w:line="172" w:lineRule="exact"/>
              <w:rPr>
                <w:sz w:val="20"/>
                <w:szCs w:val="20"/>
                <w:color w:val="auto"/>
              </w:rPr>
            </w:pPr>
            <w:r>
              <w:rPr>
                <w:rFonts w:ascii="Arial" w:cs="Arial" w:eastAsia="Arial" w:hAnsi="Arial"/>
                <w:sz w:val="16"/>
                <w:szCs w:val="16"/>
                <w:b w:val="1"/>
                <w:bCs w:val="1"/>
                <w:color w:val="auto"/>
                <w:w w:val="91"/>
              </w:rPr>
              <w:t>2011 Period to</w:t>
            </w:r>
          </w:p>
        </w:tc>
      </w:tr>
      <w:tr>
        <w:trPr>
          <w:trHeight w:val="212"/>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58"/>
              <w:spacing w:after="0"/>
              <w:rPr>
                <w:sz w:val="20"/>
                <w:szCs w:val="20"/>
                <w:color w:val="auto"/>
              </w:rPr>
            </w:pPr>
            <w:r>
              <w:rPr>
                <w:rFonts w:ascii="Arial" w:cs="Arial" w:eastAsia="Arial" w:hAnsi="Arial"/>
                <w:sz w:val="16"/>
                <w:szCs w:val="16"/>
                <w:b w:val="1"/>
                <w:bCs w:val="1"/>
                <w:color w:val="auto"/>
                <w:w w:val="99"/>
              </w:rPr>
              <w:t>Amount</w:t>
            </w:r>
          </w:p>
        </w:tc>
        <w:tc>
          <w:tcPr>
            <w:tcW w:w="32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88"/>
              </w:rPr>
              <w:t>Revenues (1)</w:t>
            </w: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Amount</w:t>
            </w:r>
          </w:p>
        </w:tc>
        <w:tc>
          <w:tcPr>
            <w:tcW w:w="1460" w:type="dxa"/>
            <w:vAlign w:val="bottom"/>
            <w:gridSpan w:val="3"/>
          </w:tcPr>
          <w:p>
            <w:pPr>
              <w:jc w:val="right"/>
              <w:ind w:right="420"/>
              <w:spacing w:after="0"/>
              <w:rPr>
                <w:sz w:val="20"/>
                <w:szCs w:val="20"/>
                <w:color w:val="auto"/>
              </w:rPr>
            </w:pPr>
            <w:r>
              <w:rPr>
                <w:rFonts w:ascii="Arial" w:cs="Arial" w:eastAsia="Arial" w:hAnsi="Arial"/>
                <w:sz w:val="16"/>
                <w:szCs w:val="16"/>
                <w:b w:val="1"/>
                <w:bCs w:val="1"/>
                <w:color w:val="auto"/>
              </w:rPr>
              <w:t>Revenues (1)</w:t>
            </w: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2010 Period</w:t>
            </w:r>
          </w:p>
        </w:tc>
      </w:tr>
      <w:tr>
        <w:trPr>
          <w:trHeight w:val="20"/>
        </w:trPr>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9"/>
        </w:trPr>
        <w:tc>
          <w:tcPr>
            <w:tcW w:w="254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3,426,289</w:t>
            </w:r>
          </w:p>
        </w:tc>
        <w:tc>
          <w:tcPr>
            <w:tcW w:w="3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3,238,814</w:t>
            </w:r>
          </w:p>
        </w:tc>
        <w:tc>
          <w:tcPr>
            <w:tcW w:w="180" w:type="dxa"/>
            <w:vAlign w:val="bottom"/>
            <w:shd w:val="clear" w:color="auto" w:fill="CCEEFF"/>
          </w:tcPr>
          <w:p>
            <w:pPr>
              <w:spacing w:after="0"/>
              <w:rPr>
                <w:sz w:val="16"/>
                <w:szCs w:val="16"/>
                <w:color w:val="auto"/>
              </w:rPr>
            </w:pPr>
          </w:p>
        </w:tc>
        <w:tc>
          <w:tcPr>
            <w:tcW w:w="146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100%</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r>
      <w:tr>
        <w:trPr>
          <w:trHeight w:val="196"/>
        </w:trPr>
        <w:tc>
          <w:tcPr>
            <w:tcW w:w="2540" w:type="dxa"/>
            <w:vAlign w:val="bottom"/>
          </w:tcPr>
          <w:p>
            <w:pPr>
              <w:spacing w:after="0"/>
              <w:rPr>
                <w:sz w:val="20"/>
                <w:szCs w:val="20"/>
                <w:color w:val="auto"/>
              </w:rPr>
            </w:pPr>
            <w:r>
              <w:rPr>
                <w:rFonts w:ascii="Arial" w:cs="Arial" w:eastAsia="Arial" w:hAnsi="Arial"/>
                <w:sz w:val="16"/>
                <w:szCs w:val="16"/>
                <w:color w:val="auto"/>
              </w:rPr>
              <w:t>Cost of revenues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3,385,492</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3,365,226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6"/>
                <w:szCs w:val="16"/>
                <w:color w:val="auto"/>
              </w:rPr>
              <w:t>104</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w:t>
            </w:r>
          </w:p>
        </w:tc>
      </w:tr>
      <w:tr>
        <w:trPr>
          <w:trHeight w:val="25"/>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2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profit (loss)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40,797</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(126,412)</w:t>
            </w: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(4)</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132</w:t>
            </w:r>
          </w:p>
        </w:tc>
      </w:tr>
      <w:tr>
        <w:trPr>
          <w:trHeight w:val="200"/>
        </w:trPr>
        <w:tc>
          <w:tcPr>
            <w:tcW w:w="2540" w:type="dxa"/>
            <w:vAlign w:val="bottom"/>
          </w:tcPr>
          <w:p>
            <w:pPr>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7"/>
        </w:trPr>
        <w:tc>
          <w:tcPr>
            <w:tcW w:w="2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Product development costs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5,163,127</w:t>
            </w:r>
          </w:p>
        </w:tc>
        <w:tc>
          <w:tcPr>
            <w:tcW w:w="3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151</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7,705,256</w:t>
            </w:r>
          </w:p>
        </w:tc>
        <w:tc>
          <w:tcPr>
            <w:tcW w:w="18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238</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33</w:t>
            </w:r>
          </w:p>
        </w:tc>
      </w:tr>
      <w:tr>
        <w:trPr>
          <w:trHeight w:val="184"/>
        </w:trPr>
        <w:tc>
          <w:tcPr>
            <w:tcW w:w="2540" w:type="dxa"/>
            <w:vAlign w:val="bottom"/>
          </w:tcPr>
          <w:p>
            <w:pPr>
              <w:ind w:left="180"/>
              <w:spacing w:after="0"/>
              <w:rPr>
                <w:sz w:val="20"/>
                <w:szCs w:val="20"/>
                <w:color w:val="auto"/>
              </w:rPr>
            </w:pPr>
            <w:r>
              <w:rPr>
                <w:rFonts w:ascii="Arial" w:cs="Arial" w:eastAsia="Arial" w:hAnsi="Arial"/>
                <w:sz w:val="16"/>
                <w:szCs w:val="16"/>
                <w:color w:val="auto"/>
              </w:rPr>
              <w:t>Selling, general and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8"/>
        </w:trPr>
        <w:tc>
          <w:tcPr>
            <w:tcW w:w="2540" w:type="dxa"/>
            <w:vAlign w:val="bottom"/>
          </w:tcPr>
          <w:p>
            <w:pPr>
              <w:ind w:left="360"/>
              <w:spacing w:after="0"/>
              <w:rPr>
                <w:sz w:val="20"/>
                <w:szCs w:val="20"/>
                <w:color w:val="auto"/>
              </w:rPr>
            </w:pPr>
            <w:r>
              <w:rPr>
                <w:rFonts w:ascii="Arial" w:cs="Arial" w:eastAsia="Arial" w:hAnsi="Arial"/>
                <w:sz w:val="16"/>
                <w:szCs w:val="16"/>
                <w:color w:val="auto"/>
              </w:rPr>
              <w:t>administrative costs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4,034,850</w:t>
            </w:r>
          </w:p>
        </w:tc>
        <w:tc>
          <w:tcPr>
            <w:tcW w:w="3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6"/>
                <w:szCs w:val="16"/>
                <w:color w:val="auto"/>
              </w:rPr>
              <w:t>118</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4,175,755</w:t>
            </w:r>
          </w:p>
        </w:tc>
        <w:tc>
          <w:tcPr>
            <w:tcW w:w="180" w:type="dxa"/>
            <w:vAlign w:val="bottom"/>
          </w:tcPr>
          <w:p>
            <w:pPr>
              <w:spacing w:after="0"/>
              <w:rPr>
                <w:sz w:val="18"/>
                <w:szCs w:val="18"/>
                <w:color w:val="auto"/>
              </w:rPr>
            </w:pPr>
          </w:p>
        </w:tc>
        <w:tc>
          <w:tcPr>
            <w:tcW w:w="1460" w:type="dxa"/>
            <w:vAlign w:val="bottom"/>
            <w:gridSpan w:val="3"/>
          </w:tcPr>
          <w:p>
            <w:pPr>
              <w:jc w:val="right"/>
              <w:ind w:right="440"/>
              <w:spacing w:after="0"/>
              <w:rPr>
                <w:sz w:val="20"/>
                <w:szCs w:val="20"/>
                <w:color w:val="auto"/>
              </w:rPr>
            </w:pPr>
            <w:r>
              <w:rPr>
                <w:rFonts w:ascii="Arial" w:cs="Arial" w:eastAsia="Arial" w:hAnsi="Arial"/>
                <w:sz w:val="16"/>
                <w:szCs w:val="16"/>
                <w:color w:val="auto"/>
              </w:rPr>
              <w:t>129</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r>
      <w:tr>
        <w:trPr>
          <w:trHeight w:val="25"/>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2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operating expenses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9,197,977</w:t>
            </w:r>
          </w:p>
        </w:tc>
        <w:tc>
          <w:tcPr>
            <w:tcW w:w="3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268</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11,881,011</w:t>
            </w:r>
          </w:p>
        </w:tc>
        <w:tc>
          <w:tcPr>
            <w:tcW w:w="18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367</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w:t>
            </w:r>
          </w:p>
        </w:tc>
      </w:tr>
      <w:tr>
        <w:trPr>
          <w:trHeight w:val="201"/>
        </w:trPr>
        <w:tc>
          <w:tcPr>
            <w:tcW w:w="2540" w:type="dxa"/>
            <w:vAlign w:val="bottom"/>
          </w:tcPr>
          <w:p>
            <w:pPr>
              <w:spacing w:after="0"/>
              <w:rPr>
                <w:sz w:val="20"/>
                <w:szCs w:val="20"/>
                <w:color w:val="auto"/>
              </w:rPr>
            </w:pPr>
            <w:r>
              <w:rPr>
                <w:rFonts w:ascii="Arial" w:cs="Arial" w:eastAsia="Arial" w:hAnsi="Arial"/>
                <w:sz w:val="16"/>
                <w:szCs w:val="16"/>
                <w:color w:val="auto"/>
              </w:rPr>
              <w:t>Operating loss</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(9,157,180)</w:t>
            </w:r>
          </w:p>
        </w:tc>
        <w:tc>
          <w:tcPr>
            <w:tcW w:w="32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4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5"/>
              </w:rPr>
              <w:t>(12,007,423)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(371)</w:t>
            </w:r>
          </w:p>
        </w:tc>
        <w:tc>
          <w:tcPr>
            <w:tcW w:w="4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24</w:t>
            </w:r>
          </w:p>
        </w:tc>
      </w:tr>
      <w:tr>
        <w:trPr>
          <w:trHeight w:val="197"/>
        </w:trPr>
        <w:tc>
          <w:tcPr>
            <w:tcW w:w="254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 net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246,370</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398,349</w:t>
            </w:r>
          </w:p>
        </w:tc>
        <w:tc>
          <w:tcPr>
            <w:tcW w:w="18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12</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38</w:t>
            </w:r>
          </w:p>
        </w:tc>
      </w:tr>
      <w:tr>
        <w:trPr>
          <w:trHeight w:val="196"/>
        </w:trPr>
        <w:tc>
          <w:tcPr>
            <w:tcW w:w="2540" w:type="dxa"/>
            <w:vAlign w:val="bottom"/>
          </w:tcPr>
          <w:p>
            <w:pPr>
              <w:spacing w:after="0"/>
              <w:rPr>
                <w:sz w:val="20"/>
                <w:szCs w:val="20"/>
                <w:color w:val="auto"/>
              </w:rPr>
            </w:pPr>
            <w:r>
              <w:rPr>
                <w:rFonts w:ascii="Arial" w:cs="Arial" w:eastAsia="Arial" w:hAnsi="Arial"/>
                <w:sz w:val="16"/>
                <w:szCs w:val="16"/>
                <w:color w:val="auto"/>
              </w:rPr>
              <w:t>Foreign exchange gain (loss)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6"/>
                <w:szCs w:val="16"/>
                <w:color w:val="auto"/>
              </w:rPr>
              <w:t>20,293</w:t>
            </w:r>
          </w:p>
        </w:tc>
        <w:tc>
          <w:tcPr>
            <w:tcW w:w="1320" w:type="dxa"/>
            <w:vAlign w:val="bottom"/>
            <w:gridSpan w:val="2"/>
          </w:tcPr>
          <w:p>
            <w:pPr>
              <w:jc w:val="right"/>
              <w:ind w:right="44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(167,810)</w:t>
            </w:r>
          </w:p>
        </w:tc>
        <w:tc>
          <w:tcPr>
            <w:tcW w:w="1460" w:type="dxa"/>
            <w:vAlign w:val="bottom"/>
            <w:gridSpan w:val="3"/>
          </w:tcPr>
          <w:p>
            <w:pPr>
              <w:jc w:val="right"/>
              <w:ind w:right="380"/>
              <w:spacing w:after="0"/>
              <w:rPr>
                <w:sz w:val="20"/>
                <w:szCs w:val="20"/>
                <w:color w:val="auto"/>
              </w:rPr>
            </w:pPr>
            <w:r>
              <w:rPr>
                <w:rFonts w:ascii="Arial" w:cs="Arial" w:eastAsia="Arial" w:hAnsi="Arial"/>
                <w:sz w:val="16"/>
                <w:szCs w:val="16"/>
                <w:color w:val="auto"/>
              </w:rPr>
              <w:t>(5)</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112</w:t>
            </w:r>
          </w:p>
        </w:tc>
      </w:tr>
      <w:tr>
        <w:trPr>
          <w:trHeight w:val="25"/>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254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7"/>
              </w:rPr>
              <w:t>(8,890,517)</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(259)</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2"/>
              </w:rPr>
              <w:t>(11,776,884)</w:t>
            </w: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(364)</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84"/>
        </w:trPr>
        <w:tc>
          <w:tcPr>
            <w:tcW w:w="2540" w:type="dxa"/>
            <w:vAlign w:val="bottom"/>
          </w:tcPr>
          <w:p>
            <w:pPr>
              <w:ind w:left="180"/>
              <w:spacing w:after="0"/>
              <w:rPr>
                <w:sz w:val="20"/>
                <w:szCs w:val="20"/>
                <w:color w:val="auto"/>
              </w:rPr>
            </w:pPr>
            <w:r>
              <w:rPr>
                <w:rFonts w:ascii="Arial" w:cs="Arial" w:eastAsia="Arial" w:hAnsi="Arial"/>
                <w:sz w:val="16"/>
                <w:szCs w:val="16"/>
                <w:color w:val="auto"/>
              </w:rPr>
              <w:t>Less: Net loss attributable to the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6"/>
        </w:trPr>
        <w:tc>
          <w:tcPr>
            <w:tcW w:w="2540" w:type="dxa"/>
            <w:vAlign w:val="bottom"/>
          </w:tcPr>
          <w:p>
            <w:pPr>
              <w:ind w:left="360"/>
              <w:spacing w:after="0"/>
              <w:rPr>
                <w:sz w:val="20"/>
                <w:szCs w:val="20"/>
                <w:color w:val="auto"/>
              </w:rPr>
            </w:pPr>
            <w:r>
              <w:rPr>
                <w:rFonts w:ascii="Arial" w:cs="Arial" w:eastAsia="Arial" w:hAnsi="Arial"/>
                <w:sz w:val="16"/>
                <w:szCs w:val="16"/>
                <w:color w:val="auto"/>
              </w:rPr>
              <w:t>noncontrolling interest in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2540" w:type="dxa"/>
            <w:vAlign w:val="bottom"/>
          </w:tcPr>
          <w:p>
            <w:pPr>
              <w:ind w:left="360"/>
              <w:spacing w:after="0"/>
              <w:rPr>
                <w:sz w:val="20"/>
                <w:szCs w:val="20"/>
                <w:color w:val="auto"/>
              </w:rPr>
            </w:pPr>
            <w:r>
              <w:rPr>
                <w:rFonts w:ascii="Arial" w:cs="Arial" w:eastAsia="Arial" w:hAnsi="Arial"/>
                <w:sz w:val="16"/>
                <w:szCs w:val="16"/>
                <w:color w:val="auto"/>
              </w:rPr>
              <w:t>Ocean Power Technologies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4"/>
        </w:trPr>
        <w:tc>
          <w:tcPr>
            <w:tcW w:w="2540" w:type="dxa"/>
            <w:vAlign w:val="bottom"/>
          </w:tcPr>
          <w:p>
            <w:pPr>
              <w:ind w:left="360"/>
              <w:spacing w:after="0"/>
              <w:rPr>
                <w:sz w:val="20"/>
                <w:szCs w:val="20"/>
                <w:color w:val="auto"/>
              </w:rPr>
            </w:pPr>
            <w:r>
              <w:rPr>
                <w:rFonts w:ascii="Arial" w:cs="Arial" w:eastAsia="Arial" w:hAnsi="Arial"/>
                <w:sz w:val="16"/>
                <w:szCs w:val="16"/>
                <w:color w:val="auto"/>
              </w:rPr>
              <w:t>(Australasia) Pty Ltd.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6"/>
                <w:szCs w:val="16"/>
                <w:color w:val="auto"/>
              </w:rPr>
              <w:t>13,096</w:t>
            </w:r>
          </w:p>
        </w:tc>
        <w:tc>
          <w:tcPr>
            <w:tcW w:w="13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11,099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18</w:t>
            </w:r>
          </w:p>
        </w:tc>
      </w:tr>
      <w:tr>
        <w:trPr>
          <w:trHeight w:val="184"/>
        </w:trPr>
        <w:tc>
          <w:tcPr>
            <w:tcW w:w="2540" w:type="dxa"/>
            <w:vAlign w:val="bottom"/>
            <w:shd w:val="clear" w:color="auto" w:fill="CCEEFF"/>
          </w:tcPr>
          <w:p>
            <w:pPr>
              <w:spacing w:after="0"/>
              <w:rPr>
                <w:sz w:val="20"/>
                <w:szCs w:val="20"/>
                <w:color w:val="auto"/>
              </w:rPr>
            </w:pPr>
            <w:r>
              <w:rPr>
                <w:rFonts w:ascii="Arial" w:cs="Arial" w:eastAsia="Arial" w:hAnsi="Arial"/>
                <w:sz w:val="16"/>
                <w:szCs w:val="16"/>
                <w:color w:val="auto"/>
                <w:w w:val="96"/>
              </w:rPr>
              <w:t>Net loss attributable to Ocean Power</w:t>
            </w:r>
          </w:p>
        </w:tc>
        <w:tc>
          <w:tcPr>
            <w:tcW w:w="1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9"/>
        </w:trPr>
        <w:tc>
          <w:tcPr>
            <w:tcW w:w="2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Technologies, Inc.</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7"/>
              </w:rPr>
              <w:t>(8,877,421)</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(259)%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2"/>
              </w:rPr>
              <w:t>(11,765,785)</w:t>
            </w:r>
          </w:p>
        </w:tc>
        <w:tc>
          <w:tcPr>
            <w:tcW w:w="14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(363)%</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r>
      <w:tr>
        <w:trPr>
          <w:trHeight w:val="20"/>
        </w:trPr>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10" w:lineRule="exact"/>
        <w:rPr>
          <w:sz w:val="20"/>
          <w:szCs w:val="20"/>
          <w:color w:val="auto"/>
        </w:rPr>
      </w:pPr>
    </w:p>
    <w:p>
      <w:pPr>
        <w:ind w:left="640" w:hanging="347"/>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Certain subtotals may not add due to rounding.</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Revenues</w:t>
      </w:r>
    </w:p>
    <w:p>
      <w:pPr>
        <w:spacing w:after="0" w:line="172" w:lineRule="exact"/>
        <w:rPr>
          <w:sz w:val="20"/>
          <w:szCs w:val="20"/>
          <w:color w:val="auto"/>
        </w:rPr>
      </w:pPr>
    </w:p>
    <w:p>
      <w:pPr>
        <w:ind w:left="300" w:right="1239"/>
        <w:spacing w:after="0" w:line="287" w:lineRule="auto"/>
        <w:rPr>
          <w:sz w:val="20"/>
          <w:szCs w:val="20"/>
          <w:color w:val="auto"/>
        </w:rPr>
      </w:pPr>
      <w:r>
        <w:rPr>
          <w:rFonts w:ascii="Arial" w:cs="Arial" w:eastAsia="Arial" w:hAnsi="Arial"/>
          <w:sz w:val="16"/>
          <w:szCs w:val="16"/>
          <w:color w:val="auto"/>
        </w:rPr>
        <w:t>Revenues increased by $0.2 million, or 6%, to $3.4 million in the six months ended October 31, 2011 as compared to $3.2 million in the six months ended October 31, 2010. The change in revenues was attributable to the following factors:</w:t>
      </w:r>
    </w:p>
    <w:p>
      <w:pPr>
        <w:spacing w:after="0" w:line="125" w:lineRule="exact"/>
        <w:rPr>
          <w:sz w:val="20"/>
          <w:szCs w:val="20"/>
          <w:color w:val="auto"/>
        </w:rPr>
      </w:pPr>
    </w:p>
    <w:p>
      <w:pPr>
        <w:ind w:left="640" w:right="1119" w:hanging="347"/>
        <w:spacing w:after="0" w:line="310" w:lineRule="auto"/>
        <w:tabs>
          <w:tab w:leader="none" w:pos="640" w:val="left"/>
        </w:tabs>
        <w:numPr>
          <w:ilvl w:val="0"/>
          <w:numId w:val="6"/>
        </w:numPr>
        <w:rPr>
          <w:rFonts w:ascii="Arial" w:cs="Arial" w:eastAsia="Arial" w:hAnsi="Arial"/>
          <w:sz w:val="14"/>
          <w:szCs w:val="14"/>
          <w:b w:val="1"/>
          <w:bCs w:val="1"/>
          <w:color w:val="auto"/>
        </w:rPr>
      </w:pPr>
      <w:r>
        <w:rPr>
          <w:rFonts w:ascii="Arial" w:cs="Arial" w:eastAsia="Arial" w:hAnsi="Arial"/>
          <w:sz w:val="14"/>
          <w:szCs w:val="14"/>
          <w:color w:val="auto"/>
        </w:rPr>
        <w:t>Revenues relating to our utility PowerBuoy system increased by $0.5 million due primarily to an increase in billable work on our PB500 PowerBuoy development project and our WavePort project off the coast of Spain. This was partially offset by a decrease in revenue related to our 150kW PowerBuoy project off the coast of Oregon, due primarily to a decrease in billable work on the project, which is currently in a testing phase. Additionally, during the six months ended October 31, 2010, revenue was reduced by $0.2 million due to a change in estimate of revenue to be recognized in connection with our Spain construction agreement.</w:t>
      </w:r>
    </w:p>
    <w:p>
      <w:pPr>
        <w:spacing w:after="0" w:line="77" w:lineRule="exact"/>
        <w:rPr>
          <w:rFonts w:ascii="Arial" w:cs="Arial" w:eastAsia="Arial" w:hAnsi="Arial"/>
          <w:sz w:val="14"/>
          <w:szCs w:val="14"/>
          <w:b w:val="1"/>
          <w:bCs w:val="1"/>
          <w:color w:val="auto"/>
        </w:rPr>
      </w:pPr>
    </w:p>
    <w:p>
      <w:pPr>
        <w:ind w:left="640" w:right="1219" w:hanging="347"/>
        <w:spacing w:after="0" w:line="271" w:lineRule="auto"/>
        <w:tabs>
          <w:tab w:leader="none" w:pos="64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Revenues relating to our autonomous PowerBuoy system decreased by $0.3 million as a result of a decrease in billable work on our DWADS project with the US Navy, as the project neared completion. This was partially offset by an increase in revenues related to our project to provide our PowerBuoy technology to the US Navy’s LEAP program.</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Cost of revenues</w:t>
      </w:r>
    </w:p>
    <w:p>
      <w:pPr>
        <w:spacing w:after="0" w:line="172" w:lineRule="exact"/>
        <w:rPr>
          <w:sz w:val="20"/>
          <w:szCs w:val="20"/>
          <w:color w:val="auto"/>
        </w:rPr>
      </w:pPr>
    </w:p>
    <w:p>
      <w:pPr>
        <w:ind w:left="300" w:right="1119"/>
        <w:spacing w:after="0" w:line="266" w:lineRule="auto"/>
        <w:rPr>
          <w:sz w:val="20"/>
          <w:szCs w:val="20"/>
          <w:color w:val="auto"/>
        </w:rPr>
      </w:pPr>
      <w:r>
        <w:rPr>
          <w:rFonts w:ascii="Arial" w:cs="Arial" w:eastAsia="Arial" w:hAnsi="Arial"/>
          <w:sz w:val="16"/>
          <w:szCs w:val="16"/>
          <w:color w:val="auto"/>
        </w:rPr>
        <w:t>Cost of revenues was $3.4 million for the six months ended October 31, 2011 and for the six months ended October 31, 2010. Cost of revenues increases related to our PB500 PowerBuoy development project, our LEAP project with the US Navy and our WavePort project off the coast of Spain were offset by decreases in the cost of revenues related to our 150kW PowerBuoy project off the coast of Oregon and our DWADS projects with the US Navy.</w:t>
      </w:r>
    </w:p>
    <w:p>
      <w:pPr>
        <w:spacing w:after="0" w:line="200" w:lineRule="exact"/>
        <w:rPr>
          <w:sz w:val="20"/>
          <w:szCs w:val="20"/>
          <w:color w:val="auto"/>
        </w:rPr>
      </w:pPr>
    </w:p>
    <w:p>
      <w:pPr>
        <w:spacing w:after="0" w:line="298"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263765"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0219"/>
          </w:cols>
          <w:pgMar w:left="240" w:top="394" w:right="1440"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86" w:lineRule="exact"/>
        <w:rPr>
          <w:sz w:val="20"/>
          <w:szCs w:val="20"/>
          <w:color w:val="auto"/>
        </w:rPr>
      </w:pPr>
    </w:p>
    <w:p>
      <w:pPr>
        <w:ind w:left="300" w:right="1099"/>
        <w:spacing w:after="0" w:line="277" w:lineRule="auto"/>
        <w:rPr>
          <w:sz w:val="20"/>
          <w:szCs w:val="20"/>
          <w:color w:val="auto"/>
        </w:rPr>
      </w:pPr>
      <w:r>
        <w:rPr>
          <w:rFonts w:ascii="Arial" w:cs="Arial" w:eastAsia="Arial" w:hAnsi="Arial"/>
          <w:sz w:val="15"/>
          <w:szCs w:val="15"/>
          <w:color w:val="auto"/>
        </w:rPr>
        <w:t>We operated at a break-even gross profit in the six months ended October 31, 2011 and a gross loss of $0.1 million for the six months ended October 31, 2010. Certain of our projects in the six months ended October 31, 2011 and 2010 were under cost-sharing contracts. Under cost-sharing contracts, we receive a fixed amount agreed upon with the customer that is only intended to fund a portion of the costs on a specific project. We fund the remainder of the costs as part of our product development efforts. Revenue is typically recorded using the percentage-of-completion method applied to the contractual amount agreed upon with the customer. An equal amount corresponding to the revenue is recorded in cost of revenues resulting in gross profit on these contracts of zero. Our share of the costs is considered to be product development expense. Our ability to generate a gross profit will depend on the nature of future contracts, our success at increasing sales of our PowerBuoy systems and on our ability to manage costs incurred on our fixed price commercial contracts. During the six months ended October 31, 2010, revenue was reduced by $0.2 million due to a change in estimate of revenue to be recognized in connection with our Spain construction agreement. There was no corresponding reduction in cost of revenue. This resulted in a $0.2 million gross loss being recognized on the Spain project during the six months ended October 31, 2010.</w:t>
      </w:r>
    </w:p>
    <w:p>
      <w:pPr>
        <w:spacing w:after="0" w:line="141"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Product development costs</w:t>
      </w:r>
    </w:p>
    <w:p>
      <w:pPr>
        <w:spacing w:after="0" w:line="172" w:lineRule="exact"/>
        <w:rPr>
          <w:sz w:val="20"/>
          <w:szCs w:val="20"/>
          <w:color w:val="auto"/>
        </w:rPr>
      </w:pPr>
    </w:p>
    <w:p>
      <w:pPr>
        <w:ind w:left="300" w:right="1079"/>
        <w:spacing w:after="0" w:line="278" w:lineRule="auto"/>
        <w:rPr>
          <w:sz w:val="20"/>
          <w:szCs w:val="20"/>
          <w:color w:val="auto"/>
        </w:rPr>
      </w:pPr>
      <w:r>
        <w:rPr>
          <w:rFonts w:ascii="Arial" w:cs="Arial" w:eastAsia="Arial" w:hAnsi="Arial"/>
          <w:sz w:val="15"/>
          <w:szCs w:val="15"/>
          <w:color w:val="auto"/>
        </w:rPr>
        <w:t>Product development costs decreased by $2.5 million, or 33%, to $5.2 million in the six months ended October 31, 2011, as compared to $7.7 million in the six months ended October 31, 2010. Product development costs were attributable primarily to our efforts to increase the power output and reliability of our utility PowerBuoy system, especially the 150kW PowerBuoy system. The decrease in product development costs is related primarily to decreases in activity related to our 150kW PowerBuoy project off the coast of Scotland and our Hawaii project with the US Navy, as these projects neared completion, and to our 150kW PowerBuoy project off the coast of Oregon, as the project entered an on-shore testing phase. Costs related to the Oregon project may increase in future quarters as work on the PowerBuoy progresses. Over the next several years, it is our intent to fund the majority of our research and development expenses, including cost-sharing arrangements, with sources of external funding. If we are unable to obtain external funding, we may reduce our research and development expenses or we may decide to self-fund significant research and development expenses, in which case our product development costs may increase. During the six months ended October 31, 2011, the majority of funding for our PB500 PowerBuoy development project was from external sources.</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Selling, general and administrative costs</w:t>
      </w:r>
    </w:p>
    <w:p>
      <w:pPr>
        <w:spacing w:after="0" w:line="184" w:lineRule="exact"/>
        <w:rPr>
          <w:sz w:val="20"/>
          <w:szCs w:val="20"/>
          <w:color w:val="auto"/>
        </w:rPr>
      </w:pPr>
    </w:p>
    <w:p>
      <w:pPr>
        <w:ind w:left="300" w:right="1419"/>
        <w:spacing w:after="0" w:line="271" w:lineRule="auto"/>
        <w:rPr>
          <w:sz w:val="20"/>
          <w:szCs w:val="20"/>
          <w:color w:val="auto"/>
        </w:rPr>
      </w:pPr>
      <w:r>
        <w:rPr>
          <w:rFonts w:ascii="Arial" w:cs="Arial" w:eastAsia="Arial" w:hAnsi="Arial"/>
          <w:sz w:val="16"/>
          <w:szCs w:val="16"/>
          <w:color w:val="auto"/>
        </w:rPr>
        <w:t>Selling, general and administrative costs were $4.0 million for the six months ended October 31, 2011 and $4.2 million for the six months ended October 31, 2010. The decrease was due primarily to a decrease in business development, marketing and legal expenses.</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Interest income</w:t>
      </w:r>
    </w:p>
    <w:p>
      <w:pPr>
        <w:spacing w:after="0" w:line="172" w:lineRule="exact"/>
        <w:rPr>
          <w:sz w:val="20"/>
          <w:szCs w:val="20"/>
          <w:color w:val="auto"/>
        </w:rPr>
      </w:pPr>
    </w:p>
    <w:p>
      <w:pPr>
        <w:ind w:left="300" w:right="1099"/>
        <w:spacing w:after="0" w:line="322" w:lineRule="auto"/>
        <w:rPr>
          <w:sz w:val="20"/>
          <w:szCs w:val="20"/>
          <w:color w:val="auto"/>
        </w:rPr>
      </w:pPr>
      <w:r>
        <w:rPr>
          <w:rFonts w:ascii="Arial" w:cs="Arial" w:eastAsia="Arial" w:hAnsi="Arial"/>
          <w:sz w:val="15"/>
          <w:szCs w:val="15"/>
          <w:color w:val="auto"/>
        </w:rPr>
        <w:t>Interest income decreased approximately 38%, to $0.2 million for the six months ended October 31, 2011, as compared to $0.4 million in the six months ended October 31, 2010, due primarily to a decrease in cash, cash equivalents and marketable securities.</w:t>
      </w:r>
    </w:p>
    <w:p>
      <w:pPr>
        <w:spacing w:after="0" w:line="10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Foreign exchange gain (loss)</w:t>
      </w:r>
    </w:p>
    <w:p>
      <w:pPr>
        <w:spacing w:after="0" w:line="172" w:lineRule="exact"/>
        <w:rPr>
          <w:sz w:val="20"/>
          <w:szCs w:val="20"/>
          <w:color w:val="auto"/>
        </w:rPr>
      </w:pPr>
    </w:p>
    <w:p>
      <w:pPr>
        <w:jc w:val="both"/>
        <w:ind w:left="300" w:right="1199"/>
        <w:spacing w:after="0" w:line="271" w:lineRule="auto"/>
        <w:rPr>
          <w:sz w:val="20"/>
          <w:szCs w:val="20"/>
          <w:color w:val="auto"/>
        </w:rPr>
      </w:pPr>
      <w:r>
        <w:rPr>
          <w:rFonts w:ascii="Arial" w:cs="Arial" w:eastAsia="Arial" w:hAnsi="Arial"/>
          <w:sz w:val="16"/>
          <w:szCs w:val="16"/>
          <w:color w:val="auto"/>
        </w:rPr>
        <w:t>Foreign exchange gain was $20,000 for the six months ended October 31, 2011, compared to a foreign exchange loss of $168,000 for the six months ended October 31, 2010. The difference was attributable primarily to the relative change in value of the British pound sterling, Euro and Australian dollar compared to the US dollar during the two periods.</w:t>
      </w:r>
    </w:p>
    <w:p>
      <w:pPr>
        <w:spacing w:after="0" w:line="200" w:lineRule="exact"/>
        <w:rPr>
          <w:sz w:val="20"/>
          <w:szCs w:val="20"/>
          <w:color w:val="auto"/>
        </w:rPr>
      </w:pPr>
    </w:p>
    <w:p>
      <w:pPr>
        <w:spacing w:after="0" w:line="294"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263765"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0219"/>
          </w:cols>
          <w:pgMar w:left="240" w:top="394" w:right="1440" w:bottom="1440" w:gutter="0" w:footer="0" w:header="0"/>
        </w:sectPr>
      </w:pPr>
    </w:p>
    <w:bookmarkStart w:id="27" w:name="page28"/>
    <w:bookmarkEnd w:id="27"/>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82"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Liquidity and Capital Resources</w:t>
      </w:r>
    </w:p>
    <w:p>
      <w:pPr>
        <w:spacing w:after="0" w:line="188" w:lineRule="exact"/>
        <w:rPr>
          <w:sz w:val="20"/>
          <w:szCs w:val="20"/>
          <w:color w:val="auto"/>
        </w:rPr>
      </w:pPr>
    </w:p>
    <w:p>
      <w:pPr>
        <w:ind w:left="300" w:right="1259"/>
        <w:spacing w:after="0" w:line="271" w:lineRule="auto"/>
        <w:rPr>
          <w:sz w:val="20"/>
          <w:szCs w:val="20"/>
          <w:color w:val="auto"/>
        </w:rPr>
      </w:pPr>
      <w:r>
        <w:rPr>
          <w:rFonts w:ascii="Arial" w:cs="Arial" w:eastAsia="Arial" w:hAnsi="Arial"/>
          <w:sz w:val="16"/>
          <w:szCs w:val="16"/>
          <w:color w:val="auto"/>
        </w:rPr>
        <w:t>Since our inception, the cash flows from customer revenues have not been sufficient to fund our operations and provide the capital resources for the planned growth of our business. For the three years ended April 30, 2011, our revenues were $15.8 million, our net losses were $57.9 million and our net cash used in operating activities was $51.2 million.</w:t>
      </w:r>
    </w:p>
    <w:p>
      <w:pPr>
        <w:spacing w:after="0" w:line="126" w:lineRule="exact"/>
        <w:rPr>
          <w:sz w:val="20"/>
          <w:szCs w:val="20"/>
          <w:color w:val="auto"/>
        </w:rPr>
      </w:pPr>
    </w:p>
    <w:tbl>
      <w:tblPr>
        <w:tblLayout w:type="fixed"/>
        <w:tblInd w:w="300" w:type="dxa"/>
        <w:tblCellMar>
          <w:top w:w="0" w:type="dxa"/>
          <w:left w:w="0" w:type="dxa"/>
          <w:bottom w:w="0" w:type="dxa"/>
          <w:right w:w="0" w:type="dxa"/>
        </w:tblCellMar>
      </w:tblPr>
      <w:tr>
        <w:trPr>
          <w:trHeight w:val="208"/>
        </w:trPr>
        <w:tc>
          <w:tcPr>
            <w:tcW w:w="6600" w:type="dxa"/>
            <w:vAlign w:val="bottom"/>
          </w:tcPr>
          <w:p>
            <w:pPr>
              <w:spacing w:after="0"/>
              <w:rPr>
                <w:sz w:val="20"/>
                <w:szCs w:val="20"/>
                <w:color w:val="auto"/>
              </w:rPr>
            </w:pPr>
            <w:r>
              <w:rPr>
                <w:rFonts w:ascii="Arial" w:cs="Arial" w:eastAsia="Arial" w:hAnsi="Arial"/>
                <w:sz w:val="16"/>
                <w:szCs w:val="16"/>
                <w:color w:val="auto"/>
              </w:rPr>
              <w:t>Cash flows for the six months ended October 31, 2011 and 2010 were as follows: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6600" w:type="dxa"/>
            <w:vAlign w:val="bottom"/>
          </w:tcPr>
          <w:p>
            <w:pPr>
              <w:spacing w:after="0"/>
              <w:rPr>
                <w:sz w:val="24"/>
                <w:szCs w:val="24"/>
                <w:color w:val="auto"/>
              </w:rPr>
            </w:pPr>
          </w:p>
        </w:tc>
        <w:tc>
          <w:tcPr>
            <w:tcW w:w="2240" w:type="dxa"/>
            <w:vAlign w:val="bottom"/>
            <w:gridSpan w:val="6"/>
          </w:tcPr>
          <w:p>
            <w:pPr>
              <w:spacing w:after="0"/>
              <w:rPr>
                <w:sz w:val="20"/>
                <w:szCs w:val="20"/>
                <w:color w:val="auto"/>
              </w:rPr>
            </w:pPr>
            <w:r>
              <w:rPr>
                <w:rFonts w:ascii="Arial" w:cs="Arial" w:eastAsia="Arial" w:hAnsi="Arial"/>
                <w:sz w:val="16"/>
                <w:szCs w:val="16"/>
                <w:b w:val="1"/>
                <w:bCs w:val="1"/>
                <w:color w:val="auto"/>
                <w:w w:val="96"/>
              </w:rPr>
              <w:t>Six Months Ended October 31,</w:t>
            </w:r>
          </w:p>
        </w:tc>
        <w:tc>
          <w:tcPr>
            <w:tcW w:w="0" w:type="dxa"/>
            <w:vAlign w:val="bottom"/>
          </w:tcPr>
          <w:p>
            <w:pPr>
              <w:spacing w:after="0"/>
              <w:rPr>
                <w:sz w:val="1"/>
                <w:szCs w:val="1"/>
                <w:color w:val="auto"/>
              </w:rPr>
            </w:pPr>
          </w:p>
        </w:tc>
      </w:tr>
      <w:tr>
        <w:trPr>
          <w:trHeight w:val="189"/>
        </w:trPr>
        <w:tc>
          <w:tcPr>
            <w:tcW w:w="66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2011</w:t>
            </w:r>
          </w:p>
        </w:tc>
        <w:tc>
          <w:tcPr>
            <w:tcW w:w="360" w:type="dxa"/>
            <w:vAlign w:val="bottom"/>
            <w:tcBorders>
              <w:top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95"/>
              </w:rPr>
              <w:t>(8,890,517)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2"/>
              </w:rPr>
              <w:t>(11,776,884)</w:t>
            </w:r>
          </w:p>
        </w:tc>
        <w:tc>
          <w:tcPr>
            <w:tcW w:w="0" w:type="dxa"/>
            <w:vAlign w:val="bottom"/>
          </w:tcPr>
          <w:p>
            <w:pPr>
              <w:spacing w:after="0"/>
              <w:rPr>
                <w:sz w:val="1"/>
                <w:szCs w:val="1"/>
                <w:color w:val="auto"/>
              </w:rPr>
            </w:pPr>
          </w:p>
        </w:tc>
      </w:tr>
      <w:tr>
        <w:trPr>
          <w:trHeight w:val="392"/>
        </w:trPr>
        <w:tc>
          <w:tcPr>
            <w:tcW w:w="6600" w:type="dxa"/>
            <w:vAlign w:val="bottom"/>
          </w:tcPr>
          <w:p>
            <w:pPr>
              <w:spacing w:after="0"/>
              <w:rPr>
                <w:sz w:val="20"/>
                <w:szCs w:val="20"/>
                <w:color w:val="auto"/>
              </w:rPr>
            </w:pPr>
            <w:r>
              <w:rPr>
                <w:rFonts w:ascii="Arial" w:cs="Arial" w:eastAsia="Arial" w:hAnsi="Arial"/>
                <w:sz w:val="16"/>
                <w:szCs w:val="16"/>
                <w:color w:val="auto"/>
              </w:rPr>
              <w:t>Adjustments for noncash operating items</w:t>
            </w:r>
          </w:p>
        </w:tc>
        <w:tc>
          <w:tcPr>
            <w:tcW w:w="14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6"/>
                <w:szCs w:val="16"/>
                <w:color w:val="auto"/>
              </w:rPr>
              <w:t>917,028</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1,189,098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6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Net cash operating loss</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95"/>
              </w:rPr>
              <w:t>(7,973,489)</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2"/>
              </w:rPr>
              <w:t>(10,587,786)</w:t>
            </w:r>
          </w:p>
        </w:tc>
        <w:tc>
          <w:tcPr>
            <w:tcW w:w="0" w:type="dxa"/>
            <w:vAlign w:val="bottom"/>
          </w:tcPr>
          <w:p>
            <w:pPr>
              <w:spacing w:after="0"/>
              <w:rPr>
                <w:sz w:val="1"/>
                <w:szCs w:val="1"/>
                <w:color w:val="auto"/>
              </w:rPr>
            </w:pPr>
          </w:p>
        </w:tc>
      </w:tr>
      <w:tr>
        <w:trPr>
          <w:trHeight w:val="392"/>
        </w:trPr>
        <w:tc>
          <w:tcPr>
            <w:tcW w:w="6600" w:type="dxa"/>
            <w:vAlign w:val="bottom"/>
          </w:tcPr>
          <w:p>
            <w:pPr>
              <w:spacing w:after="0"/>
              <w:rPr>
                <w:sz w:val="20"/>
                <w:szCs w:val="20"/>
                <w:color w:val="auto"/>
              </w:rPr>
            </w:pPr>
            <w:r>
              <w:rPr>
                <w:rFonts w:ascii="Arial" w:cs="Arial" w:eastAsia="Arial" w:hAnsi="Arial"/>
                <w:sz w:val="16"/>
                <w:szCs w:val="16"/>
                <w:color w:val="auto"/>
              </w:rPr>
              <w:t>Net change in operating assets and liabilities</w:t>
            </w:r>
          </w:p>
        </w:tc>
        <w:tc>
          <w:tcPr>
            <w:tcW w:w="14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6"/>
                <w:szCs w:val="16"/>
                <w:color w:val="auto"/>
              </w:rPr>
              <w:t>84,305</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1,190,263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6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operating activities</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95"/>
              </w:rPr>
              <w:t>(7,889,184)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(9,397,523)</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6600" w:type="dxa"/>
            <w:vAlign w:val="bottom"/>
          </w:tcPr>
          <w:p>
            <w:pPr>
              <w:spacing w:after="0"/>
              <w:rPr>
                <w:sz w:val="20"/>
                <w:szCs w:val="20"/>
                <w:color w:val="auto"/>
              </w:rPr>
            </w:pPr>
            <w:r>
              <w:rPr>
                <w:rFonts w:ascii="Arial" w:cs="Arial" w:eastAsia="Arial" w:hAnsi="Arial"/>
                <w:sz w:val="16"/>
                <w:szCs w:val="16"/>
                <w:color w:val="auto"/>
              </w:rPr>
              <w:t>Net cash provided by investing activities</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9,551,012</w:t>
            </w:r>
          </w:p>
        </w:tc>
        <w:tc>
          <w:tcPr>
            <w:tcW w:w="3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w w:val="97"/>
              </w:rPr>
              <w:t>15,324,233</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provided by financing activities</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(128,245)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243,992</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6600" w:type="dxa"/>
            <w:vAlign w:val="bottom"/>
          </w:tcPr>
          <w:p>
            <w:pPr>
              <w:spacing w:after="0"/>
              <w:rPr>
                <w:sz w:val="20"/>
                <w:szCs w:val="20"/>
                <w:color w:val="auto"/>
              </w:rPr>
            </w:pPr>
            <w:r>
              <w:rPr>
                <w:rFonts w:ascii="Arial" w:cs="Arial" w:eastAsia="Arial" w:hAnsi="Arial"/>
                <w:sz w:val="16"/>
                <w:szCs w:val="16"/>
                <w:color w:val="auto"/>
              </w:rPr>
              <w:t>Effect of exchange rates on cash and cash equivalents</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(153,281)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90,364</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6"/>
                <w:szCs w:val="16"/>
                <w:b w:val="1"/>
                <w:bCs w:val="1"/>
                <w:color w:val="auto"/>
              </w:rPr>
              <w:t>Net cash used in operating activities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6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00" w:right="1779"/>
        <w:spacing w:after="0" w:line="271" w:lineRule="auto"/>
        <w:rPr>
          <w:sz w:val="20"/>
          <w:szCs w:val="20"/>
          <w:color w:val="auto"/>
        </w:rPr>
      </w:pPr>
      <w:r>
        <w:rPr>
          <w:rFonts w:ascii="Arial" w:cs="Arial" w:eastAsia="Arial" w:hAnsi="Arial"/>
          <w:sz w:val="16"/>
          <w:szCs w:val="16"/>
          <w:color w:val="auto"/>
        </w:rPr>
        <w:t>Net cash used in operating activities was $7.9 million and $9.4 million for the six months ended October 31, 2011 and 2010, respectively. The change was the result of a decrease in net loss of $2.9 million, offset by a decrease in non-cash charges of $0.3 million and a decrease in cash provided by operating assets and liabilities of $1.1 million.</w:t>
      </w:r>
    </w:p>
    <w:p>
      <w:pPr>
        <w:spacing w:after="0" w:line="126" w:lineRule="exact"/>
        <w:rPr>
          <w:sz w:val="20"/>
          <w:szCs w:val="20"/>
          <w:color w:val="auto"/>
        </w:rPr>
      </w:pPr>
    </w:p>
    <w:p>
      <w:pPr>
        <w:ind w:left="300" w:right="1279"/>
        <w:spacing w:after="0" w:line="287" w:lineRule="auto"/>
        <w:rPr>
          <w:sz w:val="20"/>
          <w:szCs w:val="20"/>
          <w:color w:val="auto"/>
        </w:rPr>
      </w:pPr>
      <w:r>
        <w:rPr>
          <w:rFonts w:ascii="Arial" w:cs="Arial" w:eastAsia="Arial" w:hAnsi="Arial"/>
          <w:sz w:val="16"/>
          <w:szCs w:val="16"/>
          <w:color w:val="auto"/>
        </w:rPr>
        <w:t>The change in non-cash charges was due primarily to a change in foreign exchange losses of $0.2 million resulting from the relative change in the value of the British pound sterling against the US dollar.</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Net cash provided by investing activities</w:t>
      </w:r>
    </w:p>
    <w:p>
      <w:pPr>
        <w:spacing w:after="0" w:line="188" w:lineRule="exact"/>
        <w:rPr>
          <w:sz w:val="20"/>
          <w:szCs w:val="20"/>
          <w:color w:val="auto"/>
        </w:rPr>
      </w:pPr>
    </w:p>
    <w:p>
      <w:pPr>
        <w:ind w:left="300" w:right="1399"/>
        <w:spacing w:after="0" w:line="271" w:lineRule="auto"/>
        <w:rPr>
          <w:sz w:val="20"/>
          <w:szCs w:val="20"/>
          <w:color w:val="auto"/>
        </w:rPr>
      </w:pPr>
      <w:r>
        <w:rPr>
          <w:rFonts w:ascii="Arial" w:cs="Arial" w:eastAsia="Arial" w:hAnsi="Arial"/>
          <w:sz w:val="16"/>
          <w:szCs w:val="16"/>
          <w:color w:val="auto"/>
        </w:rPr>
        <w:t>Net cash provided by investing activities was $9.6 million and $15.3 million for the six months ended October 31, 2011 and 2010, respectively. The change was primarily the result of a net decrease in maturities of marketable securities, partially offset by a net decrease in purchases of marketable securities during the six months ended October 31, 2011.</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Net cash (used in) provided by financing activities</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Net cash used in financing activities was $0.1 million in the six months ended October 31, 2011 and net cash provided by financing</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activities was $0.2 million in the six months ended October 31, 2010. During the six months ended October 31, 2011, we repaid</w:t>
      </w:r>
    </w:p>
    <w:p>
      <w:pPr>
        <w:spacing w:after="0" w:line="24" w:lineRule="exact"/>
        <w:rPr>
          <w:sz w:val="20"/>
          <w:szCs w:val="20"/>
          <w:color w:val="auto"/>
        </w:rPr>
      </w:pPr>
    </w:p>
    <w:p>
      <w:pPr>
        <w:ind w:left="300"/>
        <w:spacing w:after="0"/>
        <w:rPr>
          <w:sz w:val="20"/>
          <w:szCs w:val="20"/>
          <w:color w:val="auto"/>
        </w:rPr>
      </w:pPr>
      <w:r>
        <w:rPr>
          <w:rFonts w:ascii="Arial" w:cs="Arial" w:eastAsia="Arial" w:hAnsi="Arial"/>
          <w:sz w:val="15"/>
          <w:szCs w:val="15"/>
          <w:color w:val="auto"/>
        </w:rPr>
        <w:t>$0.1 million under a loan from the New Jersey Economic Development Authority. During the six months ended October 31, 2010, we</w:t>
      </w:r>
    </w:p>
    <w:p>
      <w:pPr>
        <w:spacing w:after="0" w:line="2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received a $0.25 million loan under the NJBPU Renewable Energy Business Venture Assistance Program.</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Effect of exchange rates on cash and cash equivalents</w:t>
      </w:r>
    </w:p>
    <w:p>
      <w:pPr>
        <w:spacing w:after="0" w:line="176" w:lineRule="exact"/>
        <w:rPr>
          <w:sz w:val="20"/>
          <w:szCs w:val="20"/>
          <w:color w:val="auto"/>
        </w:rPr>
      </w:pPr>
    </w:p>
    <w:p>
      <w:pPr>
        <w:jc w:val="both"/>
        <w:ind w:left="300" w:right="1259"/>
        <w:spacing w:after="0" w:line="327" w:lineRule="auto"/>
        <w:rPr>
          <w:sz w:val="20"/>
          <w:szCs w:val="20"/>
          <w:color w:val="auto"/>
        </w:rPr>
      </w:pPr>
      <w:r>
        <w:rPr>
          <w:rFonts w:ascii="Arial" w:cs="Arial" w:eastAsia="Arial" w:hAnsi="Arial"/>
          <w:sz w:val="14"/>
          <w:szCs w:val="14"/>
          <w:color w:val="auto"/>
        </w:rPr>
        <w:t>The effect of exchange rates on cash and cash equivalents was a decrease of $0.2 million in the six months ended October 31, 2011 and an increase of $0.1 million in the six months ended October 31, 2010. The effect of exchange rates on cash and cash equivalents results primarily from gains or losses on consolidation of foreign subsidiaries and foreign denominated cash and cash equivalents.</w:t>
      </w:r>
    </w:p>
    <w:p>
      <w:pPr>
        <w:spacing w:after="0" w:line="200" w:lineRule="exact"/>
        <w:rPr>
          <w:sz w:val="20"/>
          <w:szCs w:val="20"/>
          <w:color w:val="auto"/>
        </w:rPr>
      </w:pPr>
    </w:p>
    <w:p>
      <w:pPr>
        <w:spacing w:after="0" w:line="25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263765"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0219"/>
          </w:cols>
          <w:pgMar w:left="240" w:top="394" w:right="1440" w:bottom="1440" w:gutter="0" w:footer="0" w:header="0"/>
        </w:sectPr>
      </w:pPr>
    </w:p>
    <w:bookmarkStart w:id="28" w:name="page29"/>
    <w:bookmarkEnd w:id="2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82"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Liquidity and Capital Resources Outlook</w:t>
      </w:r>
    </w:p>
    <w:p>
      <w:pPr>
        <w:spacing w:after="0" w:line="188" w:lineRule="exact"/>
        <w:rPr>
          <w:sz w:val="20"/>
          <w:szCs w:val="20"/>
          <w:color w:val="auto"/>
        </w:rPr>
      </w:pPr>
    </w:p>
    <w:p>
      <w:pPr>
        <w:jc w:val="both"/>
        <w:ind w:left="300" w:right="1259"/>
        <w:spacing w:after="0" w:line="271" w:lineRule="auto"/>
        <w:rPr>
          <w:sz w:val="20"/>
          <w:szCs w:val="20"/>
          <w:color w:val="auto"/>
        </w:rPr>
      </w:pPr>
      <w:r>
        <w:rPr>
          <w:rFonts w:ascii="Arial" w:cs="Arial" w:eastAsia="Arial" w:hAnsi="Arial"/>
          <w:sz w:val="16"/>
          <w:szCs w:val="16"/>
          <w:color w:val="auto"/>
        </w:rPr>
        <w:t>We expect to devote substantial resources to continue our development efforts for our PowerBuoy systems and to expand our sales, marketing and manufacturing programs associated with the planned commercialization of the PowerBuoy system. Our future capital requirements will depend on a number of factors, including:</w:t>
      </w:r>
    </w:p>
    <w:p>
      <w:pPr>
        <w:spacing w:after="0" w:line="126" w:lineRule="exact"/>
        <w:rPr>
          <w:sz w:val="20"/>
          <w:szCs w:val="20"/>
          <w:color w:val="auto"/>
        </w:rPr>
      </w:pPr>
    </w:p>
    <w:p>
      <w:pPr>
        <w:ind w:left="640" w:hanging="347"/>
        <w:spacing w:after="0"/>
        <w:tabs>
          <w:tab w:leader="none" w:pos="64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the cost of development efforts for our PowerBuoy systems;</w:t>
      </w:r>
    </w:p>
    <w:p>
      <w:pPr>
        <w:spacing w:after="0" w:line="147" w:lineRule="exact"/>
        <w:rPr>
          <w:rFonts w:ascii="Arial" w:cs="Arial" w:eastAsia="Arial" w:hAnsi="Arial"/>
          <w:sz w:val="16"/>
          <w:szCs w:val="16"/>
          <w:b w:val="1"/>
          <w:bCs w:val="1"/>
          <w:color w:val="auto"/>
        </w:rPr>
      </w:pPr>
    </w:p>
    <w:p>
      <w:pPr>
        <w:ind w:left="640" w:hanging="347"/>
        <w:spacing w:after="0"/>
        <w:tabs>
          <w:tab w:leader="none" w:pos="64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the success of our commercial relationships with major customers;</w:t>
      </w:r>
    </w:p>
    <w:p>
      <w:pPr>
        <w:spacing w:after="0" w:line="147" w:lineRule="exact"/>
        <w:rPr>
          <w:rFonts w:ascii="Arial" w:cs="Arial" w:eastAsia="Arial" w:hAnsi="Arial"/>
          <w:sz w:val="16"/>
          <w:szCs w:val="16"/>
          <w:b w:val="1"/>
          <w:bCs w:val="1"/>
          <w:color w:val="auto"/>
        </w:rPr>
      </w:pPr>
    </w:p>
    <w:p>
      <w:pPr>
        <w:ind w:left="640" w:hanging="347"/>
        <w:spacing w:after="0"/>
        <w:tabs>
          <w:tab w:leader="none" w:pos="64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the cost of manufacturing activities;</w:t>
      </w:r>
    </w:p>
    <w:p>
      <w:pPr>
        <w:spacing w:after="0" w:line="147" w:lineRule="exact"/>
        <w:rPr>
          <w:rFonts w:ascii="Arial" w:cs="Arial" w:eastAsia="Arial" w:hAnsi="Arial"/>
          <w:sz w:val="16"/>
          <w:szCs w:val="16"/>
          <w:b w:val="1"/>
          <w:bCs w:val="1"/>
          <w:color w:val="auto"/>
        </w:rPr>
      </w:pPr>
    </w:p>
    <w:p>
      <w:pPr>
        <w:ind w:left="640" w:hanging="347"/>
        <w:spacing w:after="0"/>
        <w:tabs>
          <w:tab w:leader="none" w:pos="64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the cost of commercialization activities, including demonstration projects, product marketing and sales;</w:t>
      </w:r>
    </w:p>
    <w:p>
      <w:pPr>
        <w:spacing w:after="0" w:line="147" w:lineRule="exact"/>
        <w:rPr>
          <w:rFonts w:ascii="Arial" w:cs="Arial" w:eastAsia="Arial" w:hAnsi="Arial"/>
          <w:sz w:val="16"/>
          <w:szCs w:val="16"/>
          <w:b w:val="1"/>
          <w:bCs w:val="1"/>
          <w:color w:val="auto"/>
        </w:rPr>
      </w:pPr>
    </w:p>
    <w:p>
      <w:pPr>
        <w:ind w:left="640" w:hanging="347"/>
        <w:spacing w:after="0"/>
        <w:tabs>
          <w:tab w:leader="none" w:pos="64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our ability to establish and maintain additional customer relationships;</w:t>
      </w:r>
    </w:p>
    <w:p>
      <w:pPr>
        <w:spacing w:after="0" w:line="147" w:lineRule="exact"/>
        <w:rPr>
          <w:rFonts w:ascii="Arial" w:cs="Arial" w:eastAsia="Arial" w:hAnsi="Arial"/>
          <w:sz w:val="16"/>
          <w:szCs w:val="16"/>
          <w:b w:val="1"/>
          <w:bCs w:val="1"/>
          <w:color w:val="auto"/>
        </w:rPr>
      </w:pPr>
    </w:p>
    <w:p>
      <w:pPr>
        <w:ind w:left="640" w:hanging="347"/>
        <w:spacing w:after="0"/>
        <w:tabs>
          <w:tab w:leader="none" w:pos="64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the implementation of our expansion plans, including the hiring of new employees;</w:t>
      </w:r>
    </w:p>
    <w:p>
      <w:pPr>
        <w:spacing w:after="0" w:line="147" w:lineRule="exact"/>
        <w:rPr>
          <w:rFonts w:ascii="Arial" w:cs="Arial" w:eastAsia="Arial" w:hAnsi="Arial"/>
          <w:sz w:val="16"/>
          <w:szCs w:val="16"/>
          <w:b w:val="1"/>
          <w:bCs w:val="1"/>
          <w:color w:val="auto"/>
        </w:rPr>
      </w:pPr>
    </w:p>
    <w:p>
      <w:pPr>
        <w:ind w:left="640" w:hanging="347"/>
        <w:spacing w:after="0"/>
        <w:tabs>
          <w:tab w:leader="none" w:pos="64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potential acquisitions of other products or technologies; and</w:t>
      </w:r>
    </w:p>
    <w:p>
      <w:pPr>
        <w:spacing w:after="0" w:line="147" w:lineRule="exact"/>
        <w:rPr>
          <w:rFonts w:ascii="Arial" w:cs="Arial" w:eastAsia="Arial" w:hAnsi="Arial"/>
          <w:sz w:val="16"/>
          <w:szCs w:val="16"/>
          <w:b w:val="1"/>
          <w:bCs w:val="1"/>
          <w:color w:val="auto"/>
        </w:rPr>
      </w:pPr>
    </w:p>
    <w:p>
      <w:pPr>
        <w:ind w:left="640" w:hanging="347"/>
        <w:spacing w:after="0"/>
        <w:tabs>
          <w:tab w:leader="none" w:pos="640" w:val="left"/>
        </w:tabs>
        <w:numPr>
          <w:ilvl w:val="0"/>
          <w:numId w:val="7"/>
        </w:numPr>
        <w:rPr>
          <w:rFonts w:ascii="Arial" w:cs="Arial" w:eastAsia="Arial" w:hAnsi="Arial"/>
          <w:sz w:val="15"/>
          <w:szCs w:val="15"/>
          <w:b w:val="1"/>
          <w:bCs w:val="1"/>
          <w:color w:val="auto"/>
        </w:rPr>
      </w:pPr>
      <w:r>
        <w:rPr>
          <w:rFonts w:ascii="Arial" w:cs="Arial" w:eastAsia="Arial" w:hAnsi="Arial"/>
          <w:sz w:val="15"/>
          <w:szCs w:val="15"/>
          <w:color w:val="auto"/>
        </w:rPr>
        <w:t>the costs involved in preparing, filing, prosecuting, maintaining and enforcing patent claims and other patent-related costs.</w:t>
      </w:r>
    </w:p>
    <w:p>
      <w:pPr>
        <w:spacing w:after="0" w:line="184" w:lineRule="exact"/>
        <w:rPr>
          <w:sz w:val="20"/>
          <w:szCs w:val="20"/>
          <w:color w:val="auto"/>
        </w:rPr>
      </w:pPr>
    </w:p>
    <w:p>
      <w:pPr>
        <w:ind w:left="300" w:right="1119"/>
        <w:spacing w:after="0" w:line="280" w:lineRule="auto"/>
        <w:rPr>
          <w:sz w:val="20"/>
          <w:szCs w:val="20"/>
          <w:color w:val="auto"/>
        </w:rPr>
      </w:pPr>
      <w:r>
        <w:rPr>
          <w:rFonts w:ascii="Arial" w:cs="Arial" w:eastAsia="Arial" w:hAnsi="Arial"/>
          <w:sz w:val="15"/>
          <w:szCs w:val="15"/>
          <w:color w:val="auto"/>
        </w:rPr>
        <w:t>We believe that our current cash, cash equivalents and investments will be sufficient to meet our anticipated cash needs for working capital and capital expenditures at least through fiscal 2013. If existing resources are insufficient to satisfy our liquidity requirements or if we acquire or license rights to additional product technologies, we may seek to sell additional equity or debt securities or obtain a credit facility. The sale of additional equity or convertible securities could result in dilution to our stockholders. If additional funds are raised through the issuance of debt securities, these securities could have rights senior to those associated with our common stock and could contain covenants that would restrict our operations. Financing may not be available in amounts or on terms acceptable to us. If we are unable to obtain required financing, we may be required to reduce the scope of our planned product development and marketing efforts, which could harm our financial condition and operating results.</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Off-Balance Sheet Arrangements</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Since inception, we have not engaged in any off-balance sheet financing activities.</w:t>
      </w:r>
    </w:p>
    <w:p>
      <w:pPr>
        <w:spacing w:after="0" w:line="200" w:lineRule="exact"/>
        <w:rPr>
          <w:sz w:val="20"/>
          <w:szCs w:val="20"/>
          <w:color w:val="auto"/>
        </w:rPr>
      </w:pPr>
    </w:p>
    <w:p>
      <w:pPr>
        <w:spacing w:after="0" w:line="340"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263765"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0219"/>
          </w:cols>
          <w:pgMar w:left="240" w:top="394" w:right="1440" w:bottom="1440" w:gutter="0" w:footer="0" w:header="0"/>
        </w:sectPr>
      </w:pPr>
    </w:p>
    <w:bookmarkStart w:id="29" w:name="page30"/>
    <w:bookmarkEnd w:id="2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82"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 xml:space="preserve">Item 3. </w:t>
      </w:r>
      <w:r>
        <w:rPr>
          <w:rFonts w:ascii="Arial" w:cs="Arial" w:eastAsia="Arial" w:hAnsi="Arial"/>
          <w:sz w:val="16"/>
          <w:szCs w:val="16"/>
          <w:b w:val="1"/>
          <w:bCs w:val="1"/>
          <w:i w:val="1"/>
          <w:iCs w:val="1"/>
          <w:color w:val="auto"/>
        </w:rPr>
        <w:t>QUANTITATIVE AND QUALITATIVE DISCLOSURES ABOUT MARKET RISK</w:t>
      </w:r>
    </w:p>
    <w:p>
      <w:pPr>
        <w:spacing w:after="0" w:line="188" w:lineRule="exact"/>
        <w:rPr>
          <w:sz w:val="20"/>
          <w:szCs w:val="20"/>
          <w:color w:val="auto"/>
        </w:rPr>
      </w:pPr>
    </w:p>
    <w:p>
      <w:pPr>
        <w:ind w:left="300" w:right="1199"/>
        <w:spacing w:after="0" w:line="283" w:lineRule="auto"/>
        <w:rPr>
          <w:sz w:val="20"/>
          <w:szCs w:val="20"/>
          <w:color w:val="auto"/>
        </w:rPr>
      </w:pPr>
      <w:r>
        <w:rPr>
          <w:rFonts w:ascii="Arial" w:cs="Arial" w:eastAsia="Arial" w:hAnsi="Arial"/>
          <w:sz w:val="15"/>
          <w:szCs w:val="15"/>
          <w:color w:val="auto"/>
        </w:rPr>
        <w:t>We generally place our investments in money market funds, Treasury notes, Treasury bills and certificates of deposit with maturities of less than one year. We actively manage our portfolio of cash equivalents and marketable securities, but in order to ensure liquidity, we will only invest in instruments with high credit quality where a secondary market exists. We have not held and do not hold any derivatives related to our interest rate exposure. Due to the average maturity and conservative nature of our investment portfolio, a change in interest rates would not have a material effect on the value of the portfolio. We do not have market risk exposure on our long-term debt because it consists of an interest-free loan from the New Jersey Board of Public Utilities.</w:t>
      </w:r>
    </w:p>
    <w:p>
      <w:pPr>
        <w:spacing w:after="0" w:line="118" w:lineRule="exact"/>
        <w:rPr>
          <w:sz w:val="20"/>
          <w:szCs w:val="20"/>
          <w:color w:val="auto"/>
        </w:rPr>
      </w:pPr>
    </w:p>
    <w:p>
      <w:pPr>
        <w:ind w:left="300" w:right="1119"/>
        <w:spacing w:after="0" w:line="264" w:lineRule="auto"/>
        <w:rPr>
          <w:sz w:val="20"/>
          <w:szCs w:val="20"/>
          <w:color w:val="auto"/>
        </w:rPr>
      </w:pPr>
      <w:r>
        <w:rPr>
          <w:rFonts w:ascii="Arial" w:cs="Arial" w:eastAsia="Arial" w:hAnsi="Arial"/>
          <w:sz w:val="16"/>
          <w:szCs w:val="16"/>
          <w:color w:val="auto"/>
        </w:rPr>
        <w:t>We estimate that if the average yield on our cash, cash equivalents and marketable securities had decreased by 100 basis points, during the six months ended October 31, 2011, our interest income for the period would have decreased by approximately $0.1 million. This estimate assumes that the decrease occurred on the first day of the fiscal period and reduced the yield of each investment by 100 basis points. The impact on our future interest income of future changes in investment yields will depend largely on the gross amount of our cash, cash equivalents and marketable securities.</w:t>
      </w:r>
    </w:p>
    <w:p>
      <w:pPr>
        <w:spacing w:after="0" w:line="130" w:lineRule="exact"/>
        <w:rPr>
          <w:sz w:val="20"/>
          <w:szCs w:val="20"/>
          <w:color w:val="auto"/>
        </w:rPr>
      </w:pPr>
    </w:p>
    <w:p>
      <w:pPr>
        <w:ind w:left="300" w:right="1119"/>
        <w:spacing w:after="0" w:line="264" w:lineRule="auto"/>
        <w:rPr>
          <w:sz w:val="20"/>
          <w:szCs w:val="20"/>
          <w:color w:val="auto"/>
        </w:rPr>
      </w:pPr>
      <w:r>
        <w:rPr>
          <w:rFonts w:ascii="Arial" w:cs="Arial" w:eastAsia="Arial" w:hAnsi="Arial"/>
          <w:sz w:val="16"/>
          <w:szCs w:val="16"/>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w:t>
      </w:r>
    </w:p>
    <w:p>
      <w:pPr>
        <w:spacing w:after="0" w:line="142" w:lineRule="exact"/>
        <w:rPr>
          <w:sz w:val="20"/>
          <w:szCs w:val="20"/>
          <w:color w:val="auto"/>
        </w:rPr>
      </w:pPr>
    </w:p>
    <w:p>
      <w:pPr>
        <w:ind w:left="300" w:right="1139"/>
        <w:spacing w:after="0" w:line="262" w:lineRule="auto"/>
        <w:rPr>
          <w:sz w:val="20"/>
          <w:szCs w:val="20"/>
          <w:color w:val="auto"/>
        </w:rPr>
      </w:pPr>
      <w:r>
        <w:rPr>
          <w:rFonts w:ascii="Arial" w:cs="Arial" w:eastAsia="Arial" w:hAnsi="Arial"/>
          <w:sz w:val="16"/>
          <w:szCs w:val="16"/>
          <w:color w:val="auto"/>
        </w:rPr>
        <w:t>We maintain cash accounts that are denominated in British pounds sterling, Euros and Australian dollars. These foreign-denominated cash accounts had a balance of $4.1 million as of October 31, 2011 compared to our total cash, cash equivalents, marketable securities and restricted cash account balances of $39.9 million as of October 31, 2011. These foreign currency balances are translated at each month end to our functional currency, the US dollar, and any resulting gain or loss is recognized in our results of operations. If foreign currency exchange rates had fluctuated by 10% as of October 31, 2011, the impact on our foreign exchange gains and losses would have been $0.4 million.</w:t>
      </w:r>
    </w:p>
    <w:p>
      <w:pPr>
        <w:spacing w:after="0" w:line="133" w:lineRule="exact"/>
        <w:rPr>
          <w:sz w:val="20"/>
          <w:szCs w:val="20"/>
          <w:color w:val="auto"/>
        </w:rPr>
      </w:pPr>
    </w:p>
    <w:p>
      <w:pPr>
        <w:ind w:left="300" w:right="1239"/>
        <w:spacing w:after="0" w:line="262" w:lineRule="auto"/>
        <w:rPr>
          <w:sz w:val="20"/>
          <w:szCs w:val="20"/>
          <w:color w:val="auto"/>
        </w:rPr>
      </w:pPr>
      <w:r>
        <w:rPr>
          <w:rFonts w:ascii="Arial" w:cs="Arial" w:eastAsia="Arial" w:hAnsi="Arial"/>
          <w:sz w:val="16"/>
          <w:szCs w:val="16"/>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 All of our international revenues for the six months ended October 31, 2011 were recorded in Euros, British pounds sterling or Australian dollars.</w:t>
      </w:r>
    </w:p>
    <w:p>
      <w:pPr>
        <w:spacing w:after="0" w:line="133" w:lineRule="exact"/>
        <w:rPr>
          <w:sz w:val="20"/>
          <w:szCs w:val="20"/>
          <w:color w:val="auto"/>
        </w:rPr>
      </w:pPr>
    </w:p>
    <w:p>
      <w:pPr>
        <w:ind w:left="300" w:right="1139"/>
        <w:spacing w:after="0" w:line="264" w:lineRule="auto"/>
        <w:rPr>
          <w:sz w:val="20"/>
          <w:szCs w:val="20"/>
          <w:color w:val="auto"/>
        </w:rPr>
      </w:pPr>
      <w:r>
        <w:rPr>
          <w:rFonts w:ascii="Arial" w:cs="Arial" w:eastAsia="Arial" w:hAnsi="Arial"/>
          <w:sz w:val="16"/>
          <w:szCs w:val="16"/>
          <w:color w:val="auto"/>
        </w:rPr>
        <w:t>We currently do not hedge exchange rate exposure. However, we assess the anticipated foreign currency working capital requirements and capital asset acquisitions of our foreign operations and attempt to maintain a portion of our cash, cash equivalents and certificates of deposit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42" w:lineRule="exact"/>
        <w:rPr>
          <w:sz w:val="20"/>
          <w:szCs w:val="20"/>
          <w:color w:val="auto"/>
        </w:rPr>
      </w:pPr>
    </w:p>
    <w:p>
      <w:pPr>
        <w:ind w:left="300" w:right="1159"/>
        <w:spacing w:after="0" w:line="266" w:lineRule="auto"/>
        <w:rPr>
          <w:sz w:val="20"/>
          <w:szCs w:val="20"/>
          <w:color w:val="auto"/>
        </w:rPr>
      </w:pPr>
      <w:r>
        <w:rPr>
          <w:rFonts w:ascii="Arial" w:cs="Arial" w:eastAsia="Arial" w:hAnsi="Arial"/>
          <w:sz w:val="16"/>
          <w:szCs w:val="16"/>
          <w:color w:val="auto"/>
        </w:rPr>
        <w:t>We have limited potential exposure to fluctuations in prices of commodities used in the production of our buoys, such as steel. Currently, we believe our exposure is minimal since we contract for the components of our buoys on a project-by-project basis and do not yet produce in large unit volumes. We do not use long-term supply agreements nor do we use derivative instruments to hedge any potential exposure.</w:t>
      </w:r>
    </w:p>
    <w:p>
      <w:pPr>
        <w:spacing w:after="0" w:line="200" w:lineRule="exact"/>
        <w:rPr>
          <w:sz w:val="20"/>
          <w:szCs w:val="20"/>
          <w:color w:val="auto"/>
        </w:rPr>
      </w:pPr>
    </w:p>
    <w:p>
      <w:pPr>
        <w:spacing w:after="0" w:line="286"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263765"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0219"/>
          </w:cols>
          <w:pgMar w:left="240" w:top="394" w:right="1440"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82"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b w:val="1"/>
          <w:bCs w:val="1"/>
          <w:i w:val="1"/>
          <w:iCs w:val="1"/>
          <w:color w:val="auto"/>
        </w:rPr>
        <w:t>CONTROLS AND PROCEDURES</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172" w:lineRule="exact"/>
        <w:rPr>
          <w:sz w:val="20"/>
          <w:szCs w:val="20"/>
          <w:color w:val="auto"/>
        </w:rPr>
      </w:pPr>
    </w:p>
    <w:p>
      <w:pPr>
        <w:ind w:left="300" w:right="1199"/>
        <w:spacing w:after="0" w:line="283" w:lineRule="auto"/>
        <w:rPr>
          <w:sz w:val="20"/>
          <w:szCs w:val="20"/>
          <w:color w:val="auto"/>
        </w:rPr>
      </w:pPr>
      <w:r>
        <w:rPr>
          <w:rFonts w:ascii="Arial" w:cs="Arial" w:eastAsia="Arial" w:hAnsi="Arial"/>
          <w:sz w:val="15"/>
          <w:szCs w:val="15"/>
          <w:color w:val="auto"/>
        </w:rPr>
        <w:t>Disclosure controls and procedures are our controls and other procedures that are designed to ensure that information required to be disclosed by us in the reports that we file or submit under the Securities Exchange Act of 1934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18" w:lineRule="exact"/>
        <w:rPr>
          <w:sz w:val="20"/>
          <w:szCs w:val="20"/>
          <w:color w:val="auto"/>
        </w:rPr>
      </w:pPr>
    </w:p>
    <w:p>
      <w:pPr>
        <w:ind w:left="300" w:right="1119"/>
        <w:spacing w:after="0" w:line="289" w:lineRule="auto"/>
        <w:rPr>
          <w:sz w:val="20"/>
          <w:szCs w:val="20"/>
          <w:color w:val="auto"/>
        </w:rPr>
      </w:pPr>
      <w:r>
        <w:rPr>
          <w:rFonts w:ascii="Arial" w:cs="Arial" w:eastAsia="Arial" w:hAnsi="Arial"/>
          <w:sz w:val="15"/>
          <w:szCs w:val="15"/>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pursuant to Exchange Act Rule 13a-15(b). Based upon that evaluation, as of October 31, 2011, our Chief Executive Officer and Chief Financial Officer concluded that our disclosure controls and procedures were effective.</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172" w:lineRule="exact"/>
        <w:rPr>
          <w:sz w:val="20"/>
          <w:szCs w:val="20"/>
          <w:color w:val="auto"/>
        </w:rPr>
      </w:pPr>
    </w:p>
    <w:p>
      <w:pPr>
        <w:ind w:left="300" w:right="1199"/>
        <w:spacing w:after="0" w:line="271"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October 31, 2011 that has materially affected, or is reasonably likely to materially affect, our internal control over financial reporting.</w:t>
      </w:r>
    </w:p>
    <w:p>
      <w:pPr>
        <w:spacing w:after="0" w:line="122" w:lineRule="exact"/>
        <w:rPr>
          <w:sz w:val="20"/>
          <w:szCs w:val="20"/>
          <w:color w:val="auto"/>
        </w:rPr>
      </w:pPr>
    </w:p>
    <w:p>
      <w:pPr>
        <w:ind w:left="3380"/>
        <w:spacing w:after="0"/>
        <w:rPr>
          <w:sz w:val="20"/>
          <w:szCs w:val="20"/>
          <w:color w:val="auto"/>
        </w:rPr>
      </w:pPr>
      <w:r>
        <w:rPr>
          <w:rFonts w:ascii="Arial" w:cs="Arial" w:eastAsia="Arial" w:hAnsi="Arial"/>
          <w:sz w:val="16"/>
          <w:szCs w:val="16"/>
          <w:b w:val="1"/>
          <w:bCs w:val="1"/>
          <w:color w:val="auto"/>
        </w:rPr>
        <w:t>PART II — OTHER INFORMATION</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 xml:space="preserve">Item 1. </w:t>
      </w:r>
      <w:r>
        <w:rPr>
          <w:rFonts w:ascii="Arial" w:cs="Arial" w:eastAsia="Arial" w:hAnsi="Arial"/>
          <w:sz w:val="16"/>
          <w:szCs w:val="16"/>
          <w:b w:val="1"/>
          <w:bCs w:val="1"/>
          <w:i w:val="1"/>
          <w:iCs w:val="1"/>
          <w:color w:val="auto"/>
        </w:rPr>
        <w:t>LEGAL PROCEEDINGS</w:t>
      </w:r>
    </w:p>
    <w:p>
      <w:pPr>
        <w:spacing w:after="0" w:line="176" w:lineRule="exact"/>
        <w:rPr>
          <w:sz w:val="20"/>
          <w:szCs w:val="20"/>
          <w:color w:val="auto"/>
        </w:rPr>
      </w:pPr>
    </w:p>
    <w:p>
      <w:pPr>
        <w:ind w:left="300" w:right="1399"/>
        <w:spacing w:after="0" w:line="271" w:lineRule="auto"/>
        <w:rPr>
          <w:sz w:val="20"/>
          <w:szCs w:val="20"/>
          <w:color w:val="auto"/>
        </w:rPr>
      </w:pPr>
      <w:r>
        <w:rPr>
          <w:rFonts w:ascii="Arial" w:cs="Arial" w:eastAsia="Arial" w:hAnsi="Arial"/>
          <w:sz w:val="16"/>
          <w:szCs w:val="16"/>
          <w:color w:val="auto"/>
        </w:rPr>
        <w:t>We are subject to legal proceedings, claims and litigation arising in the ordinary course of business. While the outcome of these matters is currently not determinable, we do not expect that the ultimate costs to resolve these matters will have a material adverse effect on our financial position, results of operations or cash flows.</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 xml:space="preserve">Item 1A. </w:t>
      </w:r>
      <w:r>
        <w:rPr>
          <w:rFonts w:ascii="Arial" w:cs="Arial" w:eastAsia="Arial" w:hAnsi="Arial"/>
          <w:sz w:val="16"/>
          <w:szCs w:val="16"/>
          <w:b w:val="1"/>
          <w:bCs w:val="1"/>
          <w:i w:val="1"/>
          <w:iCs w:val="1"/>
          <w:color w:val="auto"/>
        </w:rPr>
        <w:t>RISK FACTORS</w:t>
      </w:r>
    </w:p>
    <w:p>
      <w:pPr>
        <w:spacing w:after="0" w:line="188" w:lineRule="exact"/>
        <w:rPr>
          <w:sz w:val="20"/>
          <w:szCs w:val="20"/>
          <w:color w:val="auto"/>
        </w:rPr>
      </w:pPr>
    </w:p>
    <w:p>
      <w:pPr>
        <w:ind w:left="300" w:right="1119"/>
        <w:spacing w:after="0" w:line="285" w:lineRule="auto"/>
        <w:rPr>
          <w:sz w:val="20"/>
          <w:szCs w:val="20"/>
          <w:color w:val="auto"/>
        </w:rPr>
      </w:pPr>
      <w:r>
        <w:rPr>
          <w:rFonts w:ascii="Arial" w:cs="Arial" w:eastAsia="Arial" w:hAnsi="Arial"/>
          <w:sz w:val="15"/>
          <w:szCs w:val="15"/>
          <w:color w:val="auto"/>
        </w:rPr>
        <w:t>The discussion of our business and operations should be read together with the risk factors contained in Item 1A of our Annual Report on Form 10-K for the year ended April 30, 2011.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There have been no material changes in our risk factors from those disclosed in our Annual Report on Form 10-K filed with the SEC on July 14, 2011.</w:t>
      </w:r>
    </w:p>
    <w:p>
      <w:pPr>
        <w:spacing w:after="0" w:line="200" w:lineRule="exact"/>
        <w:rPr>
          <w:sz w:val="20"/>
          <w:szCs w:val="20"/>
          <w:color w:val="auto"/>
        </w:rPr>
      </w:pPr>
    </w:p>
    <w:p>
      <w:pPr>
        <w:spacing w:after="0" w:line="274"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263765"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0219"/>
          </w:cols>
          <w:pgMar w:left="240" w:top="394" w:right="1440" w:bottom="1440" w:gutter="0" w:footer="0" w:header="0"/>
        </w:sectPr>
      </w:pPr>
    </w:p>
    <w:bookmarkStart w:id="31" w:name="page32"/>
    <w:bookmarkEnd w:id="3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82"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b w:val="1"/>
          <w:bCs w:val="1"/>
          <w:i w:val="1"/>
          <w:iCs w:val="1"/>
          <w:color w:val="auto"/>
        </w:rPr>
        <w:t>UNREGISTERED SALES OF EQUITY SECURITIES AND USE OF PROCEEDS</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 details the Company’s share repurchases during the quarter:</w:t>
      </w:r>
    </w:p>
    <w:p>
      <w:pPr>
        <w:spacing w:after="0" w:line="205" w:lineRule="exact"/>
        <w:rPr>
          <w:sz w:val="20"/>
          <w:szCs w:val="20"/>
          <w:color w:val="auto"/>
        </w:rPr>
      </w:pPr>
    </w:p>
    <w:tbl>
      <w:tblPr>
        <w:tblLayout w:type="fixed"/>
        <w:tblInd w:w="300" w:type="dxa"/>
        <w:tblCellMar>
          <w:top w:w="0" w:type="dxa"/>
          <w:left w:w="0" w:type="dxa"/>
          <w:bottom w:w="0" w:type="dxa"/>
          <w:right w:w="0" w:type="dxa"/>
        </w:tblCellMar>
      </w:tblPr>
      <w:tr>
        <w:trPr>
          <w:trHeight w:val="196"/>
        </w:trPr>
        <w:tc>
          <w:tcPr>
            <w:tcW w:w="3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4"/>
              </w:rPr>
              <w:t>Approximate</w:t>
            </w:r>
          </w:p>
        </w:tc>
      </w:tr>
      <w:tr>
        <w:trPr>
          <w:trHeight w:val="196"/>
        </w:trPr>
        <w:tc>
          <w:tcPr>
            <w:tcW w:w="3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Total Number of</w:t>
            </w:r>
          </w:p>
        </w:tc>
        <w:tc>
          <w:tcPr>
            <w:tcW w:w="13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5"/>
              </w:rPr>
              <w:t>Dollar Value that</w:t>
            </w:r>
          </w:p>
        </w:tc>
      </w:tr>
      <w:tr>
        <w:trPr>
          <w:trHeight w:val="196"/>
        </w:trPr>
        <w:tc>
          <w:tcPr>
            <w:tcW w:w="3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Total Number</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Average</w:t>
            </w:r>
          </w:p>
        </w:tc>
        <w:tc>
          <w:tcPr>
            <w:tcW w:w="170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w w:val="98"/>
              </w:rPr>
              <w:t>Shares Purchased</w:t>
            </w: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May Yet Be</w:t>
            </w:r>
          </w:p>
        </w:tc>
      </w:tr>
      <w:tr>
        <w:trPr>
          <w:trHeight w:val="196"/>
        </w:trPr>
        <w:tc>
          <w:tcPr>
            <w:tcW w:w="3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of Shares</w:t>
            </w:r>
          </w:p>
        </w:tc>
        <w:tc>
          <w:tcPr>
            <w:tcW w:w="160" w:type="dxa"/>
            <w:vAlign w:val="bottom"/>
          </w:tcPr>
          <w:p>
            <w:pPr>
              <w:spacing w:after="0"/>
              <w:rPr>
                <w:sz w:val="17"/>
                <w:szCs w:val="17"/>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2"/>
              </w:rPr>
              <w:t>Price Paid</w:t>
            </w:r>
          </w:p>
        </w:tc>
        <w:tc>
          <w:tcPr>
            <w:tcW w:w="160" w:type="dxa"/>
            <w:vAlign w:val="bottom"/>
          </w:tcPr>
          <w:p>
            <w:pPr>
              <w:spacing w:after="0"/>
              <w:rPr>
                <w:sz w:val="17"/>
                <w:szCs w:val="17"/>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as Part of A</w:t>
            </w: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Purchased Under</w:t>
            </w:r>
          </w:p>
        </w:tc>
      </w:tr>
      <w:tr>
        <w:trPr>
          <w:trHeight w:val="212"/>
        </w:trPr>
        <w:tc>
          <w:tcPr>
            <w:tcW w:w="3300" w:type="dxa"/>
            <w:vAlign w:val="bottom"/>
          </w:tcPr>
          <w:p>
            <w:pPr>
              <w:spacing w:after="0"/>
              <w:rPr>
                <w:sz w:val="20"/>
                <w:szCs w:val="20"/>
                <w:color w:val="auto"/>
              </w:rPr>
            </w:pPr>
            <w:r>
              <w:rPr>
                <w:rFonts w:ascii="Arial" w:cs="Arial" w:eastAsia="Arial" w:hAnsi="Arial"/>
                <w:sz w:val="16"/>
                <w:szCs w:val="16"/>
                <w:b w:val="1"/>
                <w:bCs w:val="1"/>
                <w:color w:val="auto"/>
              </w:rPr>
              <w:t>Period</w:t>
            </w:r>
          </w:p>
        </w:tc>
        <w:tc>
          <w:tcPr>
            <w:tcW w:w="22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Purchased (1)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per Share</w:t>
            </w:r>
          </w:p>
        </w:tc>
        <w:tc>
          <w:tcPr>
            <w:tcW w:w="16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Announced Plan</w:t>
            </w: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the Plan</w:t>
            </w:r>
          </w:p>
        </w:tc>
      </w:tr>
      <w:tr>
        <w:trPr>
          <w:trHeight w:val="189"/>
        </w:trPr>
        <w:tc>
          <w:tcPr>
            <w:tcW w:w="33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August 1–31, 2011</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1,530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5.74</w:t>
            </w:r>
          </w:p>
        </w:tc>
        <w:tc>
          <w:tcPr>
            <w:tcW w:w="1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r>
      <w:tr>
        <w:trPr>
          <w:trHeight w:val="196"/>
        </w:trPr>
        <w:tc>
          <w:tcPr>
            <w:tcW w:w="3300" w:type="dxa"/>
            <w:vAlign w:val="bottom"/>
          </w:tcPr>
          <w:p>
            <w:pPr>
              <w:spacing w:after="0"/>
              <w:rPr>
                <w:sz w:val="20"/>
                <w:szCs w:val="20"/>
                <w:color w:val="auto"/>
              </w:rPr>
            </w:pPr>
            <w:r>
              <w:rPr>
                <w:rFonts w:ascii="Arial" w:cs="Arial" w:eastAsia="Arial" w:hAnsi="Arial"/>
                <w:sz w:val="16"/>
                <w:szCs w:val="16"/>
                <w:color w:val="auto"/>
              </w:rPr>
              <w:t>September 1–30, 2011</w:t>
            </w:r>
          </w:p>
        </w:tc>
        <w:tc>
          <w:tcPr>
            <w:tcW w:w="1360" w:type="dxa"/>
            <w:vAlign w:val="bottom"/>
            <w:gridSpan w:val="3"/>
          </w:tcPr>
          <w:p>
            <w:pPr>
              <w:jc w:val="right"/>
              <w:ind w:right="140"/>
              <w:spacing w:after="0"/>
              <w:rPr>
                <w:sz w:val="20"/>
                <w:szCs w:val="20"/>
                <w:color w:val="auto"/>
              </w:rPr>
            </w:pPr>
            <w:r>
              <w:rPr>
                <w:rFonts w:ascii="Arial" w:cs="Arial" w:eastAsia="Arial" w:hAnsi="Arial"/>
                <w:sz w:val="16"/>
                <w:szCs w:val="16"/>
                <w:color w:val="auto"/>
              </w:rPr>
              <w:t>1,560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4.45</w:t>
            </w:r>
          </w:p>
        </w:tc>
        <w:tc>
          <w:tcPr>
            <w:tcW w:w="160" w:type="dxa"/>
            <w:vAlign w:val="bottom"/>
          </w:tcPr>
          <w:p>
            <w:pPr>
              <w:spacing w:after="0"/>
              <w:rPr>
                <w:sz w:val="17"/>
                <w:szCs w:val="17"/>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1060"/>
              <w:spacing w:after="0"/>
              <w:rPr>
                <w:sz w:val="20"/>
                <w:szCs w:val="20"/>
                <w:color w:val="auto"/>
              </w:rPr>
            </w:pPr>
            <w:r>
              <w:rPr>
                <w:rFonts w:ascii="Arial" w:cs="Arial" w:eastAsia="Arial" w:hAnsi="Arial"/>
                <w:sz w:val="16"/>
                <w:szCs w:val="16"/>
                <w:color w:val="auto"/>
              </w:rPr>
              <w:t>—</w:t>
            </w:r>
          </w:p>
        </w:tc>
      </w:tr>
      <w:tr>
        <w:trPr>
          <w:trHeight w:val="196"/>
        </w:trPr>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October 1–31, 2011</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r>
    </w:tbl>
    <w:p>
      <w:pPr>
        <w:spacing w:after="0" w:line="98" w:lineRule="exact"/>
        <w:rPr>
          <w:sz w:val="20"/>
          <w:szCs w:val="20"/>
          <w:color w:val="auto"/>
        </w:rPr>
      </w:pPr>
    </w:p>
    <w:p>
      <w:pPr>
        <w:ind w:left="640" w:hanging="347"/>
        <w:spacing w:after="0"/>
        <w:tabs>
          <w:tab w:leader="none" w:pos="640" w:val="left"/>
        </w:tabs>
        <w:numPr>
          <w:ilvl w:val="0"/>
          <w:numId w:val="8"/>
        </w:numPr>
        <w:rPr>
          <w:rFonts w:ascii="Arial" w:cs="Arial" w:eastAsia="Arial" w:hAnsi="Arial"/>
          <w:sz w:val="15"/>
          <w:szCs w:val="15"/>
          <w:color w:val="auto"/>
        </w:rPr>
      </w:pPr>
      <w:r>
        <w:rPr>
          <w:rFonts w:ascii="Arial" w:cs="Arial" w:eastAsia="Arial" w:hAnsi="Arial"/>
          <w:sz w:val="15"/>
          <w:szCs w:val="15"/>
          <w:color w:val="auto"/>
        </w:rPr>
        <w:t>Represents shares delivered back to the Company by employees to pay taxes related to the vesting of restricted shares.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 xml:space="preserve">Item 3. </w:t>
      </w:r>
      <w:r>
        <w:rPr>
          <w:rFonts w:ascii="Arial" w:cs="Arial" w:eastAsia="Arial" w:hAnsi="Arial"/>
          <w:sz w:val="16"/>
          <w:szCs w:val="16"/>
          <w:b w:val="1"/>
          <w:bCs w:val="1"/>
          <w:i w:val="1"/>
          <w:iCs w:val="1"/>
          <w:color w:val="auto"/>
        </w:rPr>
        <w:t>DEFAULTS UPON SENIOR SECURITIES</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None.</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 xml:space="preserve">Item 5. </w:t>
      </w:r>
      <w:r>
        <w:rPr>
          <w:rFonts w:ascii="Arial" w:cs="Arial" w:eastAsia="Arial" w:hAnsi="Arial"/>
          <w:sz w:val="16"/>
          <w:szCs w:val="16"/>
          <w:b w:val="1"/>
          <w:bCs w:val="1"/>
          <w:i w:val="1"/>
          <w:iCs w:val="1"/>
          <w:color w:val="auto"/>
        </w:rPr>
        <w:t>OTHER INFORMATION</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340"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263765"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0219"/>
          </w:cols>
          <w:pgMar w:left="240" w:top="394"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84"/>
        </w:trPr>
        <w:tc>
          <w:tcPr>
            <w:tcW w:w="1640" w:type="dxa"/>
            <w:vAlign w:val="bottom"/>
            <w:gridSpan w:val="2"/>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Table of Contents</w:t>
              </w:r>
            </w:hyperlink>
          </w:p>
        </w:tc>
        <w:tc>
          <w:tcPr>
            <w:tcW w:w="6580" w:type="dxa"/>
            <w:vAlign w:val="bottom"/>
          </w:tcPr>
          <w:p>
            <w:pPr>
              <w:spacing w:after="0"/>
              <w:rPr>
                <w:sz w:val="16"/>
                <w:szCs w:val="16"/>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r>
      <w:tr>
        <w:trPr>
          <w:trHeight w:val="482"/>
        </w:trPr>
        <w:tc>
          <w:tcPr>
            <w:tcW w:w="1640" w:type="dxa"/>
            <w:vAlign w:val="bottom"/>
            <w:gridSpan w:val="2"/>
          </w:tcPr>
          <w:p>
            <w:pPr>
              <w:ind w:left="300"/>
              <w:spacing w:after="0"/>
              <w:rPr>
                <w:sz w:val="20"/>
                <w:szCs w:val="20"/>
                <w:color w:val="auto"/>
              </w:rPr>
            </w:pPr>
            <w:r>
              <w:rPr>
                <w:rFonts w:ascii="Arial" w:cs="Arial" w:eastAsia="Arial" w:hAnsi="Arial"/>
                <w:sz w:val="16"/>
                <w:szCs w:val="16"/>
                <w:b w:val="1"/>
                <w:bCs w:val="1"/>
                <w:color w:val="auto"/>
              </w:rPr>
              <w:t xml:space="preserve">Item 6. </w:t>
            </w:r>
            <w:r>
              <w:rPr>
                <w:rFonts w:ascii="Arial" w:cs="Arial" w:eastAsia="Arial" w:hAnsi="Arial"/>
                <w:sz w:val="16"/>
                <w:szCs w:val="16"/>
                <w:b w:val="1"/>
                <w:bCs w:val="1"/>
                <w:i w:val="1"/>
                <w:iCs w:val="1"/>
                <w:color w:val="auto"/>
              </w:rPr>
              <w:t>EXHIBITS</w:t>
            </w:r>
          </w:p>
        </w:tc>
        <w:tc>
          <w:tcPr>
            <w:tcW w:w="6580" w:type="dxa"/>
            <w:vAlign w:val="bottom"/>
          </w:tcPr>
          <w:p>
            <w:pPr>
              <w:spacing w:after="0"/>
              <w:rPr>
                <w:sz w:val="24"/>
                <w:szCs w:val="24"/>
                <w:color w:val="auto"/>
              </w:rPr>
            </w:pPr>
          </w:p>
        </w:tc>
      </w:tr>
      <w:tr>
        <w:trPr>
          <w:trHeight w:val="393"/>
        </w:trPr>
        <w:tc>
          <w:tcPr>
            <w:tcW w:w="1220" w:type="dxa"/>
            <w:vAlign w:val="bottom"/>
          </w:tcPr>
          <w:p>
            <w:pPr>
              <w:jc w:val="right"/>
              <w:ind w:right="138"/>
              <w:spacing w:after="0"/>
              <w:rPr>
                <w:sz w:val="20"/>
                <w:szCs w:val="20"/>
                <w:color w:val="auto"/>
              </w:rPr>
            </w:pPr>
            <w:r>
              <w:rPr>
                <w:rFonts w:ascii="Arial" w:cs="Arial" w:eastAsia="Arial" w:hAnsi="Arial"/>
                <w:sz w:val="16"/>
                <w:szCs w:val="16"/>
                <w:color w:val="auto"/>
              </w:rPr>
              <w:t>31.1</w:t>
            </w:r>
          </w:p>
        </w:tc>
        <w:tc>
          <w:tcPr>
            <w:tcW w:w="420" w:type="dxa"/>
            <w:vAlign w:val="bottom"/>
          </w:tcPr>
          <w:p>
            <w:pPr>
              <w:spacing w:after="0"/>
              <w:rPr>
                <w:sz w:val="24"/>
                <w:szCs w:val="24"/>
                <w:color w:val="auto"/>
              </w:rPr>
            </w:pPr>
          </w:p>
        </w:tc>
        <w:tc>
          <w:tcPr>
            <w:tcW w:w="6580" w:type="dxa"/>
            <w:vAlign w:val="bottom"/>
          </w:tcPr>
          <w:p>
            <w:pPr>
              <w:ind w:left="60"/>
              <w:spacing w:after="0"/>
              <w:rPr>
                <w:sz w:val="20"/>
                <w:szCs w:val="20"/>
                <w:color w:val="auto"/>
              </w:rPr>
            </w:pPr>
            <w:r>
              <w:rPr>
                <w:rFonts w:ascii="Arial" w:cs="Arial" w:eastAsia="Arial" w:hAnsi="Arial"/>
                <w:sz w:val="16"/>
                <w:szCs w:val="16"/>
                <w:color w:val="auto"/>
                <w:w w:val="93"/>
              </w:rPr>
              <w:t>Certification of Chief Executive Officer pursuant to Section 302 of the Sarbanes-Oxley Act of 2002</w:t>
            </w:r>
          </w:p>
        </w:tc>
      </w:tr>
      <w:tr>
        <w:trPr>
          <w:trHeight w:val="393"/>
        </w:trPr>
        <w:tc>
          <w:tcPr>
            <w:tcW w:w="1220" w:type="dxa"/>
            <w:vAlign w:val="bottom"/>
          </w:tcPr>
          <w:p>
            <w:pPr>
              <w:jc w:val="right"/>
              <w:ind w:right="138"/>
              <w:spacing w:after="0"/>
              <w:rPr>
                <w:sz w:val="20"/>
                <w:szCs w:val="20"/>
                <w:color w:val="auto"/>
              </w:rPr>
            </w:pPr>
            <w:r>
              <w:rPr>
                <w:rFonts w:ascii="Arial" w:cs="Arial" w:eastAsia="Arial" w:hAnsi="Arial"/>
                <w:sz w:val="16"/>
                <w:szCs w:val="16"/>
                <w:color w:val="auto"/>
              </w:rPr>
              <w:t>31.2</w:t>
            </w:r>
          </w:p>
        </w:tc>
        <w:tc>
          <w:tcPr>
            <w:tcW w:w="420" w:type="dxa"/>
            <w:vAlign w:val="bottom"/>
          </w:tcPr>
          <w:p>
            <w:pPr>
              <w:spacing w:after="0"/>
              <w:rPr>
                <w:sz w:val="24"/>
                <w:szCs w:val="24"/>
                <w:color w:val="auto"/>
              </w:rPr>
            </w:pPr>
          </w:p>
        </w:tc>
        <w:tc>
          <w:tcPr>
            <w:tcW w:w="6580" w:type="dxa"/>
            <w:vAlign w:val="bottom"/>
          </w:tcPr>
          <w:p>
            <w:pPr>
              <w:ind w:left="60"/>
              <w:spacing w:after="0"/>
              <w:rPr>
                <w:sz w:val="20"/>
                <w:szCs w:val="20"/>
                <w:color w:val="auto"/>
              </w:rPr>
            </w:pPr>
            <w:r>
              <w:rPr>
                <w:rFonts w:ascii="Arial" w:cs="Arial" w:eastAsia="Arial" w:hAnsi="Arial"/>
                <w:sz w:val="16"/>
                <w:szCs w:val="16"/>
                <w:color w:val="auto"/>
                <w:w w:val="94"/>
              </w:rPr>
              <w:t>Certification of Chief Financial Officer pursuant to Section 302 of the Sarbanes-Oxley Act of 2002</w:t>
            </w:r>
          </w:p>
        </w:tc>
      </w:tr>
      <w:tr>
        <w:trPr>
          <w:trHeight w:val="393"/>
        </w:trPr>
        <w:tc>
          <w:tcPr>
            <w:tcW w:w="1220" w:type="dxa"/>
            <w:vAlign w:val="bottom"/>
          </w:tcPr>
          <w:p>
            <w:pPr>
              <w:jc w:val="right"/>
              <w:ind w:right="138"/>
              <w:spacing w:after="0"/>
              <w:rPr>
                <w:sz w:val="20"/>
                <w:szCs w:val="20"/>
                <w:color w:val="auto"/>
              </w:rPr>
            </w:pPr>
            <w:r>
              <w:rPr>
                <w:rFonts w:ascii="Arial" w:cs="Arial" w:eastAsia="Arial" w:hAnsi="Arial"/>
                <w:sz w:val="16"/>
                <w:szCs w:val="16"/>
                <w:color w:val="auto"/>
              </w:rPr>
              <w:t>32.1</w:t>
            </w:r>
          </w:p>
        </w:tc>
        <w:tc>
          <w:tcPr>
            <w:tcW w:w="420" w:type="dxa"/>
            <w:vAlign w:val="bottom"/>
          </w:tcPr>
          <w:p>
            <w:pPr>
              <w:spacing w:after="0"/>
              <w:rPr>
                <w:sz w:val="24"/>
                <w:szCs w:val="24"/>
                <w:color w:val="auto"/>
              </w:rPr>
            </w:pPr>
          </w:p>
        </w:tc>
        <w:tc>
          <w:tcPr>
            <w:tcW w:w="6580" w:type="dxa"/>
            <w:vAlign w:val="bottom"/>
          </w:tcPr>
          <w:p>
            <w:pPr>
              <w:ind w:left="60"/>
              <w:spacing w:after="0"/>
              <w:rPr>
                <w:sz w:val="20"/>
                <w:szCs w:val="20"/>
                <w:color w:val="auto"/>
              </w:rPr>
            </w:pPr>
            <w:r>
              <w:rPr>
                <w:rFonts w:ascii="Arial" w:cs="Arial" w:eastAsia="Arial" w:hAnsi="Arial"/>
                <w:sz w:val="16"/>
                <w:szCs w:val="16"/>
                <w:color w:val="auto"/>
                <w:w w:val="93"/>
              </w:rPr>
              <w:t>Certification of Chief Executive Officer pursuant to Section 906 of the Sarbanes-Oxley Act of 2002</w:t>
            </w:r>
          </w:p>
        </w:tc>
      </w:tr>
      <w:tr>
        <w:trPr>
          <w:trHeight w:val="393"/>
        </w:trPr>
        <w:tc>
          <w:tcPr>
            <w:tcW w:w="1220" w:type="dxa"/>
            <w:vAlign w:val="bottom"/>
          </w:tcPr>
          <w:p>
            <w:pPr>
              <w:jc w:val="right"/>
              <w:ind w:right="138"/>
              <w:spacing w:after="0"/>
              <w:rPr>
                <w:sz w:val="20"/>
                <w:szCs w:val="20"/>
                <w:color w:val="auto"/>
              </w:rPr>
            </w:pPr>
            <w:r>
              <w:rPr>
                <w:rFonts w:ascii="Arial" w:cs="Arial" w:eastAsia="Arial" w:hAnsi="Arial"/>
                <w:sz w:val="16"/>
                <w:szCs w:val="16"/>
                <w:color w:val="auto"/>
              </w:rPr>
              <w:t>32.2</w:t>
            </w:r>
          </w:p>
        </w:tc>
        <w:tc>
          <w:tcPr>
            <w:tcW w:w="420" w:type="dxa"/>
            <w:vAlign w:val="bottom"/>
          </w:tcPr>
          <w:p>
            <w:pPr>
              <w:spacing w:after="0"/>
              <w:rPr>
                <w:sz w:val="24"/>
                <w:szCs w:val="24"/>
                <w:color w:val="auto"/>
              </w:rPr>
            </w:pPr>
          </w:p>
        </w:tc>
        <w:tc>
          <w:tcPr>
            <w:tcW w:w="6580" w:type="dxa"/>
            <w:vAlign w:val="bottom"/>
          </w:tcPr>
          <w:p>
            <w:pPr>
              <w:ind w:left="60"/>
              <w:spacing w:after="0"/>
              <w:rPr>
                <w:sz w:val="20"/>
                <w:szCs w:val="20"/>
                <w:color w:val="auto"/>
              </w:rPr>
            </w:pPr>
            <w:r>
              <w:rPr>
                <w:rFonts w:ascii="Arial" w:cs="Arial" w:eastAsia="Arial" w:hAnsi="Arial"/>
                <w:sz w:val="16"/>
                <w:szCs w:val="16"/>
                <w:color w:val="auto"/>
                <w:w w:val="94"/>
              </w:rPr>
              <w:t>Certification of Chief Financial Officer pursuant to Section 906 of the Sarbanes-Oxley Act of 2002</w:t>
            </w:r>
          </w:p>
        </w:tc>
      </w:tr>
    </w:tbl>
    <w:p>
      <w:pPr>
        <w:spacing w:after="0" w:line="185" w:lineRule="exact"/>
        <w:rPr>
          <w:sz w:val="20"/>
          <w:szCs w:val="20"/>
          <w:color w:val="auto"/>
        </w:rPr>
      </w:pPr>
    </w:p>
    <w:p>
      <w:pPr>
        <w:ind w:left="1700" w:right="1299" w:hanging="940"/>
        <w:spacing w:after="0" w:line="297" w:lineRule="auto"/>
        <w:tabs>
          <w:tab w:leader="none" w:pos="1700" w:val="left"/>
        </w:tabs>
        <w:numPr>
          <w:ilvl w:val="1"/>
          <w:numId w:val="9"/>
        </w:numPr>
        <w:rPr>
          <w:rFonts w:ascii="Arial" w:cs="Arial" w:eastAsia="Arial" w:hAnsi="Arial"/>
          <w:sz w:val="14"/>
          <w:szCs w:val="14"/>
          <w:color w:val="auto"/>
        </w:rPr>
      </w:pPr>
      <w:r>
        <w:rPr>
          <w:rFonts w:ascii="Arial" w:cs="Arial" w:eastAsia="Arial" w:hAnsi="Arial"/>
          <w:sz w:val="14"/>
          <w:szCs w:val="14"/>
          <w:color w:val="auto"/>
        </w:rPr>
        <w:t>The following materials formatted in eXtensible Business Reporting Language (XBRL) from Ocean Power Technologies, Inc Quarterly Report on Form 10-Q for the quarter ended October 31, 2011, filed December 12, 2011: (i) Consolidated Balance Sheets — October 31, 2011 (unaudited) and April 30, 2011, (ii) Consolidated Statements of Operations (unaudited) — Three and Six Months Ended October 31, 2011 and 2010,</w:t>
      </w:r>
    </w:p>
    <w:p>
      <w:pPr>
        <w:ind w:left="1980" w:hanging="287"/>
        <w:spacing w:after="0"/>
        <w:tabs>
          <w:tab w:leader="none" w:pos="1980" w:val="left"/>
        </w:tabs>
        <w:numPr>
          <w:ilvl w:val="2"/>
          <w:numId w:val="9"/>
        </w:numPr>
        <w:rPr>
          <w:rFonts w:ascii="Arial" w:cs="Arial" w:eastAsia="Arial" w:hAnsi="Arial"/>
          <w:sz w:val="15"/>
          <w:szCs w:val="15"/>
          <w:color w:val="auto"/>
        </w:rPr>
      </w:pPr>
      <w:r>
        <w:rPr>
          <w:rFonts w:ascii="Arial" w:cs="Arial" w:eastAsia="Arial" w:hAnsi="Arial"/>
          <w:sz w:val="15"/>
          <w:szCs w:val="15"/>
          <w:color w:val="auto"/>
        </w:rPr>
        <w:t>Consolidated Statements of Cash Flows (unaudited) — Six Months Ended October 31, 2011 and 2010,</w:t>
      </w:r>
    </w:p>
    <w:p>
      <w:pPr>
        <w:spacing w:after="0" w:line="23" w:lineRule="exact"/>
        <w:rPr>
          <w:rFonts w:ascii="Arial" w:cs="Arial" w:eastAsia="Arial" w:hAnsi="Arial"/>
          <w:sz w:val="15"/>
          <w:szCs w:val="15"/>
          <w:color w:val="auto"/>
        </w:rPr>
      </w:pPr>
    </w:p>
    <w:p>
      <w:pPr>
        <w:ind w:left="1700" w:right="1519" w:hanging="7"/>
        <w:spacing w:after="0" w:line="272" w:lineRule="auto"/>
        <w:tabs>
          <w:tab w:leader="none" w:pos="1977" w:val="left"/>
        </w:tabs>
        <w:numPr>
          <w:ilvl w:val="2"/>
          <w:numId w:val="9"/>
        </w:numPr>
        <w:rPr>
          <w:rFonts w:ascii="Arial" w:cs="Arial" w:eastAsia="Arial" w:hAnsi="Arial"/>
          <w:sz w:val="16"/>
          <w:szCs w:val="16"/>
          <w:color w:val="auto"/>
        </w:rPr>
      </w:pPr>
      <w:r>
        <w:rPr>
          <w:rFonts w:ascii="Arial" w:cs="Arial" w:eastAsia="Arial" w:hAnsi="Arial"/>
          <w:sz w:val="16"/>
          <w:szCs w:val="16"/>
          <w:color w:val="auto"/>
        </w:rPr>
        <w:t>Consolidated Statements of Stockholders’ Equity and Comprehensive Loss (unaudited) — Six Months Ended October 31, 2011 and 2010 and (v) Notes to Consolidated Financial Statements.*</w:t>
      </w:r>
    </w:p>
    <w:p>
      <w:pPr>
        <w:spacing w:after="0" w:line="75" w:lineRule="exact"/>
        <w:rPr>
          <w:rFonts w:ascii="Arial" w:cs="Arial" w:eastAsia="Arial" w:hAnsi="Arial"/>
          <w:sz w:val="16"/>
          <w:szCs w:val="16"/>
          <w:color w:val="auto"/>
        </w:rPr>
      </w:pPr>
    </w:p>
    <w:p>
      <w:pPr>
        <w:ind w:left="640" w:right="1499" w:hanging="356"/>
        <w:spacing w:after="0" w:line="327" w:lineRule="auto"/>
        <w:rPr>
          <w:rFonts w:ascii="Arial" w:cs="Arial" w:eastAsia="Arial" w:hAnsi="Arial"/>
          <w:sz w:val="16"/>
          <w:szCs w:val="16"/>
          <w:color w:val="auto"/>
        </w:rPr>
      </w:pPr>
      <w:r>
        <w:rPr>
          <w:rFonts w:ascii="Arial" w:cs="Arial" w:eastAsia="Arial" w:hAnsi="Arial"/>
          <w:sz w:val="14"/>
          <w:szCs w:val="14"/>
          <w:color w:val="auto"/>
        </w:rPr>
        <w:t>* 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200" w:lineRule="exact"/>
        <w:rPr>
          <w:sz w:val="20"/>
          <w:szCs w:val="20"/>
          <w:color w:val="auto"/>
        </w:rPr>
      </w:pPr>
    </w:p>
    <w:p>
      <w:pPr>
        <w:spacing w:after="0" w:line="25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263765"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0219"/>
          </w:cols>
          <w:pgMar w:left="240" w:top="385" w:right="1440"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82" w:lineRule="exact"/>
        <w:rPr>
          <w:sz w:val="20"/>
          <w:szCs w:val="20"/>
          <w:color w:val="auto"/>
        </w:rPr>
      </w:pPr>
    </w:p>
    <w:p>
      <w:pPr>
        <w:ind w:left="4180"/>
        <w:spacing w:after="0"/>
        <w:rPr>
          <w:sz w:val="20"/>
          <w:szCs w:val="20"/>
          <w:color w:val="auto"/>
        </w:rPr>
      </w:pPr>
      <w:r>
        <w:rPr>
          <w:rFonts w:ascii="Arial" w:cs="Arial" w:eastAsia="Arial" w:hAnsi="Arial"/>
          <w:sz w:val="16"/>
          <w:szCs w:val="16"/>
          <w:b w:val="1"/>
          <w:bCs w:val="1"/>
          <w:color w:val="auto"/>
        </w:rPr>
        <w:t>SIGNATURES</w:t>
      </w:r>
    </w:p>
    <w:p>
      <w:pPr>
        <w:spacing w:after="0" w:line="188" w:lineRule="exact"/>
        <w:rPr>
          <w:sz w:val="20"/>
          <w:szCs w:val="20"/>
          <w:color w:val="auto"/>
        </w:rPr>
      </w:pPr>
    </w:p>
    <w:p>
      <w:pPr>
        <w:ind w:left="300" w:right="1479"/>
        <w:spacing w:after="0" w:line="28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49" w:lineRule="exact"/>
        <w:rPr>
          <w:sz w:val="20"/>
          <w:szCs w:val="20"/>
          <w:color w:val="auto"/>
        </w:rPr>
      </w:pPr>
    </w:p>
    <w:p>
      <w:pPr>
        <w:ind w:left="300"/>
        <w:spacing w:after="0"/>
        <w:tabs>
          <w:tab w:leader="none" w:pos="6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15875</wp:posOffset>
            </wp:positionV>
            <wp:extent cx="265112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51125" cy="7620"/>
                    </a:xfrm>
                    <a:prstGeom prst="rect">
                      <a:avLst/>
                    </a:prstGeom>
                    <a:noFill/>
                  </pic:spPr>
                </pic:pic>
              </a:graphicData>
            </a:graphic>
          </wp:anchor>
        </w:drawing>
      </w:r>
    </w:p>
    <w:p>
      <w:pPr>
        <w:spacing w:after="0" w:line="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Charles F. Dunleavy</w:t>
      </w:r>
    </w:p>
    <w:p>
      <w:pPr>
        <w:spacing w:after="0" w:line="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Chief Executive Officer</w:t>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(Principal Executive Officer)</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Date: December 12, 2011</w:t>
      </w:r>
    </w:p>
    <w:p>
      <w:pPr>
        <w:spacing w:after="0" w:line="209" w:lineRule="exact"/>
        <w:rPr>
          <w:sz w:val="20"/>
          <w:szCs w:val="20"/>
          <w:color w:val="auto"/>
        </w:rPr>
      </w:pPr>
    </w:p>
    <w:p>
      <w:pPr>
        <w:ind w:left="300"/>
        <w:spacing w:after="0"/>
        <w:tabs>
          <w:tab w:leader="none" w:pos="6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15875</wp:posOffset>
            </wp:positionV>
            <wp:extent cx="265112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51125" cy="7620"/>
                    </a:xfrm>
                    <a:prstGeom prst="rect">
                      <a:avLst/>
                    </a:prstGeom>
                    <a:noFill/>
                  </pic:spPr>
                </pic:pic>
              </a:graphicData>
            </a:graphic>
          </wp:anchor>
        </w:drawing>
      </w:r>
    </w:p>
    <w:p>
      <w:pPr>
        <w:spacing w:after="0" w:line="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Brian M. Posner</w:t>
      </w:r>
    </w:p>
    <w:p>
      <w:pPr>
        <w:spacing w:after="0" w:line="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Chief Financial Officer</w:t>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(Principal Financial Officer)</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Date: December 12, 2011</w:t>
      </w:r>
    </w:p>
    <w:p>
      <w:pPr>
        <w:spacing w:after="0" w:line="200" w:lineRule="exact"/>
        <w:rPr>
          <w:sz w:val="20"/>
          <w:szCs w:val="20"/>
          <w:color w:val="auto"/>
        </w:rPr>
      </w:pPr>
    </w:p>
    <w:p>
      <w:pPr>
        <w:spacing w:after="0" w:line="340"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263765"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0219"/>
          </w:cols>
          <w:pgMar w:left="240" w:top="394"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84"/>
        </w:trPr>
        <w:tc>
          <w:tcPr>
            <w:tcW w:w="1220" w:type="dxa"/>
            <w:vAlign w:val="bottom"/>
            <w:tcBorders>
              <w:bottom w:val="single" w:sz="8" w:color="0000EE"/>
            </w:tcBorders>
          </w:tcPr>
          <w:p>
            <w:pPr>
              <w:jc w:val="right"/>
              <w:spacing w:after="0"/>
              <w:rPr>
                <w:rFonts w:ascii="Arial" w:cs="Arial" w:eastAsia="Arial" w:hAnsi="Arial"/>
                <w:sz w:val="16"/>
                <w:szCs w:val="16"/>
                <w:b w:val="1"/>
                <w:bCs w:val="1"/>
                <w:color w:val="0000EE"/>
                <w:w w:val="88"/>
              </w:rPr>
            </w:pPr>
            <w:hyperlink w:anchor="page3">
              <w:r>
                <w:rPr>
                  <w:rFonts w:ascii="Arial" w:cs="Arial" w:eastAsia="Arial" w:hAnsi="Arial"/>
                  <w:sz w:val="16"/>
                  <w:szCs w:val="16"/>
                  <w:b w:val="1"/>
                  <w:bCs w:val="1"/>
                  <w:color w:val="0000EE"/>
                  <w:w w:val="88"/>
                </w:rPr>
                <w:t>Table of Contents</w:t>
              </w:r>
            </w:hyperlink>
          </w:p>
        </w:tc>
        <w:tc>
          <w:tcPr>
            <w:tcW w:w="7000" w:type="dxa"/>
            <w:vAlign w:val="bottom"/>
          </w:tcPr>
          <w:p>
            <w:pPr>
              <w:spacing w:after="0"/>
              <w:rPr>
                <w:sz w:val="16"/>
                <w:szCs w:val="16"/>
                <w:color w:val="auto"/>
              </w:rPr>
            </w:pPr>
          </w:p>
        </w:tc>
      </w:tr>
      <w:tr>
        <w:trPr>
          <w:trHeight w:val="482"/>
        </w:trPr>
        <w:tc>
          <w:tcPr>
            <w:tcW w:w="1220" w:type="dxa"/>
            <w:vAlign w:val="bottom"/>
          </w:tcPr>
          <w:p>
            <w:pPr>
              <w:spacing w:after="0"/>
              <w:rPr>
                <w:sz w:val="24"/>
                <w:szCs w:val="24"/>
                <w:color w:val="auto"/>
              </w:rPr>
            </w:pPr>
          </w:p>
        </w:tc>
        <w:tc>
          <w:tcPr>
            <w:tcW w:w="7000" w:type="dxa"/>
            <w:vAlign w:val="bottom"/>
          </w:tcPr>
          <w:p>
            <w:pPr>
              <w:ind w:left="2820"/>
              <w:spacing w:after="0"/>
              <w:rPr>
                <w:sz w:val="20"/>
                <w:szCs w:val="20"/>
                <w:color w:val="auto"/>
              </w:rPr>
            </w:pPr>
            <w:r>
              <w:rPr>
                <w:rFonts w:ascii="Arial" w:cs="Arial" w:eastAsia="Arial" w:hAnsi="Arial"/>
                <w:sz w:val="16"/>
                <w:szCs w:val="16"/>
                <w:b w:val="1"/>
                <w:bCs w:val="1"/>
                <w:color w:val="auto"/>
              </w:rPr>
              <w:t>EXHIBITS INDEX</w:t>
            </w:r>
          </w:p>
        </w:tc>
      </w:tr>
      <w:tr>
        <w:trPr>
          <w:trHeight w:val="393"/>
        </w:trPr>
        <w:tc>
          <w:tcPr>
            <w:tcW w:w="1220" w:type="dxa"/>
            <w:vAlign w:val="bottom"/>
          </w:tcPr>
          <w:p>
            <w:pPr>
              <w:jc w:val="right"/>
              <w:ind w:right="138"/>
              <w:spacing w:after="0"/>
              <w:rPr>
                <w:sz w:val="20"/>
                <w:szCs w:val="20"/>
                <w:color w:val="auto"/>
              </w:rPr>
            </w:pPr>
            <w:r>
              <w:rPr>
                <w:rFonts w:ascii="Arial" w:cs="Arial" w:eastAsia="Arial" w:hAnsi="Arial"/>
                <w:sz w:val="16"/>
                <w:szCs w:val="16"/>
                <w:color w:val="auto"/>
              </w:rPr>
              <w:t>31.1</w:t>
            </w:r>
          </w:p>
        </w:tc>
        <w:tc>
          <w:tcPr>
            <w:tcW w:w="7000" w:type="dxa"/>
            <w:vAlign w:val="bottom"/>
          </w:tcPr>
          <w:p>
            <w:pPr>
              <w:ind w:left="480"/>
              <w:spacing w:after="0"/>
              <w:rPr>
                <w:sz w:val="20"/>
                <w:szCs w:val="20"/>
                <w:color w:val="auto"/>
              </w:rPr>
            </w:pPr>
            <w:r>
              <w:rPr>
                <w:rFonts w:ascii="Arial" w:cs="Arial" w:eastAsia="Arial" w:hAnsi="Arial"/>
                <w:sz w:val="16"/>
                <w:szCs w:val="16"/>
                <w:color w:val="auto"/>
                <w:w w:val="93"/>
              </w:rPr>
              <w:t>Certification of Chief Executive Officer pursuant to Section 302 of the Sarbanes-Oxley Act of 2002</w:t>
            </w:r>
          </w:p>
        </w:tc>
      </w:tr>
      <w:tr>
        <w:trPr>
          <w:trHeight w:val="393"/>
        </w:trPr>
        <w:tc>
          <w:tcPr>
            <w:tcW w:w="1220" w:type="dxa"/>
            <w:vAlign w:val="bottom"/>
          </w:tcPr>
          <w:p>
            <w:pPr>
              <w:jc w:val="right"/>
              <w:ind w:right="138"/>
              <w:spacing w:after="0"/>
              <w:rPr>
                <w:sz w:val="20"/>
                <w:szCs w:val="20"/>
                <w:color w:val="auto"/>
              </w:rPr>
            </w:pPr>
            <w:r>
              <w:rPr>
                <w:rFonts w:ascii="Arial" w:cs="Arial" w:eastAsia="Arial" w:hAnsi="Arial"/>
                <w:sz w:val="16"/>
                <w:szCs w:val="16"/>
                <w:color w:val="auto"/>
              </w:rPr>
              <w:t>31.2</w:t>
            </w:r>
          </w:p>
        </w:tc>
        <w:tc>
          <w:tcPr>
            <w:tcW w:w="7000" w:type="dxa"/>
            <w:vAlign w:val="bottom"/>
          </w:tcPr>
          <w:p>
            <w:pPr>
              <w:ind w:left="480"/>
              <w:spacing w:after="0"/>
              <w:rPr>
                <w:sz w:val="20"/>
                <w:szCs w:val="20"/>
                <w:color w:val="auto"/>
              </w:rPr>
            </w:pPr>
            <w:r>
              <w:rPr>
                <w:rFonts w:ascii="Arial" w:cs="Arial" w:eastAsia="Arial" w:hAnsi="Arial"/>
                <w:sz w:val="16"/>
                <w:szCs w:val="16"/>
                <w:color w:val="auto"/>
                <w:w w:val="94"/>
              </w:rPr>
              <w:t>Certification of Chief Financial Officer pursuant to Section 302 of the Sarbanes-Oxley Act of 2002</w:t>
            </w:r>
          </w:p>
        </w:tc>
      </w:tr>
      <w:tr>
        <w:trPr>
          <w:trHeight w:val="393"/>
        </w:trPr>
        <w:tc>
          <w:tcPr>
            <w:tcW w:w="1220" w:type="dxa"/>
            <w:vAlign w:val="bottom"/>
          </w:tcPr>
          <w:p>
            <w:pPr>
              <w:jc w:val="right"/>
              <w:ind w:right="138"/>
              <w:spacing w:after="0"/>
              <w:rPr>
                <w:sz w:val="20"/>
                <w:szCs w:val="20"/>
                <w:color w:val="auto"/>
              </w:rPr>
            </w:pPr>
            <w:r>
              <w:rPr>
                <w:rFonts w:ascii="Arial" w:cs="Arial" w:eastAsia="Arial" w:hAnsi="Arial"/>
                <w:sz w:val="16"/>
                <w:szCs w:val="16"/>
                <w:color w:val="auto"/>
              </w:rPr>
              <w:t>32.1</w:t>
            </w:r>
          </w:p>
        </w:tc>
        <w:tc>
          <w:tcPr>
            <w:tcW w:w="7000" w:type="dxa"/>
            <w:vAlign w:val="bottom"/>
          </w:tcPr>
          <w:p>
            <w:pPr>
              <w:ind w:left="480"/>
              <w:spacing w:after="0"/>
              <w:rPr>
                <w:sz w:val="20"/>
                <w:szCs w:val="20"/>
                <w:color w:val="auto"/>
              </w:rPr>
            </w:pPr>
            <w:r>
              <w:rPr>
                <w:rFonts w:ascii="Arial" w:cs="Arial" w:eastAsia="Arial" w:hAnsi="Arial"/>
                <w:sz w:val="16"/>
                <w:szCs w:val="16"/>
                <w:color w:val="auto"/>
                <w:w w:val="93"/>
              </w:rPr>
              <w:t>Certification of Chief Executive Officer pursuant to Section 906 of the Sarbanes-Oxley Act of 2002</w:t>
            </w:r>
          </w:p>
        </w:tc>
      </w:tr>
      <w:tr>
        <w:trPr>
          <w:trHeight w:val="393"/>
        </w:trPr>
        <w:tc>
          <w:tcPr>
            <w:tcW w:w="1220" w:type="dxa"/>
            <w:vAlign w:val="bottom"/>
          </w:tcPr>
          <w:p>
            <w:pPr>
              <w:jc w:val="right"/>
              <w:ind w:right="138"/>
              <w:spacing w:after="0"/>
              <w:rPr>
                <w:sz w:val="20"/>
                <w:szCs w:val="20"/>
                <w:color w:val="auto"/>
              </w:rPr>
            </w:pPr>
            <w:r>
              <w:rPr>
                <w:rFonts w:ascii="Arial" w:cs="Arial" w:eastAsia="Arial" w:hAnsi="Arial"/>
                <w:sz w:val="16"/>
                <w:szCs w:val="16"/>
                <w:color w:val="auto"/>
              </w:rPr>
              <w:t>32.2</w:t>
            </w:r>
          </w:p>
        </w:tc>
        <w:tc>
          <w:tcPr>
            <w:tcW w:w="7000" w:type="dxa"/>
            <w:vAlign w:val="bottom"/>
          </w:tcPr>
          <w:p>
            <w:pPr>
              <w:ind w:left="480"/>
              <w:spacing w:after="0"/>
              <w:rPr>
                <w:sz w:val="20"/>
                <w:szCs w:val="20"/>
                <w:color w:val="auto"/>
              </w:rPr>
            </w:pPr>
            <w:r>
              <w:rPr>
                <w:rFonts w:ascii="Arial" w:cs="Arial" w:eastAsia="Arial" w:hAnsi="Arial"/>
                <w:sz w:val="16"/>
                <w:szCs w:val="16"/>
                <w:color w:val="auto"/>
                <w:w w:val="94"/>
              </w:rPr>
              <w:t>Certification of Chief Financial Officer pursuant to Section 906 of the Sarbanes-Oxley Act of 2002</w:t>
            </w:r>
          </w:p>
        </w:tc>
      </w:tr>
    </w:tbl>
    <w:p>
      <w:pPr>
        <w:spacing w:after="0" w:line="185" w:lineRule="exact"/>
        <w:rPr>
          <w:sz w:val="20"/>
          <w:szCs w:val="20"/>
          <w:color w:val="auto"/>
        </w:rPr>
      </w:pPr>
    </w:p>
    <w:p>
      <w:pPr>
        <w:ind w:left="1700" w:right="1299" w:hanging="940"/>
        <w:spacing w:after="0" w:line="297" w:lineRule="auto"/>
        <w:tabs>
          <w:tab w:leader="none" w:pos="1700" w:val="left"/>
        </w:tabs>
        <w:numPr>
          <w:ilvl w:val="1"/>
          <w:numId w:val="10"/>
        </w:numPr>
        <w:rPr>
          <w:rFonts w:ascii="Arial" w:cs="Arial" w:eastAsia="Arial" w:hAnsi="Arial"/>
          <w:sz w:val="14"/>
          <w:szCs w:val="14"/>
          <w:color w:val="auto"/>
        </w:rPr>
      </w:pPr>
      <w:r>
        <w:rPr>
          <w:rFonts w:ascii="Arial" w:cs="Arial" w:eastAsia="Arial" w:hAnsi="Arial"/>
          <w:sz w:val="14"/>
          <w:szCs w:val="14"/>
          <w:color w:val="auto"/>
        </w:rPr>
        <w:t>The following materials formatted in eXtensible Business Reporting Language (XBRL) from Ocean Power Technologies, Inc Quarterly Report on Form 10-Q for the quarter ended October 31, 2011, filed December 12, 2011: (i) Consolidated Balance Sheets — October 31, 2011 (unaudited) and April 30, 2011, (ii) Consolidated Statements of Operations (unaudited) — Three and Six Months Ended October 31, 2011 and 2010,</w:t>
      </w:r>
    </w:p>
    <w:p>
      <w:pPr>
        <w:ind w:left="1980" w:hanging="287"/>
        <w:spacing w:after="0"/>
        <w:tabs>
          <w:tab w:leader="none" w:pos="1980" w:val="left"/>
        </w:tabs>
        <w:numPr>
          <w:ilvl w:val="2"/>
          <w:numId w:val="10"/>
        </w:numPr>
        <w:rPr>
          <w:rFonts w:ascii="Arial" w:cs="Arial" w:eastAsia="Arial" w:hAnsi="Arial"/>
          <w:sz w:val="15"/>
          <w:szCs w:val="15"/>
          <w:color w:val="auto"/>
        </w:rPr>
      </w:pPr>
      <w:r>
        <w:rPr>
          <w:rFonts w:ascii="Arial" w:cs="Arial" w:eastAsia="Arial" w:hAnsi="Arial"/>
          <w:sz w:val="15"/>
          <w:szCs w:val="15"/>
          <w:color w:val="auto"/>
        </w:rPr>
        <w:t>Consolidated Statements of Cash Flows (unaudited) — Six Months Ended October 31, 2011 and 2010,</w:t>
      </w:r>
    </w:p>
    <w:p>
      <w:pPr>
        <w:spacing w:after="0" w:line="23" w:lineRule="exact"/>
        <w:rPr>
          <w:rFonts w:ascii="Arial" w:cs="Arial" w:eastAsia="Arial" w:hAnsi="Arial"/>
          <w:sz w:val="15"/>
          <w:szCs w:val="15"/>
          <w:color w:val="auto"/>
        </w:rPr>
      </w:pPr>
    </w:p>
    <w:p>
      <w:pPr>
        <w:ind w:left="1700" w:right="1519" w:hanging="7"/>
        <w:spacing w:after="0" w:line="272" w:lineRule="auto"/>
        <w:tabs>
          <w:tab w:leader="none" w:pos="1977" w:val="left"/>
        </w:tabs>
        <w:numPr>
          <w:ilvl w:val="2"/>
          <w:numId w:val="10"/>
        </w:numPr>
        <w:rPr>
          <w:rFonts w:ascii="Arial" w:cs="Arial" w:eastAsia="Arial" w:hAnsi="Arial"/>
          <w:sz w:val="16"/>
          <w:szCs w:val="16"/>
          <w:color w:val="auto"/>
        </w:rPr>
      </w:pPr>
      <w:r>
        <w:rPr>
          <w:rFonts w:ascii="Arial" w:cs="Arial" w:eastAsia="Arial" w:hAnsi="Arial"/>
          <w:sz w:val="16"/>
          <w:szCs w:val="16"/>
          <w:color w:val="auto"/>
        </w:rPr>
        <w:t>Consolidated Statements of Stockholders’ Equity and Comprehensive Loss (unaudited) — Six Months Ended October 31, 2011 and 2010 and (v) Notes to Consolidated Financial Statements.*</w:t>
      </w:r>
    </w:p>
    <w:p>
      <w:pPr>
        <w:spacing w:after="0" w:line="75" w:lineRule="exact"/>
        <w:rPr>
          <w:rFonts w:ascii="Arial" w:cs="Arial" w:eastAsia="Arial" w:hAnsi="Arial"/>
          <w:sz w:val="16"/>
          <w:szCs w:val="16"/>
          <w:color w:val="auto"/>
        </w:rPr>
      </w:pPr>
    </w:p>
    <w:p>
      <w:pPr>
        <w:ind w:left="640" w:right="1499" w:hanging="356"/>
        <w:spacing w:after="0" w:line="327" w:lineRule="auto"/>
        <w:rPr>
          <w:rFonts w:ascii="Arial" w:cs="Arial" w:eastAsia="Arial" w:hAnsi="Arial"/>
          <w:sz w:val="16"/>
          <w:szCs w:val="16"/>
          <w:color w:val="auto"/>
        </w:rPr>
      </w:pPr>
      <w:r>
        <w:rPr>
          <w:rFonts w:ascii="Arial" w:cs="Arial" w:eastAsia="Arial" w:hAnsi="Arial"/>
          <w:sz w:val="14"/>
          <w:szCs w:val="14"/>
          <w:color w:val="auto"/>
        </w:rPr>
        <w:t>* 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200" w:lineRule="exact"/>
        <w:rPr>
          <w:sz w:val="20"/>
          <w:szCs w:val="20"/>
          <w:color w:val="auto"/>
        </w:rPr>
      </w:pPr>
    </w:p>
    <w:p>
      <w:pPr>
        <w:spacing w:after="0" w:line="25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0219"/>
          </w:cols>
          <w:pgMar w:left="240" w:top="385" w:right="1440" w:bottom="1440" w:gutter="0" w:footer="0" w:header="0"/>
        </w:sectPr>
      </w:pPr>
    </w:p>
    <w:bookmarkStart w:id="35" w:name="page36"/>
    <w:bookmarkEnd w:id="35"/>
    <w:p>
      <w:pPr>
        <w:jc w:val="right"/>
        <w:ind w:right="1079"/>
        <w:spacing w:after="0"/>
        <w:rPr>
          <w:sz w:val="20"/>
          <w:szCs w:val="20"/>
          <w:color w:val="auto"/>
        </w:rPr>
      </w:pPr>
      <w:r>
        <w:rPr>
          <w:rFonts w:ascii="Arial" w:cs="Arial" w:eastAsia="Arial" w:hAnsi="Arial"/>
          <w:sz w:val="16"/>
          <w:szCs w:val="16"/>
          <w:b w:val="1"/>
          <w:bCs w:val="1"/>
          <w:color w:val="auto"/>
        </w:rPr>
        <w:t>Exhibit 31.1</w:t>
      </w:r>
    </w:p>
    <w:p>
      <w:pPr>
        <w:spacing w:after="0" w:line="172" w:lineRule="exact"/>
        <w:rPr>
          <w:sz w:val="20"/>
          <w:szCs w:val="20"/>
          <w:color w:val="auto"/>
        </w:rPr>
      </w:pPr>
    </w:p>
    <w:p>
      <w:pPr>
        <w:ind w:left="1527"/>
        <w:spacing w:after="0"/>
        <w:rPr>
          <w:sz w:val="20"/>
          <w:szCs w:val="20"/>
          <w:color w:val="auto"/>
        </w:rPr>
      </w:pPr>
      <w:r>
        <w:rPr>
          <w:rFonts w:ascii="Arial" w:cs="Arial" w:eastAsia="Arial" w:hAnsi="Arial"/>
          <w:sz w:val="16"/>
          <w:szCs w:val="16"/>
          <w:b w:val="1"/>
          <w:bCs w:val="1"/>
          <w:color w:val="auto"/>
        </w:rPr>
        <w:t>CERTIFICATION PURSUANT TO SECTION 302 OF SARBANES-OXLEY ACT</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color w:val="auto"/>
        </w:rPr>
        <w:t>I, Charles F. Dunleavy, certify that:</w:t>
      </w:r>
    </w:p>
    <w:p>
      <w:pPr>
        <w:spacing w:after="0" w:line="172" w:lineRule="exact"/>
        <w:rPr>
          <w:sz w:val="20"/>
          <w:szCs w:val="20"/>
          <w:color w:val="auto"/>
        </w:rPr>
      </w:pPr>
    </w:p>
    <w:p>
      <w:pPr>
        <w:ind w:left="347" w:hanging="347"/>
        <w:spacing w:after="0"/>
        <w:tabs>
          <w:tab w:leader="none" w:pos="347" w:val="left"/>
        </w:tabs>
        <w:numPr>
          <w:ilvl w:val="0"/>
          <w:numId w:val="1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Ocean Power Technologies, Inc.;</w:t>
      </w:r>
    </w:p>
    <w:p>
      <w:pPr>
        <w:spacing w:after="0" w:line="147" w:lineRule="exact"/>
        <w:rPr>
          <w:rFonts w:ascii="Arial" w:cs="Arial" w:eastAsia="Arial" w:hAnsi="Arial"/>
          <w:sz w:val="16"/>
          <w:szCs w:val="16"/>
          <w:color w:val="auto"/>
        </w:rPr>
      </w:pPr>
    </w:p>
    <w:p>
      <w:pPr>
        <w:ind w:left="347" w:right="1339" w:hanging="347"/>
        <w:spacing w:after="0" w:line="271" w:lineRule="auto"/>
        <w:tabs>
          <w:tab w:leader="none" w:pos="347"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1" w:lineRule="exact"/>
        <w:rPr>
          <w:rFonts w:ascii="Arial" w:cs="Arial" w:eastAsia="Arial" w:hAnsi="Arial"/>
          <w:sz w:val="16"/>
          <w:szCs w:val="16"/>
          <w:color w:val="auto"/>
        </w:rPr>
      </w:pPr>
    </w:p>
    <w:p>
      <w:pPr>
        <w:ind w:left="347" w:right="1099" w:hanging="347"/>
        <w:spacing w:after="0" w:line="271" w:lineRule="auto"/>
        <w:tabs>
          <w:tab w:leader="none" w:pos="347"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1" w:lineRule="exact"/>
        <w:rPr>
          <w:rFonts w:ascii="Arial" w:cs="Arial" w:eastAsia="Arial" w:hAnsi="Arial"/>
          <w:sz w:val="16"/>
          <w:szCs w:val="16"/>
          <w:color w:val="auto"/>
        </w:rPr>
      </w:pPr>
    </w:p>
    <w:p>
      <w:pPr>
        <w:ind w:left="347" w:right="1099" w:hanging="347"/>
        <w:spacing w:after="0" w:line="271" w:lineRule="auto"/>
        <w:tabs>
          <w:tab w:leader="none" w:pos="347"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1" w:lineRule="exact"/>
        <w:rPr>
          <w:sz w:val="20"/>
          <w:szCs w:val="20"/>
          <w:color w:val="auto"/>
        </w:rPr>
      </w:pPr>
    </w:p>
    <w:p>
      <w:pPr>
        <w:ind w:left="347" w:right="1219" w:hanging="347"/>
        <w:spacing w:after="0" w:line="297" w:lineRule="auto"/>
        <w:tabs>
          <w:tab w:leader="none" w:pos="347" w:val="left"/>
        </w:tabs>
        <w:numPr>
          <w:ilvl w:val="0"/>
          <w:numId w:val="12"/>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5"/>
          <w:szCs w:val="15"/>
          <w:color w:val="auto"/>
        </w:rPr>
      </w:pPr>
    </w:p>
    <w:p>
      <w:pPr>
        <w:ind w:left="347" w:right="1339" w:hanging="347"/>
        <w:spacing w:after="0" w:line="297" w:lineRule="auto"/>
        <w:tabs>
          <w:tab w:leader="none" w:pos="347" w:val="left"/>
        </w:tabs>
        <w:numPr>
          <w:ilvl w:val="0"/>
          <w:numId w:val="12"/>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4" w:lineRule="exact"/>
        <w:rPr>
          <w:rFonts w:ascii="Arial" w:cs="Arial" w:eastAsia="Arial" w:hAnsi="Arial"/>
          <w:sz w:val="15"/>
          <w:szCs w:val="15"/>
          <w:color w:val="auto"/>
        </w:rPr>
      </w:pPr>
    </w:p>
    <w:p>
      <w:pPr>
        <w:ind w:left="347" w:right="1139" w:hanging="347"/>
        <w:spacing w:after="0" w:line="271" w:lineRule="auto"/>
        <w:tabs>
          <w:tab w:leader="none" w:pos="347" w:val="left"/>
        </w:tabs>
        <w:numPr>
          <w:ilvl w:val="0"/>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rFonts w:ascii="Arial" w:cs="Arial" w:eastAsia="Arial" w:hAnsi="Arial"/>
          <w:sz w:val="16"/>
          <w:szCs w:val="16"/>
          <w:color w:val="auto"/>
        </w:rPr>
      </w:pPr>
    </w:p>
    <w:p>
      <w:pPr>
        <w:ind w:left="347" w:right="1099" w:hanging="347"/>
        <w:spacing w:after="0" w:line="297" w:lineRule="auto"/>
        <w:tabs>
          <w:tab w:leader="none" w:pos="347" w:val="left"/>
        </w:tabs>
        <w:numPr>
          <w:ilvl w:val="0"/>
          <w:numId w:val="12"/>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sz w:val="20"/>
          <w:szCs w:val="20"/>
          <w:color w:val="auto"/>
        </w:rPr>
      </w:pPr>
    </w:p>
    <w:p>
      <w:pPr>
        <w:ind w:left="347" w:right="1419" w:hanging="347"/>
        <w:spacing w:after="0" w:line="271" w:lineRule="auto"/>
        <w:tabs>
          <w:tab w:leader="none" w:pos="347"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01" w:lineRule="exact"/>
        <w:rPr>
          <w:sz w:val="20"/>
          <w:szCs w:val="20"/>
          <w:color w:val="auto"/>
        </w:rPr>
      </w:pPr>
    </w:p>
    <w:p>
      <w:pPr>
        <w:ind w:left="347" w:right="1199" w:hanging="347"/>
        <w:spacing w:after="0" w:line="271" w:lineRule="auto"/>
        <w:tabs>
          <w:tab w:leader="none" w:pos="347" w:val="left"/>
        </w:tabs>
        <w:numPr>
          <w:ilvl w:val="0"/>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1" w:lineRule="exact"/>
        <w:rPr>
          <w:rFonts w:ascii="Arial" w:cs="Arial" w:eastAsia="Arial" w:hAnsi="Arial"/>
          <w:sz w:val="16"/>
          <w:szCs w:val="16"/>
          <w:color w:val="auto"/>
        </w:rPr>
      </w:pPr>
    </w:p>
    <w:p>
      <w:pPr>
        <w:ind w:left="347" w:right="1219" w:hanging="347"/>
        <w:spacing w:after="0" w:line="287" w:lineRule="auto"/>
        <w:tabs>
          <w:tab w:leader="none" w:pos="347"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p>
      <w:pPr>
        <w:ind w:left="7"/>
        <w:spacing w:after="0"/>
        <w:rPr>
          <w:sz w:val="20"/>
          <w:szCs w:val="20"/>
          <w:color w:val="auto"/>
        </w:rPr>
      </w:pPr>
      <w:r>
        <w:rPr>
          <w:rFonts w:ascii="Arial" w:cs="Arial" w:eastAsia="Arial" w:hAnsi="Arial"/>
          <w:sz w:val="16"/>
          <w:szCs w:val="16"/>
          <w:color w:val="auto"/>
        </w:rPr>
        <w:t>/s/ 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224536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45360" cy="7620"/>
                    </a:xfrm>
                    <a:prstGeom prst="rect">
                      <a:avLst/>
                    </a:prstGeom>
                    <a:noFill/>
                  </pic:spPr>
                </pic:pic>
              </a:graphicData>
            </a:graphic>
          </wp:anchor>
        </w:drawing>
      </w:r>
    </w:p>
    <w:p>
      <w:pPr>
        <w:spacing w:after="0" w:line="17" w:lineRule="exact"/>
        <w:rPr>
          <w:sz w:val="20"/>
          <w:szCs w:val="20"/>
          <w:color w:val="auto"/>
        </w:rPr>
      </w:pPr>
    </w:p>
    <w:p>
      <w:pPr>
        <w:ind w:left="7"/>
        <w:spacing w:after="0"/>
        <w:rPr>
          <w:sz w:val="20"/>
          <w:szCs w:val="20"/>
          <w:color w:val="auto"/>
        </w:rPr>
      </w:pPr>
      <w:r>
        <w:rPr>
          <w:rFonts w:ascii="Arial" w:cs="Arial" w:eastAsia="Arial" w:hAnsi="Arial"/>
          <w:sz w:val="16"/>
          <w:szCs w:val="16"/>
          <w:color w:val="auto"/>
        </w:rPr>
        <w:t>Charles F. Dunleavy</w:t>
      </w:r>
    </w:p>
    <w:p>
      <w:pPr>
        <w:spacing w:after="0" w:line="24"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Chief Executive Officer</w:t>
      </w:r>
    </w:p>
    <w:p>
      <w:pPr>
        <w:spacing w:after="0" w:line="161" w:lineRule="exact"/>
        <w:rPr>
          <w:sz w:val="20"/>
          <w:szCs w:val="20"/>
          <w:color w:val="auto"/>
        </w:rPr>
      </w:pPr>
    </w:p>
    <w:p>
      <w:pPr>
        <w:ind w:left="7"/>
        <w:spacing w:after="0"/>
        <w:rPr>
          <w:sz w:val="20"/>
          <w:szCs w:val="20"/>
          <w:color w:val="auto"/>
        </w:rPr>
      </w:pPr>
      <w:r>
        <w:rPr>
          <w:rFonts w:ascii="Arial" w:cs="Arial" w:eastAsia="Arial" w:hAnsi="Arial"/>
          <w:sz w:val="16"/>
          <w:szCs w:val="16"/>
          <w:color w:val="auto"/>
        </w:rPr>
        <w:t>Date: December 12, 2011</w:t>
      </w:r>
    </w:p>
    <w:p>
      <w:pPr>
        <w:sectPr>
          <w:pgSz w:w="11900" w:h="16838" w:orient="portrait"/>
          <w:cols w:equalWidth="0" w:num="1">
            <w:col w:w="9926"/>
          </w:cols>
          <w:pgMar w:left="533" w:top="123" w:right="1440" w:bottom="1440" w:gutter="0" w:footer="0" w:header="0"/>
        </w:sectPr>
      </w:pPr>
    </w:p>
    <w:bookmarkStart w:id="36" w:name="page37"/>
    <w:bookmarkEnd w:id="36"/>
    <w:p>
      <w:pPr>
        <w:jc w:val="right"/>
        <w:ind w:right="1079"/>
        <w:spacing w:after="0"/>
        <w:rPr>
          <w:sz w:val="20"/>
          <w:szCs w:val="20"/>
          <w:color w:val="auto"/>
        </w:rPr>
      </w:pPr>
      <w:r>
        <w:rPr>
          <w:rFonts w:ascii="Arial" w:cs="Arial" w:eastAsia="Arial" w:hAnsi="Arial"/>
          <w:sz w:val="16"/>
          <w:szCs w:val="16"/>
          <w:b w:val="1"/>
          <w:bCs w:val="1"/>
          <w:color w:val="auto"/>
        </w:rPr>
        <w:t>Exhibit 31.2</w:t>
      </w:r>
    </w:p>
    <w:p>
      <w:pPr>
        <w:spacing w:after="0" w:line="172" w:lineRule="exact"/>
        <w:rPr>
          <w:sz w:val="20"/>
          <w:szCs w:val="20"/>
          <w:color w:val="auto"/>
        </w:rPr>
      </w:pPr>
    </w:p>
    <w:p>
      <w:pPr>
        <w:ind w:left="1527"/>
        <w:spacing w:after="0"/>
        <w:rPr>
          <w:sz w:val="20"/>
          <w:szCs w:val="20"/>
          <w:color w:val="auto"/>
        </w:rPr>
      </w:pPr>
      <w:r>
        <w:rPr>
          <w:rFonts w:ascii="Arial" w:cs="Arial" w:eastAsia="Arial" w:hAnsi="Arial"/>
          <w:sz w:val="16"/>
          <w:szCs w:val="16"/>
          <w:b w:val="1"/>
          <w:bCs w:val="1"/>
          <w:color w:val="auto"/>
        </w:rPr>
        <w:t>CERTIFICATION PURSUANT TO SECTION 302 OF SARBANES-OXLEY ACT</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color w:val="auto"/>
        </w:rPr>
        <w:t>I, Brian M. Posner, certify that:</w:t>
      </w:r>
    </w:p>
    <w:p>
      <w:pPr>
        <w:spacing w:after="0" w:line="172" w:lineRule="exact"/>
        <w:rPr>
          <w:sz w:val="20"/>
          <w:szCs w:val="20"/>
          <w:color w:val="auto"/>
        </w:rPr>
      </w:pPr>
    </w:p>
    <w:p>
      <w:pPr>
        <w:ind w:left="347" w:hanging="347"/>
        <w:spacing w:after="0"/>
        <w:tabs>
          <w:tab w:leader="none" w:pos="347" w:val="left"/>
        </w:tabs>
        <w:numPr>
          <w:ilvl w:val="0"/>
          <w:numId w:val="1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Ocean Power Technologies, Inc.;</w:t>
      </w:r>
    </w:p>
    <w:p>
      <w:pPr>
        <w:spacing w:after="0" w:line="147" w:lineRule="exact"/>
        <w:rPr>
          <w:rFonts w:ascii="Arial" w:cs="Arial" w:eastAsia="Arial" w:hAnsi="Arial"/>
          <w:sz w:val="16"/>
          <w:szCs w:val="16"/>
          <w:color w:val="auto"/>
        </w:rPr>
      </w:pPr>
    </w:p>
    <w:p>
      <w:pPr>
        <w:ind w:left="347" w:right="1339" w:hanging="347"/>
        <w:spacing w:after="0" w:line="271" w:lineRule="auto"/>
        <w:tabs>
          <w:tab w:leader="none" w:pos="347"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1" w:lineRule="exact"/>
        <w:rPr>
          <w:rFonts w:ascii="Arial" w:cs="Arial" w:eastAsia="Arial" w:hAnsi="Arial"/>
          <w:sz w:val="16"/>
          <w:szCs w:val="16"/>
          <w:color w:val="auto"/>
        </w:rPr>
      </w:pPr>
    </w:p>
    <w:p>
      <w:pPr>
        <w:ind w:left="347" w:right="1099" w:hanging="347"/>
        <w:spacing w:after="0" w:line="271" w:lineRule="auto"/>
        <w:tabs>
          <w:tab w:leader="none" w:pos="347"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1" w:lineRule="exact"/>
        <w:rPr>
          <w:rFonts w:ascii="Arial" w:cs="Arial" w:eastAsia="Arial" w:hAnsi="Arial"/>
          <w:sz w:val="16"/>
          <w:szCs w:val="16"/>
          <w:color w:val="auto"/>
        </w:rPr>
      </w:pPr>
    </w:p>
    <w:p>
      <w:pPr>
        <w:ind w:left="347" w:right="1099" w:hanging="347"/>
        <w:spacing w:after="0" w:line="271" w:lineRule="auto"/>
        <w:tabs>
          <w:tab w:leader="none" w:pos="347"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1" w:lineRule="exact"/>
        <w:rPr>
          <w:sz w:val="20"/>
          <w:szCs w:val="20"/>
          <w:color w:val="auto"/>
        </w:rPr>
      </w:pPr>
    </w:p>
    <w:p>
      <w:pPr>
        <w:ind w:left="347" w:right="1219" w:hanging="347"/>
        <w:spacing w:after="0" w:line="297" w:lineRule="auto"/>
        <w:tabs>
          <w:tab w:leader="none" w:pos="347" w:val="left"/>
        </w:tabs>
        <w:numPr>
          <w:ilvl w:val="0"/>
          <w:numId w:val="16"/>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5"/>
          <w:szCs w:val="15"/>
          <w:color w:val="auto"/>
        </w:rPr>
      </w:pPr>
    </w:p>
    <w:p>
      <w:pPr>
        <w:ind w:left="347" w:right="1339" w:hanging="347"/>
        <w:spacing w:after="0" w:line="297" w:lineRule="auto"/>
        <w:tabs>
          <w:tab w:leader="none" w:pos="347" w:val="left"/>
        </w:tabs>
        <w:numPr>
          <w:ilvl w:val="0"/>
          <w:numId w:val="16"/>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4" w:lineRule="exact"/>
        <w:rPr>
          <w:rFonts w:ascii="Arial" w:cs="Arial" w:eastAsia="Arial" w:hAnsi="Arial"/>
          <w:sz w:val="15"/>
          <w:szCs w:val="15"/>
          <w:color w:val="auto"/>
        </w:rPr>
      </w:pPr>
    </w:p>
    <w:p>
      <w:pPr>
        <w:ind w:left="347" w:right="1139" w:hanging="347"/>
        <w:spacing w:after="0" w:line="271" w:lineRule="auto"/>
        <w:tabs>
          <w:tab w:leader="none" w:pos="347" w:val="left"/>
        </w:tabs>
        <w:numPr>
          <w:ilvl w:val="0"/>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rFonts w:ascii="Arial" w:cs="Arial" w:eastAsia="Arial" w:hAnsi="Arial"/>
          <w:sz w:val="16"/>
          <w:szCs w:val="16"/>
          <w:color w:val="auto"/>
        </w:rPr>
      </w:pPr>
    </w:p>
    <w:p>
      <w:pPr>
        <w:ind w:left="347" w:right="1099" w:hanging="347"/>
        <w:spacing w:after="0" w:line="297" w:lineRule="auto"/>
        <w:tabs>
          <w:tab w:leader="none" w:pos="347" w:val="left"/>
        </w:tabs>
        <w:numPr>
          <w:ilvl w:val="0"/>
          <w:numId w:val="16"/>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sz w:val="20"/>
          <w:szCs w:val="20"/>
          <w:color w:val="auto"/>
        </w:rPr>
      </w:pPr>
    </w:p>
    <w:p>
      <w:pPr>
        <w:ind w:left="347" w:right="1419" w:hanging="347"/>
        <w:spacing w:after="0" w:line="271" w:lineRule="auto"/>
        <w:tabs>
          <w:tab w:leader="none" w:pos="347"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01" w:lineRule="exact"/>
        <w:rPr>
          <w:sz w:val="20"/>
          <w:szCs w:val="20"/>
          <w:color w:val="auto"/>
        </w:rPr>
      </w:pPr>
    </w:p>
    <w:p>
      <w:pPr>
        <w:ind w:left="347" w:right="1199" w:hanging="347"/>
        <w:spacing w:after="0" w:line="271" w:lineRule="auto"/>
        <w:tabs>
          <w:tab w:leader="none" w:pos="347" w:val="left"/>
        </w:tabs>
        <w:numPr>
          <w:ilvl w:val="0"/>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1" w:lineRule="exact"/>
        <w:rPr>
          <w:rFonts w:ascii="Arial" w:cs="Arial" w:eastAsia="Arial" w:hAnsi="Arial"/>
          <w:sz w:val="16"/>
          <w:szCs w:val="16"/>
          <w:color w:val="auto"/>
        </w:rPr>
      </w:pPr>
    </w:p>
    <w:p>
      <w:pPr>
        <w:ind w:left="347" w:right="1219" w:hanging="347"/>
        <w:spacing w:after="0" w:line="287" w:lineRule="auto"/>
        <w:tabs>
          <w:tab w:leader="none" w:pos="347"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p>
      <w:pPr>
        <w:ind w:left="7"/>
        <w:spacing w:after="0"/>
        <w:rPr>
          <w:sz w:val="20"/>
          <w:szCs w:val="20"/>
          <w:color w:val="auto"/>
        </w:rPr>
      </w:pPr>
      <w:r>
        <w:rPr>
          <w:rFonts w:ascii="Arial" w:cs="Arial" w:eastAsia="Arial" w:hAnsi="Arial"/>
          <w:sz w:val="16"/>
          <w:szCs w:val="16"/>
          <w:color w:val="auto"/>
        </w:rPr>
        <w:t>/s/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224536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45360" cy="7620"/>
                    </a:xfrm>
                    <a:prstGeom prst="rect">
                      <a:avLst/>
                    </a:prstGeom>
                    <a:noFill/>
                  </pic:spPr>
                </pic:pic>
              </a:graphicData>
            </a:graphic>
          </wp:anchor>
        </w:drawing>
      </w:r>
    </w:p>
    <w:p>
      <w:pPr>
        <w:spacing w:after="0" w:line="17" w:lineRule="exact"/>
        <w:rPr>
          <w:sz w:val="20"/>
          <w:szCs w:val="20"/>
          <w:color w:val="auto"/>
        </w:rPr>
      </w:pPr>
    </w:p>
    <w:p>
      <w:pPr>
        <w:ind w:left="7"/>
        <w:spacing w:after="0"/>
        <w:rPr>
          <w:sz w:val="20"/>
          <w:szCs w:val="20"/>
          <w:color w:val="auto"/>
        </w:rPr>
      </w:pPr>
      <w:r>
        <w:rPr>
          <w:rFonts w:ascii="Arial" w:cs="Arial" w:eastAsia="Arial" w:hAnsi="Arial"/>
          <w:sz w:val="16"/>
          <w:szCs w:val="16"/>
          <w:color w:val="auto"/>
        </w:rPr>
        <w:t>Brian M. Posner</w:t>
      </w:r>
    </w:p>
    <w:p>
      <w:pPr>
        <w:spacing w:after="0" w:line="24"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Chief Financial Officer</w:t>
      </w:r>
    </w:p>
    <w:p>
      <w:pPr>
        <w:spacing w:after="0" w:line="161" w:lineRule="exact"/>
        <w:rPr>
          <w:sz w:val="20"/>
          <w:szCs w:val="20"/>
          <w:color w:val="auto"/>
        </w:rPr>
      </w:pPr>
    </w:p>
    <w:p>
      <w:pPr>
        <w:ind w:left="7"/>
        <w:spacing w:after="0"/>
        <w:rPr>
          <w:sz w:val="20"/>
          <w:szCs w:val="20"/>
          <w:color w:val="auto"/>
        </w:rPr>
      </w:pPr>
      <w:r>
        <w:rPr>
          <w:rFonts w:ascii="Arial" w:cs="Arial" w:eastAsia="Arial" w:hAnsi="Arial"/>
          <w:sz w:val="16"/>
          <w:szCs w:val="16"/>
          <w:color w:val="auto"/>
        </w:rPr>
        <w:t>Date: December 12, 2011</w:t>
      </w:r>
    </w:p>
    <w:p>
      <w:pPr>
        <w:sectPr>
          <w:pgSz w:w="11900" w:h="16838" w:orient="portrait"/>
          <w:cols w:equalWidth="0" w:num="1">
            <w:col w:w="9926"/>
          </w:cols>
          <w:pgMar w:left="533" w:top="123" w:right="1440" w:bottom="1440" w:gutter="0" w:footer="0" w:header="0"/>
        </w:sectPr>
      </w:pPr>
    </w:p>
    <w:bookmarkStart w:id="37" w:name="page38"/>
    <w:bookmarkEnd w:id="37"/>
    <w:p>
      <w:pPr>
        <w:jc w:val="right"/>
        <w:ind w:right="1079"/>
        <w:spacing w:after="0"/>
        <w:rPr>
          <w:sz w:val="20"/>
          <w:szCs w:val="20"/>
          <w:color w:val="auto"/>
        </w:rPr>
      </w:pPr>
      <w:r>
        <w:rPr>
          <w:rFonts w:ascii="Arial" w:cs="Arial" w:eastAsia="Arial" w:hAnsi="Arial"/>
          <w:sz w:val="16"/>
          <w:szCs w:val="16"/>
          <w:b w:val="1"/>
          <w:bCs w:val="1"/>
          <w:color w:val="auto"/>
        </w:rPr>
        <w:t>Exhibit 32.1</w:t>
      </w:r>
    </w:p>
    <w:p>
      <w:pPr>
        <w:spacing w:after="0" w:line="172" w:lineRule="exact"/>
        <w:rPr>
          <w:sz w:val="20"/>
          <w:szCs w:val="20"/>
          <w:color w:val="auto"/>
        </w:rPr>
      </w:pPr>
    </w:p>
    <w:p>
      <w:pPr>
        <w:jc w:val="center"/>
        <w:ind w:right="1072"/>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28" w:lineRule="exact"/>
        <w:rPr>
          <w:sz w:val="20"/>
          <w:szCs w:val="20"/>
          <w:color w:val="auto"/>
        </w:rPr>
      </w:pPr>
    </w:p>
    <w:p>
      <w:pPr>
        <w:jc w:val="center"/>
        <w:ind w:right="1072"/>
        <w:spacing w:after="0"/>
        <w:rPr>
          <w:sz w:val="20"/>
          <w:szCs w:val="20"/>
          <w:color w:val="auto"/>
        </w:rPr>
      </w:pPr>
      <w:r>
        <w:rPr>
          <w:rFonts w:ascii="Arial" w:cs="Arial" w:eastAsia="Arial" w:hAnsi="Arial"/>
          <w:sz w:val="16"/>
          <w:szCs w:val="16"/>
          <w:b w:val="1"/>
          <w:bCs w:val="1"/>
          <w:color w:val="auto"/>
        </w:rPr>
        <w:t>AS ADOPTED PURSUANT TO</w:t>
      </w:r>
    </w:p>
    <w:p>
      <w:pPr>
        <w:spacing w:after="0" w:line="12" w:lineRule="exact"/>
        <w:rPr>
          <w:sz w:val="20"/>
          <w:szCs w:val="20"/>
          <w:color w:val="auto"/>
        </w:rPr>
      </w:pPr>
    </w:p>
    <w:p>
      <w:pPr>
        <w:jc w:val="center"/>
        <w:ind w:right="1072"/>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73" w:lineRule="exact"/>
        <w:rPr>
          <w:sz w:val="20"/>
          <w:szCs w:val="20"/>
          <w:color w:val="auto"/>
        </w:rPr>
      </w:pPr>
    </w:p>
    <w:p>
      <w:pPr>
        <w:ind w:left="7" w:right="1239"/>
        <w:spacing w:after="0" w:line="297" w:lineRule="auto"/>
        <w:rPr>
          <w:sz w:val="20"/>
          <w:szCs w:val="20"/>
          <w:color w:val="auto"/>
        </w:rPr>
      </w:pPr>
      <w:r>
        <w:rPr>
          <w:rFonts w:ascii="Arial" w:cs="Arial" w:eastAsia="Arial" w:hAnsi="Arial"/>
          <w:sz w:val="15"/>
          <w:szCs w:val="15"/>
          <w:color w:val="auto"/>
        </w:rPr>
        <w:t>In connection with the Quarterly Report on Form 10-Q of Ocean Power Technologies, Inc. (the “Company”) for the period ended October 31, 2011, as filed with the Securities and Exchange Commission on the date hereof (the “Report”), the undersigned, Charles F. Dunleavy, Chief Executive Officer of the Company, hereby certifies, pursuant to 18 U.S.C. Section 1350, that:</w:t>
      </w:r>
    </w:p>
    <w:p>
      <w:pPr>
        <w:spacing w:after="0" w:line="109" w:lineRule="exact"/>
        <w:rPr>
          <w:sz w:val="20"/>
          <w:szCs w:val="20"/>
          <w:color w:val="auto"/>
        </w:rPr>
      </w:pPr>
    </w:p>
    <w:p>
      <w:pPr>
        <w:ind w:left="347" w:right="1219" w:hanging="347"/>
        <w:spacing w:after="0" w:line="287" w:lineRule="auto"/>
        <w:tabs>
          <w:tab w:leader="none" w:pos="347"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87" w:lineRule="exact"/>
        <w:rPr>
          <w:rFonts w:ascii="Arial" w:cs="Arial" w:eastAsia="Arial" w:hAnsi="Arial"/>
          <w:sz w:val="16"/>
          <w:szCs w:val="16"/>
          <w:color w:val="auto"/>
        </w:rPr>
      </w:pPr>
    </w:p>
    <w:p>
      <w:pPr>
        <w:ind w:left="347" w:right="1219" w:hanging="347"/>
        <w:spacing w:after="0" w:line="287" w:lineRule="auto"/>
        <w:tabs>
          <w:tab w:leader="none" w:pos="347"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9" w:lineRule="exact"/>
        <w:rPr>
          <w:sz w:val="20"/>
          <w:szCs w:val="20"/>
          <w:color w:val="auto"/>
        </w:rPr>
      </w:pPr>
    </w:p>
    <w:p>
      <w:pPr>
        <w:ind w:left="7"/>
        <w:spacing w:after="0"/>
        <w:rPr>
          <w:sz w:val="20"/>
          <w:szCs w:val="20"/>
          <w:color w:val="auto"/>
        </w:rPr>
      </w:pPr>
      <w:r>
        <w:rPr>
          <w:rFonts w:ascii="Arial" w:cs="Arial" w:eastAsia="Arial" w:hAnsi="Arial"/>
          <w:sz w:val="16"/>
          <w:szCs w:val="16"/>
          <w:color w:val="auto"/>
        </w:rPr>
        <w:t>/s/ 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224536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45360" cy="7620"/>
                    </a:xfrm>
                    <a:prstGeom prst="rect">
                      <a:avLst/>
                    </a:prstGeom>
                    <a:noFill/>
                  </pic:spPr>
                </pic:pic>
              </a:graphicData>
            </a:graphic>
          </wp:anchor>
        </w:drawing>
      </w:r>
    </w:p>
    <w:p>
      <w:pPr>
        <w:spacing w:after="0" w:line="17" w:lineRule="exact"/>
        <w:rPr>
          <w:sz w:val="20"/>
          <w:szCs w:val="20"/>
          <w:color w:val="auto"/>
        </w:rPr>
      </w:pPr>
    </w:p>
    <w:p>
      <w:pPr>
        <w:ind w:left="7"/>
        <w:spacing w:after="0"/>
        <w:rPr>
          <w:sz w:val="20"/>
          <w:szCs w:val="20"/>
          <w:color w:val="auto"/>
        </w:rPr>
      </w:pPr>
      <w:r>
        <w:rPr>
          <w:rFonts w:ascii="Arial" w:cs="Arial" w:eastAsia="Arial" w:hAnsi="Arial"/>
          <w:sz w:val="16"/>
          <w:szCs w:val="16"/>
          <w:color w:val="auto"/>
        </w:rPr>
        <w:t>Charles F. Dunleavy</w:t>
      </w:r>
    </w:p>
    <w:p>
      <w:pPr>
        <w:spacing w:after="0" w:line="24"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Chief Executive Officer</w:t>
      </w:r>
    </w:p>
    <w:p>
      <w:pPr>
        <w:spacing w:after="0" w:line="161" w:lineRule="exact"/>
        <w:rPr>
          <w:sz w:val="20"/>
          <w:szCs w:val="20"/>
          <w:color w:val="auto"/>
        </w:rPr>
      </w:pPr>
    </w:p>
    <w:p>
      <w:pPr>
        <w:ind w:left="7"/>
        <w:spacing w:after="0"/>
        <w:rPr>
          <w:sz w:val="20"/>
          <w:szCs w:val="20"/>
          <w:color w:val="auto"/>
        </w:rPr>
      </w:pPr>
      <w:r>
        <w:rPr>
          <w:rFonts w:ascii="Arial" w:cs="Arial" w:eastAsia="Arial" w:hAnsi="Arial"/>
          <w:sz w:val="16"/>
          <w:szCs w:val="16"/>
          <w:color w:val="auto"/>
        </w:rPr>
        <w:t>Date: December 12, 2011</w:t>
      </w:r>
    </w:p>
    <w:p>
      <w:pPr>
        <w:sectPr>
          <w:pgSz w:w="11900" w:h="16838" w:orient="portrait"/>
          <w:cols w:equalWidth="0" w:num="1">
            <w:col w:w="9926"/>
          </w:cols>
          <w:pgMar w:left="533" w:top="123" w:right="1440" w:bottom="1440" w:gutter="0" w:footer="0" w:header="0"/>
        </w:sectPr>
      </w:pPr>
    </w:p>
    <w:bookmarkStart w:id="38" w:name="page39"/>
    <w:bookmarkEnd w:id="38"/>
    <w:p>
      <w:pPr>
        <w:jc w:val="right"/>
        <w:ind w:right="1079"/>
        <w:spacing w:after="0"/>
        <w:rPr>
          <w:sz w:val="20"/>
          <w:szCs w:val="20"/>
          <w:color w:val="auto"/>
        </w:rPr>
      </w:pPr>
      <w:r>
        <w:rPr>
          <w:rFonts w:ascii="Arial" w:cs="Arial" w:eastAsia="Arial" w:hAnsi="Arial"/>
          <w:sz w:val="16"/>
          <w:szCs w:val="16"/>
          <w:b w:val="1"/>
          <w:bCs w:val="1"/>
          <w:color w:val="auto"/>
        </w:rPr>
        <w:t>Exhibit 32.2</w:t>
      </w:r>
    </w:p>
    <w:p>
      <w:pPr>
        <w:spacing w:after="0" w:line="172" w:lineRule="exact"/>
        <w:rPr>
          <w:sz w:val="20"/>
          <w:szCs w:val="20"/>
          <w:color w:val="auto"/>
        </w:rPr>
      </w:pPr>
    </w:p>
    <w:p>
      <w:pPr>
        <w:jc w:val="center"/>
        <w:ind w:right="1072"/>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28" w:lineRule="exact"/>
        <w:rPr>
          <w:sz w:val="20"/>
          <w:szCs w:val="20"/>
          <w:color w:val="auto"/>
        </w:rPr>
      </w:pPr>
    </w:p>
    <w:p>
      <w:pPr>
        <w:jc w:val="center"/>
        <w:ind w:right="1072"/>
        <w:spacing w:after="0"/>
        <w:rPr>
          <w:sz w:val="20"/>
          <w:szCs w:val="20"/>
          <w:color w:val="auto"/>
        </w:rPr>
      </w:pPr>
      <w:r>
        <w:rPr>
          <w:rFonts w:ascii="Arial" w:cs="Arial" w:eastAsia="Arial" w:hAnsi="Arial"/>
          <w:sz w:val="16"/>
          <w:szCs w:val="16"/>
          <w:b w:val="1"/>
          <w:bCs w:val="1"/>
          <w:color w:val="auto"/>
        </w:rPr>
        <w:t>AS ADOPTED PURSUANT TO</w:t>
      </w:r>
    </w:p>
    <w:p>
      <w:pPr>
        <w:spacing w:after="0" w:line="12" w:lineRule="exact"/>
        <w:rPr>
          <w:sz w:val="20"/>
          <w:szCs w:val="20"/>
          <w:color w:val="auto"/>
        </w:rPr>
      </w:pPr>
    </w:p>
    <w:p>
      <w:pPr>
        <w:jc w:val="center"/>
        <w:ind w:right="1072"/>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73" w:lineRule="exact"/>
        <w:rPr>
          <w:sz w:val="20"/>
          <w:szCs w:val="20"/>
          <w:color w:val="auto"/>
        </w:rPr>
      </w:pPr>
    </w:p>
    <w:p>
      <w:pPr>
        <w:ind w:left="7" w:right="1139"/>
        <w:spacing w:after="0" w:line="297" w:lineRule="auto"/>
        <w:rPr>
          <w:sz w:val="20"/>
          <w:szCs w:val="20"/>
          <w:color w:val="auto"/>
        </w:rPr>
      </w:pPr>
      <w:r>
        <w:rPr>
          <w:rFonts w:ascii="Arial" w:cs="Arial" w:eastAsia="Arial" w:hAnsi="Arial"/>
          <w:sz w:val="15"/>
          <w:szCs w:val="15"/>
          <w:color w:val="auto"/>
        </w:rPr>
        <w:t>In connection with the Quarterly Report on Form 10-Q of Ocean Power Technologies, Inc. (the “Company”) for the period ended October 31, 2011, as filed with the Securities and Exchange Commission on the date hereof (the “Report”), the undersigned, Brian M. Posner, Chief Financial Officer of the Company, hereby certifies, pursuant to 18 U.S.C. Section 1350, that:</w:t>
      </w:r>
    </w:p>
    <w:p>
      <w:pPr>
        <w:spacing w:after="0" w:line="109" w:lineRule="exact"/>
        <w:rPr>
          <w:sz w:val="20"/>
          <w:szCs w:val="20"/>
          <w:color w:val="auto"/>
        </w:rPr>
      </w:pPr>
    </w:p>
    <w:p>
      <w:pPr>
        <w:ind w:left="347" w:right="1219" w:hanging="347"/>
        <w:spacing w:after="0" w:line="287" w:lineRule="auto"/>
        <w:tabs>
          <w:tab w:leader="none" w:pos="347"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87" w:lineRule="exact"/>
        <w:rPr>
          <w:rFonts w:ascii="Arial" w:cs="Arial" w:eastAsia="Arial" w:hAnsi="Arial"/>
          <w:sz w:val="16"/>
          <w:szCs w:val="16"/>
          <w:color w:val="auto"/>
        </w:rPr>
      </w:pPr>
    </w:p>
    <w:p>
      <w:pPr>
        <w:ind w:left="347" w:right="1219" w:hanging="347"/>
        <w:spacing w:after="0" w:line="287" w:lineRule="auto"/>
        <w:tabs>
          <w:tab w:leader="none" w:pos="347"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9" w:lineRule="exact"/>
        <w:rPr>
          <w:sz w:val="20"/>
          <w:szCs w:val="20"/>
          <w:color w:val="auto"/>
        </w:rPr>
      </w:pPr>
    </w:p>
    <w:p>
      <w:pPr>
        <w:ind w:left="7"/>
        <w:spacing w:after="0"/>
        <w:rPr>
          <w:sz w:val="20"/>
          <w:szCs w:val="20"/>
          <w:color w:val="auto"/>
        </w:rPr>
      </w:pPr>
      <w:r>
        <w:rPr>
          <w:rFonts w:ascii="Arial" w:cs="Arial" w:eastAsia="Arial" w:hAnsi="Arial"/>
          <w:sz w:val="16"/>
          <w:szCs w:val="16"/>
          <w:color w:val="auto"/>
        </w:rPr>
        <w:t>/s/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224536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45360" cy="7620"/>
                    </a:xfrm>
                    <a:prstGeom prst="rect">
                      <a:avLst/>
                    </a:prstGeom>
                    <a:noFill/>
                  </pic:spPr>
                </pic:pic>
              </a:graphicData>
            </a:graphic>
          </wp:anchor>
        </w:drawing>
      </w:r>
    </w:p>
    <w:p>
      <w:pPr>
        <w:spacing w:after="0" w:line="17" w:lineRule="exact"/>
        <w:rPr>
          <w:sz w:val="20"/>
          <w:szCs w:val="20"/>
          <w:color w:val="auto"/>
        </w:rPr>
      </w:pPr>
    </w:p>
    <w:p>
      <w:pPr>
        <w:ind w:left="7"/>
        <w:spacing w:after="0"/>
        <w:rPr>
          <w:sz w:val="20"/>
          <w:szCs w:val="20"/>
          <w:color w:val="auto"/>
        </w:rPr>
      </w:pPr>
      <w:r>
        <w:rPr>
          <w:rFonts w:ascii="Arial" w:cs="Arial" w:eastAsia="Arial" w:hAnsi="Arial"/>
          <w:sz w:val="16"/>
          <w:szCs w:val="16"/>
          <w:color w:val="auto"/>
        </w:rPr>
        <w:t>Brian M. Posner</w:t>
      </w:r>
    </w:p>
    <w:p>
      <w:pPr>
        <w:spacing w:after="0" w:line="24"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Chief Financial Officer</w:t>
      </w:r>
    </w:p>
    <w:p>
      <w:pPr>
        <w:spacing w:after="0" w:line="161" w:lineRule="exact"/>
        <w:rPr>
          <w:sz w:val="20"/>
          <w:szCs w:val="20"/>
          <w:color w:val="auto"/>
        </w:rPr>
      </w:pPr>
    </w:p>
    <w:p>
      <w:pPr>
        <w:ind w:left="7"/>
        <w:spacing w:after="0"/>
        <w:rPr>
          <w:sz w:val="20"/>
          <w:szCs w:val="20"/>
          <w:color w:val="auto"/>
        </w:rPr>
      </w:pPr>
      <w:r>
        <w:rPr>
          <w:rFonts w:ascii="Arial" w:cs="Arial" w:eastAsia="Arial" w:hAnsi="Arial"/>
          <w:sz w:val="16"/>
          <w:szCs w:val="16"/>
          <w:color w:val="auto"/>
        </w:rPr>
        <w:t>Date: December 12, 2011</w:t>
      </w:r>
    </w:p>
    <w:sectPr>
      <w:pgSz w:w="11900" w:h="16838" w:orient="portrait"/>
      <w:cols w:equalWidth="0" w:num="1">
        <w:col w:w="9926"/>
      </w:cols>
      <w:pgMar w:left="533" w:top="1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
      <w:numFmt w:val="bullet"/>
      <w:start w:val="1"/>
    </w:lvl>
    <w:lvl w:ilvl="1">
      <w:lvlJc w:val="left"/>
      <w:lvlText w:val="%2"/>
      <w:numFmt w:val="decimal"/>
      <w:start w:val="101"/>
    </w:lvl>
    <w:lvl w:ilvl="2">
      <w:lvlJc w:val="left"/>
      <w:lvlText w:val="(%3)"/>
      <w:numFmt w:val="lowerRoman"/>
      <w:start w:val="3"/>
    </w:lvl>
  </w:abstractNum>
  <w:abstractNum w:abstractNumId="9">
    <w:nsid w:val="1BEFD79F"/>
    <w:multiLevelType w:val="hybridMultilevel"/>
    <w:lvl w:ilvl="0">
      <w:lvlJc w:val="left"/>
      <w:lvlText w:val="*"/>
      <w:numFmt w:val="bullet"/>
      <w:start w:val="1"/>
    </w:lvl>
    <w:lvl w:ilvl="1">
      <w:lvlJc w:val="left"/>
      <w:lvlText w:val="%2"/>
      <w:numFmt w:val="decimal"/>
      <w:start w:val="101"/>
    </w:lvl>
    <w:lvl w:ilvl="2">
      <w:lvlJc w:val="left"/>
      <w:lvlText w:val="(%3)"/>
      <w:numFmt w:val="lowerRoman"/>
      <w:start w:val="3"/>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decimal"/>
      <w:start w:val="5"/>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5"/>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2019-12-11T03:25:44Z</dcterms:created>
  <dcterms:modified xsi:type="dcterms:W3CDTF">2019-12-11T03:25:44Z</dcterms:modified>
</cp:coreProperties>
</file>