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60" w:right="1760" w:hanging="3852"/>
        <w:spacing w:after="0" w:line="500"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OPTT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9" w:lineRule="exact"/>
        <w:rPr>
          <w:sz w:val="24"/>
          <w:szCs w:val="24"/>
          <w:color w:val="auto"/>
        </w:rPr>
      </w:pPr>
    </w:p>
    <w:p>
      <w:pPr>
        <w:spacing w:after="0" w:line="207" w:lineRule="exact"/>
        <w:tabs>
          <w:tab w:leader="none" w:pos="2700" w:val="left"/>
          <w:tab w:leader="none" w:pos="5180" w:val="left"/>
          <w:tab w:leader="none" w:pos="7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11, 2023, the number of outstanding shares of common stock of the registrant was 58,787,578.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1"/>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6"/>
        </w:trPr>
        <w:tc>
          <w:tcPr>
            <w:tcW w:w="32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10160" w:type="dxa"/>
            <w:vAlign w:val="bottom"/>
            <w:gridSpan w:val="20"/>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90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 as of July 31, 2023 (unaudited) and April 30, 2023</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80" w:type="dxa"/>
            <w:vAlign w:val="bottom"/>
            <w:gridSpan w:val="19"/>
          </w:tcPr>
          <w:p>
            <w:pPr>
              <w:spacing w:after="0" w:line="176" w:lineRule="exact"/>
              <w:rPr>
                <w:sz w:val="20"/>
                <w:szCs w:val="20"/>
                <w:color w:val="auto"/>
              </w:rPr>
            </w:pPr>
            <w:r>
              <w:rPr>
                <w:rFonts w:ascii="Arial" w:cs="Arial" w:eastAsia="Arial" w:hAnsi="Arial"/>
                <w:sz w:val="18"/>
                <w:szCs w:val="18"/>
                <w:color w:val="0000EE"/>
              </w:rPr>
              <w:t>Unaudited Consolidated Statements of Operations for the three months ended July 31, 2023 and 2022</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9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Unaudited Consolidated Statements of Comprehensive Loss for the three months ended July 31, 2023 and 2022</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90"/>
              </w:rPr>
              <w:t>Unaudited Consolidated Statement of Shareholders’ Equity for the three months ended July 31, 2023 and 2022</w:t>
            </w: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Unaudited Consolidated Statements of Cash Flows for the three months ended July 31, 2023 and 2022</w:t>
            </w:r>
          </w:p>
        </w:tc>
        <w:tc>
          <w:tcPr>
            <w:tcW w:w="260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176"/>
        </w:trPr>
        <w:tc>
          <w:tcPr>
            <w:tcW w:w="180" w:type="dxa"/>
            <w:vAlign w:val="bottom"/>
          </w:tcPr>
          <w:p>
            <w:pPr>
              <w:spacing w:after="0"/>
              <w:rPr>
                <w:sz w:val="15"/>
                <w:szCs w:val="15"/>
                <w:color w:val="auto"/>
              </w:rPr>
            </w:pPr>
          </w:p>
        </w:tc>
        <w:tc>
          <w:tcPr>
            <w:tcW w:w="10160" w:type="dxa"/>
            <w:vAlign w:val="bottom"/>
            <w:gridSpan w:val="20"/>
          </w:tcPr>
          <w:p>
            <w:pPr>
              <w:ind w:left="180"/>
              <w:spacing w:after="0" w:line="176" w:lineRule="exact"/>
              <w:rPr>
                <w:sz w:val="20"/>
                <w:szCs w:val="20"/>
                <w:color w:val="auto"/>
              </w:rPr>
            </w:pPr>
            <w:r>
              <w:rPr>
                <w:rFonts w:ascii="Arial" w:cs="Arial" w:eastAsia="Arial" w:hAnsi="Arial"/>
                <w:sz w:val="18"/>
                <w:szCs w:val="18"/>
                <w:color w:val="0000EE"/>
              </w:rPr>
              <w:t>Notes to Unaudited Consolidated Financial Statements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314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5"/>
        </w:trPr>
        <w:tc>
          <w:tcPr>
            <w:tcW w:w="180" w:type="dxa"/>
            <w:vAlign w:val="bottom"/>
          </w:tcPr>
          <w:p>
            <w:pPr>
              <w:spacing w:after="0"/>
              <w:rPr>
                <w:sz w:val="15"/>
                <w:szCs w:val="15"/>
                <w:color w:val="auto"/>
              </w:rPr>
            </w:pPr>
          </w:p>
        </w:tc>
        <w:tc>
          <w:tcPr>
            <w:tcW w:w="10160" w:type="dxa"/>
            <w:vAlign w:val="bottom"/>
            <w:gridSpan w:val="20"/>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9"/>
              </w:rPr>
              <w:t>Item 4. Controls and Procedures</w:t>
            </w:r>
          </w:p>
        </w:tc>
        <w:tc>
          <w:tcPr>
            <w:tcW w:w="782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176"/>
        </w:trPr>
        <w:tc>
          <w:tcPr>
            <w:tcW w:w="10340" w:type="dxa"/>
            <w:vAlign w:val="bottom"/>
            <w:gridSpan w:val="21"/>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Item 1. Legal Proceedings</w:t>
            </w:r>
          </w:p>
        </w:tc>
        <w:tc>
          <w:tcPr>
            <w:tcW w:w="826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6"/>
        </w:trPr>
        <w:tc>
          <w:tcPr>
            <w:tcW w:w="180" w:type="dxa"/>
            <w:vAlign w:val="bottom"/>
          </w:tcPr>
          <w:p>
            <w:pPr>
              <w:spacing w:after="0"/>
              <w:rPr>
                <w:sz w:val="15"/>
                <w:szCs w:val="15"/>
                <w:color w:val="auto"/>
              </w:rPr>
            </w:pPr>
          </w:p>
        </w:tc>
        <w:tc>
          <w:tcPr>
            <w:tcW w:w="10160" w:type="dxa"/>
            <w:vAlign w:val="bottom"/>
            <w:gridSpan w:val="20"/>
          </w:tcPr>
          <w:p>
            <w:pPr>
              <w:spacing w:after="0" w:line="176" w:lineRule="exact"/>
              <w:rPr>
                <w:sz w:val="20"/>
                <w:szCs w:val="20"/>
                <w:color w:val="auto"/>
              </w:rPr>
            </w:pPr>
            <w:r>
              <w:rPr>
                <w:rFonts w:ascii="Arial" w:cs="Arial" w:eastAsia="Arial" w:hAnsi="Arial"/>
                <w:sz w:val="18"/>
                <w:szCs w:val="18"/>
                <w:color w:val="0000EE"/>
              </w:rPr>
              <w:t>Item 1A. Risk Factors</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5"/>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526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1"/>
              </w:rPr>
              <w:t>Item 4. Mine Safety Disclosures</w:t>
            </w:r>
          </w:p>
        </w:tc>
        <w:tc>
          <w:tcPr>
            <w:tcW w:w="782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6"/>
        </w:trPr>
        <w:tc>
          <w:tcPr>
            <w:tcW w:w="180" w:type="dxa"/>
            <w:vAlign w:val="bottom"/>
          </w:tcPr>
          <w:p>
            <w:pPr>
              <w:spacing w:after="0"/>
              <w:rPr>
                <w:sz w:val="15"/>
                <w:szCs w:val="15"/>
                <w:color w:val="auto"/>
              </w:rPr>
            </w:pPr>
          </w:p>
        </w:tc>
        <w:tc>
          <w:tcPr>
            <w:tcW w:w="10160" w:type="dxa"/>
            <w:vAlign w:val="bottom"/>
            <w:gridSpan w:val="20"/>
          </w:tcPr>
          <w:p>
            <w:pPr>
              <w:spacing w:after="0" w:line="176" w:lineRule="exact"/>
              <w:rPr>
                <w:sz w:val="20"/>
                <w:szCs w:val="20"/>
                <w:color w:val="auto"/>
              </w:rPr>
            </w:pPr>
            <w:r>
              <w:rPr>
                <w:rFonts w:ascii="Arial" w:cs="Arial" w:eastAsia="Arial" w:hAnsi="Arial"/>
                <w:sz w:val="18"/>
                <w:szCs w:val="18"/>
                <w:color w:val="0000EE"/>
              </w:rPr>
              <w:t>Item 5. Other Information</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4800" w:type="dxa"/>
            <w:vAlign w:val="bottom"/>
            <w:tcBorders>
              <w:top w:val="single" w:sz="8" w:color="CCEEFF"/>
              <w:bottom w:val="single" w:sz="8" w:color="auto"/>
            </w:tcBorders>
            <w:gridSpan w:val="12"/>
          </w:tcPr>
          <w:p>
            <w:pPr>
              <w:jc w:val="right"/>
              <w:ind w:right="480"/>
              <w:spacing w:after="0"/>
              <w:rPr>
                <w:sz w:val="20"/>
                <w:szCs w:val="20"/>
                <w:color w:val="auto"/>
              </w:rPr>
            </w:pPr>
            <w:r>
              <w:rPr>
                <w:rFonts w:ascii="Arial" w:cs="Arial" w:eastAsia="Arial" w:hAnsi="Arial"/>
                <w:sz w:val="18"/>
                <w:szCs w:val="18"/>
                <w:color w:val="auto"/>
              </w:rPr>
              <w:t>2</w:t>
            </w:r>
          </w:p>
        </w:tc>
        <w:tc>
          <w:tcPr>
            <w:tcW w:w="10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challenges and expenses associated with communications and disputes with activist shareholders, including litigation;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mitigate risks associated with our internal cyber security protocols and protection of the data we collect and distribute;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related to the U.S. dollar on our business, operations, customers, suppliers and manufacturers and personnel;</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meet product development, manufacturing and customer delivery deadlines and the potential impact due to disruptions to our supply chain, as a result of, among other things, staff shortages, order delays, and increased pricing from vendors and manufacturers;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which may be unsuccessful or expose us to unforeseen liabilities, and may use significant resources;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respond to competition in our targeted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relationships with our existing and future strategic partners which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or more efficiently utilize the power available from our PowerBuoy® product 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or restrict the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 including senior management, to achieve our business objectives;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commercial profit margins.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2023,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July 31, 2023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April 30, 2023</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3,863</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Short term investments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22,790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27,790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30,090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8,537</w:t>
            </w:r>
          </w:p>
        </w:tc>
        <w:tc>
          <w:tcPr>
            <w:tcW w:w="80" w:type="dxa"/>
            <w:vAlign w:val="bottom"/>
            <w:shd w:val="clear" w:color="auto" w:fill="CCEEFF"/>
          </w:tcPr>
          <w:p>
            <w:pPr>
              <w:spacing w:after="0"/>
              <w:rPr>
                <w:sz w:val="21"/>
                <w:szCs w:val="21"/>
                <w:color w:val="auto"/>
              </w:rPr>
            </w:pPr>
          </w:p>
        </w:tc>
      </w:tr>
      <w:tr>
        <w:trPr>
          <w:trHeight w:val="257"/>
        </w:trPr>
        <w:tc>
          <w:tcPr>
            <w:tcW w:w="68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45,679</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53,374</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ind w:left="1540"/>
              <w:spacing w:after="0" w:line="196" w:lineRule="exact"/>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1,297</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Earnout payable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Contingent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liabilities, current portion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0"/>
                <w:szCs w:val="20"/>
                <w:color w:val="auto"/>
              </w:rPr>
            </w:pPr>
          </w:p>
        </w:tc>
      </w:tr>
      <w:tr>
        <w:trPr>
          <w:trHeight w:val="216"/>
        </w:trPr>
        <w:tc>
          <w:tcPr>
            <w:tcW w:w="6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Right-of-use liabilities, less current portion</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21"/>
                <w:szCs w:val="21"/>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7,116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40" w:type="dxa"/>
            <w:vAlign w:val="bottom"/>
          </w:tcPr>
          <w:p>
            <w:pPr>
              <w:ind w:left="180"/>
              <w:spacing w:after="0" w:line="201" w:lineRule="exact"/>
              <w:rPr>
                <w:sz w:val="20"/>
                <w:szCs w:val="20"/>
                <w:color w:val="auto"/>
              </w:rPr>
            </w:pPr>
            <w:r>
              <w:rPr>
                <w:rFonts w:ascii="Arial" w:cs="Arial" w:eastAsia="Arial" w:hAnsi="Arial"/>
                <w:sz w:val="18"/>
                <w:szCs w:val="18"/>
                <w:color w:val="auto"/>
                <w:w w:val="97"/>
              </w:rPr>
              <w:t>Common stock, $0.001 par value; authorized 100,000,000 shares, issued 58,776,654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w w:val="90"/>
              </w:rPr>
              <w:t>shares and 56,304,642 shares, respectively; outstanding 58,731,974 shares and 56,263,728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shares, respectively</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44,680 shares and 40,914 shares, respectively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326,041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324,393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(287,135)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(280,096)</w:t>
            </w:r>
          </w:p>
        </w:tc>
      </w:tr>
      <w:tr>
        <w:trPr>
          <w:trHeight w:val="237"/>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06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1,272</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Gain from change in fair value of consideration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8,103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(7,039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80"/>
              <w:spacing w:after="0"/>
              <w:rPr>
                <w:sz w:val="20"/>
                <w:szCs w:val="20"/>
                <w:color w:val="auto"/>
              </w:rPr>
            </w:pPr>
            <w:r>
              <w:rPr>
                <w:rFonts w:ascii="Arial" w:cs="Arial" w:eastAsia="Arial" w:hAnsi="Arial"/>
                <w:sz w:val="18"/>
                <w:szCs w:val="18"/>
                <w:color w:val="auto"/>
                <w:w w:val="92"/>
              </w:rPr>
              <w:t>Weighted average shares used to compute basic and diluted net loss per common share</w:t>
            </w: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58,723,076</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55,889,651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49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9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(in $000’s)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96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Unaudited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5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July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96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(7,039)</w:t>
            </w:r>
          </w:p>
        </w:tc>
        <w:tc>
          <w:tcPr>
            <w:tcW w:w="14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(5,852)</w:t>
            </w:r>
          </w:p>
        </w:tc>
      </w:tr>
      <w:tr>
        <w:trPr>
          <w:trHeight w:val="237"/>
        </w:trPr>
        <w:tc>
          <w:tcPr>
            <w:tcW w:w="33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9"/>
              </w:rPr>
              <w:t>Consolidated Statements of Shareholders’ Equity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88"/>
              </w:rPr>
              <w:t>(in $000’s, except share data)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4"/>
          </w:tcPr>
          <w:p>
            <w:pPr>
              <w:jc w:val="center"/>
              <w:ind w:right="181"/>
              <w:spacing w:after="0"/>
              <w:rPr>
                <w:sz w:val="20"/>
                <w:szCs w:val="20"/>
                <w:color w:val="auto"/>
              </w:rPr>
            </w:pPr>
            <w:r>
              <w:rPr>
                <w:rFonts w:ascii="Arial" w:cs="Arial" w:eastAsia="Arial" w:hAnsi="Arial"/>
                <w:sz w:val="18"/>
                <w:szCs w:val="18"/>
                <w:b w:val="1"/>
                <w:bCs w:val="1"/>
                <w:color w:val="auto"/>
                <w:w w:val="90"/>
              </w:rPr>
              <w:t>Unaudited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jc w:val="right"/>
              <w:ind w:right="361"/>
              <w:spacing w:after="0"/>
              <w:rPr>
                <w:sz w:val="20"/>
                <w:szCs w:val="20"/>
                <w:color w:val="auto"/>
              </w:rPr>
            </w:pPr>
            <w:r>
              <w:rPr>
                <w:rFonts w:ascii="Arial" w:cs="Arial" w:eastAsia="Arial" w:hAnsi="Arial"/>
                <w:sz w:val="18"/>
                <w:szCs w:val="18"/>
                <w:b w:val="1"/>
                <w:bCs w:val="1"/>
                <w:color w:val="auto"/>
                <w:w w:val="91"/>
              </w:rPr>
              <w:t>Three Months Ended July 31, 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center"/>
              <w:ind w:right="181"/>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Shares</w:t>
            </w:r>
          </w:p>
        </w:tc>
        <w:tc>
          <w:tcPr>
            <w:tcW w:w="1840" w:type="dxa"/>
            <w:vAlign w:val="bottom"/>
            <w:gridSpan w:val="6"/>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2"/>
                <w:szCs w:val="2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r>
      <w:tr>
        <w:trPr>
          <w:trHeight w:val="184"/>
        </w:trPr>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line="184" w:lineRule="exact"/>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line="184" w:lineRule="exact"/>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jc w:val="center"/>
              <w:ind w:right="61"/>
              <w:spacing w:after="0" w:line="184" w:lineRule="exact"/>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jc w:val="center"/>
              <w:ind w:right="80"/>
              <w:spacing w:after="0" w:line="184" w:lineRule="exact"/>
              <w:rPr>
                <w:sz w:val="20"/>
                <w:szCs w:val="20"/>
                <w:color w:val="auto"/>
              </w:rPr>
            </w:pPr>
            <w:r>
              <w:rPr>
                <w:rFonts w:ascii="Arial" w:cs="Arial" w:eastAsia="Arial" w:hAnsi="Arial"/>
                <w:sz w:val="18"/>
                <w:szCs w:val="18"/>
                <w:b w:val="1"/>
                <w:bCs w:val="1"/>
                <w:color w:val="auto"/>
                <w:w w:val="89"/>
              </w:rPr>
              <w:t>Shareholders’</w:t>
            </w:r>
          </w:p>
        </w:tc>
      </w:tr>
      <w:tr>
        <w:trPr>
          <w:trHeight w:val="241"/>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7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6"/>
              </w:rPr>
              <w:t>Shares</w:t>
            </w:r>
          </w:p>
        </w:tc>
        <w:tc>
          <w:tcPr>
            <w:tcW w:w="18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8"/>
              </w:rPr>
              <w:t>Deficit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May 1, 2023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56,304,642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324,393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(280,096)</w:t>
            </w:r>
          </w:p>
        </w:tc>
        <w:tc>
          <w:tcPr>
            <w:tcW w:w="3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43,953</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(7,039)</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stock issued related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to bonus and earn out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2,403,846</w:t>
            </w: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upon</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68,166</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Shares withheld for tax</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380" w:type="dxa"/>
            <w:vAlign w:val="bottom"/>
            <w:gridSpan w:val="2"/>
          </w:tcPr>
          <w:p>
            <w:pPr>
              <w:spacing w:after="0"/>
              <w:rPr>
                <w:sz w:val="20"/>
                <w:szCs w:val="20"/>
                <w:color w:val="auto"/>
              </w:rPr>
            </w:pPr>
            <w:r>
              <w:rPr>
                <w:rFonts w:ascii="Arial" w:cs="Arial" w:eastAsia="Arial" w:hAnsi="Arial"/>
                <w:sz w:val="18"/>
                <w:szCs w:val="18"/>
                <w:color w:val="auto"/>
              </w:rPr>
              <w:t>withholdings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(3,766)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July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58,776,654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(287,135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Three Months Ended July 31, 2022</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Balances at May 1, 2022 Net loss</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Share-based compensation Common stock issued upon vesting of restricted stock units</w:t>
      </w:r>
    </w:p>
    <w:p>
      <w:pPr>
        <w:spacing w:after="0"/>
        <w:rPr>
          <w:sz w:val="20"/>
          <w:szCs w:val="20"/>
          <w:color w:val="auto"/>
        </w:rPr>
      </w:pPr>
      <w:r>
        <w:rPr>
          <w:rFonts w:ascii="Arial" w:cs="Arial" w:eastAsia="Arial" w:hAnsi="Arial"/>
          <w:sz w:val="17"/>
          <w:szCs w:val="17"/>
          <w:color w:val="auto"/>
        </w:rPr>
        <w:t>Balances at July 31, 2022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center"/>
              <w:ind w:right="181"/>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5"/>
        </w:trPr>
        <w:tc>
          <w:tcPr>
            <w:tcW w:w="160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2"/>
                <w:szCs w:val="22"/>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184"/>
        </w:trPr>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line="184" w:lineRule="exact"/>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ind w:left="120"/>
              <w:spacing w:after="0" w:line="184" w:lineRule="exact"/>
              <w:rPr>
                <w:sz w:val="20"/>
                <w:szCs w:val="20"/>
                <w:color w:val="auto"/>
              </w:rPr>
            </w:pPr>
            <w:r>
              <w:rPr>
                <w:rFonts w:ascii="Arial" w:cs="Arial" w:eastAsia="Arial" w:hAnsi="Arial"/>
                <w:sz w:val="18"/>
                <w:szCs w:val="18"/>
                <w:b w:val="1"/>
                <w:bCs w:val="1"/>
                <w:color w:val="auto"/>
              </w:rPr>
              <w:t>Accumulated</w:t>
            </w:r>
          </w:p>
        </w:tc>
        <w:tc>
          <w:tcPr>
            <w:tcW w:w="1540" w:type="dxa"/>
            <w:vAlign w:val="bottom"/>
            <w:gridSpan w:val="4"/>
          </w:tcPr>
          <w:p>
            <w:pPr>
              <w:jc w:val="center"/>
              <w:ind w:right="61"/>
              <w:spacing w:after="0" w:line="184" w:lineRule="exact"/>
              <w:rPr>
                <w:sz w:val="20"/>
                <w:szCs w:val="20"/>
                <w:color w:val="auto"/>
              </w:rPr>
            </w:pPr>
            <w:r>
              <w:rPr>
                <w:rFonts w:ascii="Arial" w:cs="Arial" w:eastAsia="Arial" w:hAnsi="Arial"/>
                <w:sz w:val="18"/>
                <w:szCs w:val="18"/>
                <w:b w:val="1"/>
                <w:bCs w:val="1"/>
                <w:color w:val="auto"/>
                <w:w w:val="88"/>
              </w:rPr>
              <w:t>Comprehensive</w:t>
            </w:r>
          </w:p>
        </w:tc>
        <w:tc>
          <w:tcPr>
            <w:tcW w:w="1120" w:type="dxa"/>
            <w:vAlign w:val="bottom"/>
            <w:gridSpan w:val="4"/>
          </w:tcPr>
          <w:p>
            <w:pPr>
              <w:spacing w:after="0" w:line="184" w:lineRule="exact"/>
              <w:rPr>
                <w:sz w:val="20"/>
                <w:szCs w:val="20"/>
                <w:color w:val="auto"/>
              </w:rPr>
            </w:pPr>
            <w:r>
              <w:rPr>
                <w:rFonts w:ascii="Arial" w:cs="Arial" w:eastAsia="Arial" w:hAnsi="Arial"/>
                <w:sz w:val="18"/>
                <w:szCs w:val="18"/>
                <w:b w:val="1"/>
                <w:bCs w:val="1"/>
                <w:color w:val="auto"/>
                <w:w w:val="91"/>
              </w:rPr>
              <w:t>Shareholders’</w:t>
            </w:r>
          </w:p>
        </w:tc>
      </w:tr>
      <w:tr>
        <w:trPr>
          <w:trHeight w:val="241"/>
        </w:trPr>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6"/>
              </w:rPr>
              <w:t>Shares</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Equity</w:t>
            </w:r>
          </w:p>
        </w:tc>
      </w:tr>
      <w:tr>
        <w:trPr>
          <w:trHeight w:val="202"/>
        </w:trPr>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55,905,213</w:t>
            </w:r>
          </w:p>
        </w:tc>
        <w:tc>
          <w:tcPr>
            <w:tcW w:w="260" w:type="dxa"/>
            <w:vAlign w:val="bottom"/>
          </w:tcPr>
          <w:p>
            <w:pPr>
              <w:spacing w:after="0"/>
              <w:rPr>
                <w:sz w:val="17"/>
                <w:szCs w:val="17"/>
                <w:color w:val="auto"/>
              </w:rPr>
            </w:pPr>
          </w:p>
        </w:tc>
        <w:tc>
          <w:tcPr>
            <w:tcW w:w="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56</w:t>
            </w:r>
          </w:p>
        </w:tc>
        <w:tc>
          <w:tcPr>
            <w:tcW w:w="260" w:type="dxa"/>
            <w:vAlign w:val="bottom"/>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(23,352)</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(341)</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322,932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(253,770)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(5,852)</w:t>
            </w:r>
          </w:p>
        </w:tc>
      </w:tr>
      <w:tr>
        <w:trPr>
          <w:trHeight w:val="230"/>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20"/>
                <w:szCs w:val="20"/>
                <w:color w:val="auto"/>
              </w:rPr>
            </w:pPr>
          </w:p>
        </w:tc>
      </w:tr>
      <w:tr>
        <w:trPr>
          <w:trHeight w:val="668"/>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16,667</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55,921,880</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(259,622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63,312</w:t>
            </w:r>
          </w:p>
        </w:tc>
        <w:tc>
          <w:tcPr>
            <w:tcW w:w="40" w:type="dxa"/>
            <w:vAlign w:val="bottom"/>
          </w:tcPr>
          <w:p>
            <w:pPr>
              <w:spacing w:after="0"/>
              <w:rPr>
                <w:sz w:val="19"/>
                <w:szCs w:val="19"/>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-1028065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-745490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-179705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8"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00" w:space="380"/>
            <w:col w:w="8860"/>
          </w:cols>
          <w:pgMar w:left="320" w:top="21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 July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(7,039)</w:t>
            </w:r>
          </w:p>
        </w:tc>
        <w:tc>
          <w:tcPr>
            <w:tcW w:w="136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(5,852)</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Depreciation of fixed assets</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43</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Amortization of right of use asset</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75</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discount)/amortization of premium on investments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220</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Change in contingent consideration liability</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333</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w:t>
            </w:r>
          </w:p>
        </w:tc>
      </w:tr>
      <w:tr>
        <w:trPr>
          <w:trHeight w:val="216"/>
        </w:trPr>
        <w:tc>
          <w:tcPr>
            <w:tcW w:w="620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Inventory</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620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154</w:t>
            </w:r>
          </w:p>
        </w:tc>
      </w:tr>
      <w:tr>
        <w:trPr>
          <w:trHeight w:val="216"/>
        </w:trPr>
        <w:tc>
          <w:tcPr>
            <w:tcW w:w="6200" w:type="dxa"/>
            <w:vAlign w:val="bottom"/>
          </w:tcPr>
          <w:p>
            <w:pPr>
              <w:ind w:left="540"/>
              <w:spacing w:after="0"/>
              <w:rPr>
                <w:sz w:val="20"/>
                <w:szCs w:val="20"/>
                <w:color w:val="auto"/>
              </w:rPr>
            </w:pPr>
            <w:r>
              <w:rPr>
                <w:rFonts w:ascii="Arial" w:cs="Arial" w:eastAsia="Arial" w:hAnsi="Arial"/>
                <w:sz w:val="18"/>
                <w:szCs w:val="18"/>
                <w:color w:val="auto"/>
              </w:rPr>
              <w:t>Earnout payable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212</w:t>
            </w:r>
          </w:p>
        </w:tc>
      </w:tr>
      <w:tr>
        <w:trPr>
          <w:trHeight w:val="216"/>
        </w:trPr>
        <w:tc>
          <w:tcPr>
            <w:tcW w:w="6200" w:type="dxa"/>
            <w:vAlign w:val="bottom"/>
          </w:tcPr>
          <w:p>
            <w:pPr>
              <w:ind w:left="540"/>
              <w:spacing w:after="0"/>
              <w:rPr>
                <w:sz w:val="20"/>
                <w:szCs w:val="20"/>
                <w:color w:val="auto"/>
              </w:rPr>
            </w:pPr>
            <w:r>
              <w:rPr>
                <w:rFonts w:ascii="Arial" w:cs="Arial" w:eastAsia="Arial" w:hAnsi="Arial"/>
                <w:sz w:val="18"/>
                <w:szCs w:val="18"/>
                <w:color w:val="auto"/>
              </w:rPr>
              <w:t>Change in lease liability</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7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620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operating activities</w:t>
            </w:r>
          </w:p>
        </w:tc>
        <w:tc>
          <w:tcPr>
            <w:tcW w:w="78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(7,990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(5,092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Redemptions of short term investments</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11,718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17,252</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short term investments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(10,813)</w:t>
            </w: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36"/>
        </w:trPr>
        <w:tc>
          <w:tcPr>
            <w:tcW w:w="62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0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tax withholding related to shares withheld</w:t>
            </w:r>
          </w:p>
        </w:tc>
        <w:tc>
          <w:tcPr>
            <w:tcW w:w="7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financing activities</w:t>
            </w:r>
          </w:p>
        </w:tc>
        <w:tc>
          <w:tcPr>
            <w:tcW w:w="78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 increase in cash, cash equivalents and restricted cash</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7,103</w:t>
            </w:r>
          </w:p>
        </w:tc>
        <w:tc>
          <w:tcPr>
            <w:tcW w:w="136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8,362</w:t>
            </w: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0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4,084</w:t>
            </w:r>
          </w:p>
        </w:tc>
        <w:tc>
          <w:tcPr>
            <w:tcW w:w="136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9,653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Issuance of common stock for Marine Advanced Robotics earn out</w:t>
            </w:r>
          </w:p>
        </w:tc>
        <w:tc>
          <w:tcPr>
            <w:tcW w:w="20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Bonus paid through stock issuance</w:t>
            </w:r>
          </w:p>
        </w:tc>
        <w:tc>
          <w:tcPr>
            <w:tcW w:w="208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We provide ocean data collection and reporting, marine power, offshore communications and Domain Awareness Systems (“MDA” or “MDAS”) products, integrated solutions, and consulting services. Our solutions focus on four major service areas: Data as a Service (“DaaS”), which includes data collected by our Wave Adaptive Modular Vessel (WAM-V®) autonomous vehicles or our PowerBuoy® product lines; Robotics as a Service (“RaaS”), which provides a lower cost subscription model for our customers to access use of our WAM-V’s®; Power as a Service (“PaaS”), which includes our PowerBuoy® and subsea battery products; and our Strategic Consulting Services. 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Our solutions are based on technologies that enable autonomous, zero or low carbon emitting, and cost effective data collection, analysis, transportation and communication. Our solutions are primarily suited to ocean and other offshore environments, and support generation of actionable intelligence on a standalone basis or working with other data sources. We then channel the information we collect, and other communications, through control equipment linked to edge computing and cloud hosting environments. Our goal is to generate most of our revenues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2023, as filed with the SEC and elsewhere in our subsequent Exchange Act filings, including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months ended July 31, 2023, the Company incurred net losses of approximately $7.0 million, used cash in operations of approximately $8.0 million and had an accumulated deficit of approximately $287.1 million. Cash used in operations includes payments of the MAR earnout payable and payment of the fiscal 2023 bonus for all employees, both of which were accrued as of April 30, 2023. The Company has continued to make investments in ongoing product development efforts and to build inventory in anticipation of, and to support, future growth.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 For the three months ended July 31, 2023 and through the date of filing of this Form 10-Q, management has not obtained any material additional capital financing. Management believes the Company’s current cash balance at July 31, 2023 of $3.9 million and short term investments balance of $22.8 million is sufficient to fund its planned expenditures through at least September 2024.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Marine Advanced Robotics Inc. (CA), 3dent Technologies LLC (TX), Oregon Wave Energy Partners I LLC (DE), ReedSport OPT WavePark, LLC (OR) and Ocean Power Technologies Ltd. in the United Kingdom. ReedSport OPT WavePark, LLC (OR) and Oregon Wave Energy Partners I, LLC (DE) were dissolved during the first quarter of fiscal 2024. All significant intercompany balances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over-time revenue recognition, valuation consideration related to business combinations, including contingent consideration, and other assumptions and estimates used to evaluate the recoverability of long-lived assets, goodwill and other intangible assets.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business combinations in accordance with Financial Accounting and Standards Board (“FASB”) issued Accounting Standards Update (“ASU”) No. 2015-16, Business Combinations (Topic 805).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Cash Equivalents, Restricted Cash and Security Agreements and Short Term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 The Company invests excess cash in a money market account or in short term investments that are held-to-maturity. The Company had cash and cash equivalents of approximately $3.9 million as of July 31, 2023 and $6.9 million as of April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letter of credit agreement with Santander Bank, N.A. (“Santander”). Cash of $156,000 is on deposit at Santander and serves as security for a letter of credit issued by Santander for the lease of warehouse/office space in Monroe Township, New Jersey. This agreement cannot be extended beyond July 31, 2025 and is cancellable at the discretion of Santander.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Santander also issued a letter of credit to subsidiaries of Enel Green Power (“EGP”) pursuant to the Company’s contracts with EGP. This letter of credit was originally issued in August 2020 and has a remaining amount of $65,000 which will be released in January 2024.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short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long term</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July 31, 2023</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April 30, 2023</w:t>
            </w: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(in thousands)</w:t>
            </w:r>
          </w:p>
        </w:tc>
        <w:tc>
          <w:tcPr>
            <w:tcW w:w="1540" w:type="dxa"/>
            <w:vAlign w:val="bottom"/>
          </w:tcPr>
          <w:p>
            <w:pPr>
              <w:spacing w:after="0"/>
              <w:rPr>
                <w:sz w:val="17"/>
                <w:szCs w:val="17"/>
                <w:color w:val="auto"/>
              </w:rPr>
            </w:pPr>
          </w:p>
        </w:tc>
      </w:tr>
      <w:tr>
        <w:trPr>
          <w:trHeight w:val="216"/>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3,863</w:t>
            </w: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6,883</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-334010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233"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2022, the Company acquired investment securities through Charles Schwab Bank. As of July 31, 2023 and April 30, 2023, their carrying value was approximately $22.8 million and $27.8 million, respectively. All short term investments consist of corporate bonds, government agency bonds, or U.S. Treasury Notes and Bonds, are investment grade rated or better, and mature within 12 months. The Company has the ability and the intention to hold all investments to maturity, and as such are classified as held-to-maturity investments and carried at amortized cost.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accretion on discounts recognized for the three month period ended July 31, 2023 is approximately $0.1 million. The total amortization of premium on investments for the three month period ended July 31, 2022 was $0.2 million. Additionally, there has been no impairment on these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short term investments as of July 31, 2023 and April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July 31, 2023</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4"/>
              </w:rPr>
              <w:t>April 30, 2023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0"/>
              </w:rPr>
              <w:t>Amortized</w:t>
            </w:r>
          </w:p>
        </w:tc>
        <w:tc>
          <w:tcPr>
            <w:tcW w:w="100" w:type="dxa"/>
            <w:vAlign w:val="bottom"/>
          </w:tcPr>
          <w:p>
            <w:pPr>
              <w:spacing w:after="0"/>
              <w:rPr>
                <w:sz w:val="17"/>
                <w:szCs w:val="17"/>
                <w:color w:val="auto"/>
              </w:rPr>
            </w:pPr>
          </w:p>
        </w:tc>
        <w:tc>
          <w:tcPr>
            <w:tcW w:w="128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7"/>
                <w:szCs w:val="17"/>
                <w:color w:val="auto"/>
              </w:rPr>
            </w:pPr>
          </w:p>
        </w:tc>
        <w:tc>
          <w:tcPr>
            <w:tcW w:w="8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Market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90"/>
              </w:rPr>
              <w:t>Amortized</w:t>
            </w:r>
          </w:p>
        </w:tc>
        <w:tc>
          <w:tcPr>
            <w:tcW w:w="180" w:type="dxa"/>
            <w:vAlign w:val="bottom"/>
          </w:tcPr>
          <w:p>
            <w:pPr>
              <w:spacing w:after="0"/>
              <w:rPr>
                <w:sz w:val="17"/>
                <w:szCs w:val="17"/>
                <w:color w:val="auto"/>
              </w:rPr>
            </w:pPr>
          </w:p>
        </w:tc>
        <w:tc>
          <w:tcPr>
            <w:tcW w:w="134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7"/>
                <w:szCs w:val="17"/>
                <w:color w:val="auto"/>
              </w:rPr>
            </w:pPr>
          </w:p>
        </w:tc>
        <w:tc>
          <w:tcPr>
            <w:tcW w:w="8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gridSpan w:val="2"/>
          </w:tcPr>
          <w:p>
            <w:pPr>
              <w:spacing w:after="0"/>
              <w:rPr>
                <w:sz w:val="17"/>
                <w:szCs w:val="17"/>
                <w:color w:val="auto"/>
              </w:rPr>
            </w:pPr>
          </w:p>
        </w:tc>
      </w:tr>
      <w:tr>
        <w:trPr>
          <w:trHeight w:val="24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14,876</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Government Bonds &amp; Notes</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9,188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9,221</w:t>
            </w:r>
          </w:p>
        </w:tc>
        <w:tc>
          <w:tcPr>
            <w:tcW w:w="80" w:type="dxa"/>
            <w:vAlign w:val="bottom"/>
          </w:tcPr>
          <w:p>
            <w:pPr>
              <w:spacing w:after="0"/>
              <w:rPr>
                <w:sz w:val="18"/>
                <w:szCs w:val="18"/>
                <w:color w:val="auto"/>
              </w:rPr>
            </w:pPr>
          </w:p>
        </w:tc>
      </w:tr>
      <w:tr>
        <w:trPr>
          <w:trHeight w:val="25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3,851</w:t>
            </w:r>
          </w:p>
        </w:tc>
        <w:tc>
          <w:tcPr>
            <w:tcW w:w="80" w:type="dxa"/>
            <w:vAlign w:val="bottom"/>
            <w:shd w:val="clear" w:color="auto" w:fill="CCEEFF"/>
          </w:tcPr>
          <w:p>
            <w:pPr>
              <w:spacing w:after="0"/>
              <w:rPr>
                <w:sz w:val="21"/>
                <w:szCs w:val="21"/>
                <w:color w:val="auto"/>
              </w:rPr>
            </w:pPr>
          </w:p>
        </w:tc>
      </w:tr>
      <w:tr>
        <w:trPr>
          <w:trHeight w:val="216"/>
        </w:trPr>
        <w:tc>
          <w:tcPr>
            <w:tcW w:w="33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Short 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22,790</w:t>
            </w: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22,894</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27,790</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Inventory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330, inventory is stated at the lower of costs or net realizable value applicable to goods on hand remaining after the matching of absorbed costs with concurrent revenues. The Company has three classes of inventory; raw materials, work in process, and finished goods. Items remain in inventory until they are shipped to the customer, at which time the costs are transferred on a FIFO basis to cost of good sold, or moved to leased assets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Accounts Receivable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stated at the net amount expected to be collected. Amounts are ordinarily due between 30 and 90 days after the issuance of the invoice. We are exposed to credit losses primarily on our accounts receivable and contract assets related to our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immaterial. Expected credit losses are written off in the period in which the financial asset is no longer collectible.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90 days after invoicing). Generally, invoicing occurs after the services are performed or control of the product has transferred to the customer. Accounts receivable represent an unconditional right to consideration arising from the Company’s performance under contracts with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Estimated depreciable life</w:t>
            </w:r>
          </w:p>
        </w:tc>
      </w:tr>
      <w:tr>
        <w:trPr>
          <w:trHeight w:val="216"/>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5-7 years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fixtures</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3-7 years</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Shorter of the estimated useful life or lease term</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Leased Power Buoys assets</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 years</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Leased WAM-V assets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10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cash accounts that are denominated in British pound sterling. These amounts are included in cash, cash equivalents and restricted cash on the accompanying Consolidated Balance Sheets. Transactions denominated in a foreign currency may result in realized and unrealized foreign exchange gains or losses from exchange rate fluctuations, which are included in “Foreign exchange (loss)/gain”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Financial instruments that potentially subject the Company to credit risk consist principally of trade accounts receivable, short term investments and cash equivalents. The Company believes that its credit risk is limited because the Company’s current contracts are with entities with a reliable payment history. The Company invests its excess cash in a money market fund and short term held-to maturity investments and does not believe that it is exposed to any significant risks related to its cash accounts, money market fund, or held-to maturity investments. Cash is also maintained at foreign financial institutions. Cash in foreign financial institutions as of July 31, 2023 was immaterial.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July 31, 2023 and 2022, the Company had four and three customers whose revenues accounted for at least 10% of the Company’s consolidated revenues, respectively. These revenues accounted for approximately 73% and 69% of the Company’s total revenues for the respective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Share-Based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Costs resulting from all share-based payment transactions are recognized in the consolidated financial statements at their fair values. The aggregate share-based compensation expense recorded in the Consolidated Statements of Operations for the three months ended July 31, 2023 and 2022 was approximately $0.4 million and $0.3 million, respectively. The Company’s policy is to account for forfeitures of share-based compensation as they occur.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Revenue Recognition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July 31, 2023 or 2022.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three-month periods ended July 31, 2023 the Company recognized approximately $0.5 million in revenue related to performance obligations satisfied at a point in time and approximately $0.8 million in revenue related to performance obligations satisfied over-time.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three-month periods ended July 31, 2023 and 2022, the majority of the Company’s contracts were classified as firm fixed-price and the remainder were cost-sharing.</w:t>
      </w:r>
    </w:p>
    <w:p>
      <w:pPr>
        <w:spacing w:after="0" w:line="15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2023, the Company’s total remaining performance obligations, also referred to as backlog, totaled $3.1 million. The Company expects to recognize approximately 96%, or $3.0 million, of the remaining performance obligations as revenue over the next twelve months.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elected to record taxes collected from customers on a net basis and does not include tax amounts in revenue or costs of revenue.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represents the total revenue recognized under ASC 606 and ASC 842 for the three months ended July 31,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Borders>
              <w:right w:val="single" w:sz="8" w:color="auto"/>
            </w:tcBorders>
            <w:gridSpan w:val="8"/>
          </w:tcPr>
          <w:p>
            <w:pPr>
              <w:jc w:val="right"/>
              <w:ind w:right="700"/>
              <w:spacing w:after="0"/>
              <w:rPr>
                <w:sz w:val="20"/>
                <w:szCs w:val="20"/>
                <w:color w:val="auto"/>
              </w:rPr>
            </w:pPr>
            <w:r>
              <w:rPr>
                <w:rFonts w:ascii="Arial" w:cs="Arial" w:eastAsia="Arial" w:hAnsi="Arial"/>
                <w:sz w:val="18"/>
                <w:szCs w:val="18"/>
                <w:b w:val="1"/>
                <w:bCs w:val="1"/>
                <w:color w:val="auto"/>
              </w:rPr>
              <w:t>Three months ended July 31, 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20" w:type="dxa"/>
            <w:vAlign w:val="bottom"/>
            <w:gridSpan w:val="9"/>
          </w:tcPr>
          <w:p>
            <w:pPr>
              <w:ind w:left="380"/>
              <w:spacing w:after="0"/>
              <w:rPr>
                <w:sz w:val="20"/>
                <w:szCs w:val="20"/>
                <w:color w:val="auto"/>
              </w:rPr>
            </w:pPr>
            <w:r>
              <w:rPr>
                <w:rFonts w:ascii="Arial" w:cs="Arial" w:eastAsia="Arial" w:hAnsi="Arial"/>
                <w:sz w:val="18"/>
                <w:szCs w:val="18"/>
                <w:b w:val="1"/>
                <w:bCs w:val="1"/>
                <w:color w:val="auto"/>
              </w:rPr>
              <w:t>Three months ended July 31, 2022</w:t>
            </w:r>
          </w:p>
        </w:tc>
      </w:tr>
      <w:tr>
        <w:trPr>
          <w:trHeight w:val="236"/>
        </w:trPr>
        <w:tc>
          <w:tcPr>
            <w:tcW w:w="3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5"/>
              </w:rPr>
              <w:t>ASC 606</w:t>
            </w: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5"/>
              </w:rPr>
              <w:t>ASC 842</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3"/>
              </w:rPr>
              <w:t>ASC 606</w:t>
            </w: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ASC 842</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Line: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WAM-V</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Buoy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14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North and South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14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4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03"/>
        </w:trPr>
        <w:tc>
          <w:tcPr>
            <w:tcW w:w="33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1,029</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243</w:t>
            </w:r>
          </w:p>
        </w:tc>
        <w:tc>
          <w:tcPr>
            <w:tcW w:w="3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1,272</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700</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80"/>
              <w:spacing w:after="0" w:line="203" w:lineRule="exact"/>
              <w:rPr>
                <w:sz w:val="20"/>
                <w:szCs w:val="20"/>
                <w:color w:val="auto"/>
              </w:rPr>
            </w:pPr>
            <w:r>
              <w:rPr>
                <w:rFonts w:ascii="Arial" w:cs="Arial" w:eastAsia="Arial" w:hAnsi="Arial"/>
                <w:sz w:val="18"/>
                <w:szCs w:val="18"/>
                <w:color w:val="auto"/>
                <w:w w:val="79"/>
              </w:rPr>
              <w:t>14</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714</w:t>
            </w:r>
          </w:p>
        </w:tc>
        <w:tc>
          <w:tcPr>
            <w:tcW w:w="100" w:type="dxa"/>
            <w:vAlign w:val="bottom"/>
            <w:tcBorders>
              <w:top w:val="single" w:sz="8" w:color="CCEEFF"/>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Net 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restricted stock units issued to employees and non-employee directors, were excluded from the diluted loss per share calculation due to their anti-dilutive effect.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computing diluted net loss per share on the Consolidated Statement of Operations, warrants on common stock, options to purchase shares of common stock and unvested restricted stock units issued to employees and non-employee directors, totaling 7,614,992 and 6,378,212 for the three months ended July 31, 2023 and 2022, respectively, were excluded from each of the computations as the effect would have been anti-dilutive due to the net loss for the period. Share purchase rights, which include a contingency, are not included in the calculation until the contingency is resolved.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Intangibles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20, 12 and 10 years respectively, which is consistent with the estimated pattern of economic benefit of the assets. The trademark is not subject to amortization.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Intangible assets are reviewed for impairment if indicators of potential impairment exist. There was no indication of impairment of intangible assets for the three months ended July 31, 2023 and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Goodwill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Goodwill is assessed for impairment using a qualitative or quantitative approach. The Company performs an annual impairment test of goodwill and further periodic tests to the extent indicators of impairment develop between annual impairment tests. Where the Company use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fiscal year 2023 and determined that it is more likely than not that no goodwill impairment existed as of April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accounted for under ACS 740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Accumulated Other Comprehensive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three months ended July 31, 2023 and 2022, there were no amounts recorded to other comprehensive (income) loss due to limited foreign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Warranty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include a right of return on its products other than rights related to standard warranty provisions that permit repair or replacement of defective goods.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Research and Development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related to research and development activities by the Company are expensed as incurred. The Company had approximately $1.9 million and $2.3 million in product development expense for the three months ended July 31, 2023 and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Recently Issued Accounting Standards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Financial Accounting Standards Board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This amendment replaces the incurred loss impairment methodology in current GAAP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 Derivatives and Hedging (Topic 815), and Leases (Topic 842)</w:t>
      </w:r>
      <w:r>
        <w:rPr>
          <w:rFonts w:ascii="Arial" w:cs="Arial" w:eastAsia="Arial" w:hAnsi="Arial"/>
          <w:sz w:val="16"/>
          <w:szCs w:val="16"/>
          <w:color w:val="auto"/>
        </w:rPr>
        <w:t>, which deferred the effective date of 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for Smaller Reporting Companies for fiscal years beginning after December 15, 2022, including interim periods within those fiscal years. The Company has evaluated the impact on its consolidated financial statements from the adoption of ASU 2016-13, and has determined there is no material impact.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Contract Assets and Contract Liabilities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 from contracts with customers: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31, 2023</w:t>
            </w:r>
          </w:p>
        </w:tc>
        <w:tc>
          <w:tcPr>
            <w:tcW w:w="38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Arial" w:cs="Arial" w:eastAsia="Arial" w:hAnsi="Arial"/>
                <w:sz w:val="18"/>
                <w:szCs w:val="18"/>
                <w:b w:val="1"/>
                <w:bCs w:val="1"/>
                <w:color w:val="auto"/>
              </w:rPr>
              <w:t>April 30, 2023</w:t>
            </w:r>
          </w:p>
        </w:tc>
        <w:tc>
          <w:tcPr>
            <w:tcW w:w="36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2022</w:t>
            </w:r>
          </w:p>
        </w:tc>
      </w:tr>
      <w:tr>
        <w:trPr>
          <w:trHeight w:val="216"/>
        </w:trPr>
        <w:tc>
          <w:tcPr>
            <w:tcW w:w="5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730</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1,207</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conditional on completing additional tasks or services for a performance obligation. The increase in contract assets is primarily a result of consulting services projects for which revenue was recognized in the current period but has not yet been billed due to the terms of the project agreements. No impairments to contract assets were incurred during the three months ended July 31, 2023 or July 31,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60"/>
        <w:spacing w:after="0" w:line="266" w:lineRule="auto"/>
        <w:rPr>
          <w:sz w:val="20"/>
          <w:szCs w:val="20"/>
          <w:color w:val="auto"/>
        </w:rPr>
      </w:pPr>
      <w:r>
        <w:rPr>
          <w:rFonts w:ascii="Arial" w:cs="Arial" w:eastAsia="Arial" w:hAnsi="Arial"/>
          <w:sz w:val="18"/>
          <w:szCs w:val="18"/>
          <w:color w:val="auto"/>
        </w:rPr>
        <w:t>Transferred to receivables from contract assets recognized Revenue recognized and not 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Three months ended</w:t>
            </w: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July 31, 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July 31, 2022</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20" w:type="dxa"/>
            <w:vAlign w:val="bottom"/>
            <w:tcBorders>
              <w:top w:val="single" w:sz="8" w:color="auto"/>
              <w:bottom w:val="single" w:sz="8" w:color="auto"/>
            </w:tcBorders>
            <w:gridSpan w:val="5"/>
          </w:tcPr>
          <w:p>
            <w:pPr>
              <w:jc w:val="right"/>
              <w:ind w:right="1470"/>
              <w:spacing w:after="0"/>
              <w:rPr>
                <w:sz w:val="20"/>
                <w:szCs w:val="20"/>
                <w:color w:val="auto"/>
              </w:rPr>
            </w:pPr>
            <w:r>
              <w:rPr>
                <w:rFonts w:ascii="Arial" w:cs="Arial" w:eastAsia="Arial" w:hAnsi="Arial"/>
                <w:sz w:val="18"/>
                <w:szCs w:val="18"/>
                <w:color w:val="auto"/>
              </w:rPr>
              <w:t>(in thousands)</w:t>
            </w:r>
          </w:p>
        </w:tc>
        <w:tc>
          <w:tcPr>
            <w:tcW w:w="60" w:type="dxa"/>
            <w:vAlign w:val="bottom"/>
            <w:gridSpan w:val="2"/>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(377)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gridSpan w:val="2"/>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260" w:space="720"/>
            <w:col w:w="4260"/>
          </w:cols>
          <w:pgMar w:left="320" w:top="233" w:right="339" w:bottom="1440" w:gutter="0" w:footer="0" w:header="0"/>
        </w:sectPr>
      </w:pPr>
    </w:p>
    <w:p>
      <w:pPr>
        <w:spacing w:after="0" w:line="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 liabilities consist of amounts invoiced to customers in excess of revenue recognized. The decrease in contract liabilities is primarily due to recognizing revenue on the DOE Phase II contract for which the Company was paid in prior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w w:val="96"/>
              </w:rPr>
              <w:t>Significant changes in the contract liabilities balances during the period are as follows: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581"/>
              <w:spacing w:after="0"/>
              <w:rPr>
                <w:sz w:val="20"/>
                <w:szCs w:val="20"/>
                <w:color w:val="auto"/>
              </w:rPr>
            </w:pPr>
            <w:r>
              <w:rPr>
                <w:rFonts w:ascii="Arial" w:cs="Arial" w:eastAsia="Arial" w:hAnsi="Arial"/>
                <w:sz w:val="18"/>
                <w:szCs w:val="18"/>
                <w:b w:val="1"/>
                <w:bCs w:val="1"/>
                <w:color w:val="auto"/>
              </w:rPr>
              <w:t>July 31, 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July 31, 2022</w:t>
            </w:r>
          </w:p>
        </w:tc>
      </w:tr>
      <w:tr>
        <w:trPr>
          <w:trHeight w:val="230"/>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20" w:type="dxa"/>
            <w:vAlign w:val="bottom"/>
            <w:tcBorders>
              <w:top w:val="single" w:sz="8" w:color="auto"/>
            </w:tcBorders>
            <w:gridSpan w:val="5"/>
          </w:tcPr>
          <w:p>
            <w:pPr>
              <w:jc w:val="right"/>
              <w:ind w:right="14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r>
      <w:tr>
        <w:trPr>
          <w:trHeight w:val="202"/>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Payments collected for which revenue has not been recognized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12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8"/>
                <w:szCs w:val="18"/>
                <w:color w:val="auto"/>
              </w:rPr>
              <w:t>63</w:t>
            </w:r>
          </w:p>
        </w:tc>
      </w:tr>
      <w:tr>
        <w:trPr>
          <w:trHeight w:val="22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contract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inventory related to the production of its WAM-V® and PowerBuoy® products.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July 31, 2023</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30, 2023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4"/>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12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1,586</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3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20" w:type="dxa"/>
            <w:vAlign w:val="bottom"/>
            <w:vMerge w:val="restart"/>
          </w:tcPr>
          <w:p>
            <w:pPr>
              <w:jc w:val="right"/>
              <w:ind w:right="1170"/>
              <w:spacing w:after="0"/>
              <w:rPr>
                <w:sz w:val="20"/>
                <w:szCs w:val="20"/>
                <w:color w:val="auto"/>
              </w:rPr>
            </w:pPr>
            <w:r>
              <w:rPr>
                <w:rFonts w:ascii="Arial" w:cs="Arial" w:eastAsia="Arial" w:hAnsi="Arial"/>
                <w:sz w:val="18"/>
                <w:szCs w:val="18"/>
                <w:color w:val="auto"/>
              </w:rPr>
              <w:t>18</w:t>
            </w: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consisted of the following at July 31, 2023 and April 30, 2023:</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Prepaid insurance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Prepaid software &amp; licenses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Prepaid sales &amp; marketing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other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July 31, 2023</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April 30, 2023</w:t>
            </w: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(in thousands)</w:t>
            </w:r>
          </w:p>
        </w:tc>
        <w:tc>
          <w:tcPr>
            <w:tcW w:w="1540" w:type="dxa"/>
            <w:vAlign w:val="bottom"/>
          </w:tcPr>
          <w:p>
            <w:pPr>
              <w:spacing w:after="0"/>
              <w:rPr>
                <w:sz w:val="17"/>
                <w:szCs w:val="17"/>
                <w:color w:val="auto"/>
              </w:rPr>
            </w:pPr>
          </w:p>
        </w:tc>
      </w:tr>
      <w:tr>
        <w:trPr>
          <w:trHeight w:val="216"/>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-745490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-471170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(6) Property and Equipment, net</w:t>
            </w:r>
          </w:p>
        </w:tc>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gridSpan w:val="5"/>
          </w:tcPr>
          <w:p>
            <w:pPr>
              <w:spacing w:after="0"/>
              <w:rPr>
                <w:sz w:val="20"/>
                <w:szCs w:val="20"/>
                <w:color w:val="auto"/>
              </w:rPr>
            </w:pPr>
            <w:r>
              <w:rPr>
                <w:rFonts w:ascii="Arial" w:cs="Arial" w:eastAsia="Arial" w:hAnsi="Arial"/>
                <w:sz w:val="18"/>
                <w:szCs w:val="18"/>
                <w:color w:val="auto"/>
              </w:rPr>
              <w:t>The components of property and equipment, net as of July 31, 2023 and April 30, 2023 consisted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4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July 31, 2023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4"/>
              </w:rPr>
              <w:t>April 30, 2023</w:t>
            </w:r>
          </w:p>
        </w:tc>
      </w:tr>
      <w:tr>
        <w:trPr>
          <w:trHeight w:val="216"/>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w:t>
            </w: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611</w:t>
            </w:r>
          </w:p>
        </w:tc>
      </w:tr>
      <w:tr>
        <w:trPr>
          <w:trHeight w:val="25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Leased WAM-V’s</w:t>
            </w:r>
          </w:p>
        </w:tc>
        <w:tc>
          <w:tcPr>
            <w:tcW w:w="2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03"/>
        </w:trPr>
        <w:tc>
          <w:tcPr>
            <w:tcW w:w="47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2,984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2,851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(1,642)</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r>
      <w:tr>
        <w:trPr>
          <w:trHeight w:val="217"/>
        </w:trPr>
        <w:tc>
          <w:tcPr>
            <w:tcW w:w="476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Leased WAM-V’s represent fixed assets that are part of underlying operating leases with customers as discussed in the revenue recognition section of ASC 842 policy disclosure. Depreciation expense was approximately $71,000 and $43,000 for the three-month periods ended July 31, 2023 and 2022,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as of July 31, 2023 and April 30,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July 31, 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April 30, 2023</w:t>
            </w: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2,729</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Trademarks</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44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29"/>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approximately $40,000 and $40,000 for the three-month periods ended July 31, 2023 and 2022,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in the amount of $8.5 million was recognized in November 2021 related to the acquisition of MAR. There have been no additions to or any impairment of goodwill during the three-month periods ended July 31,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30, 2023, the Company had three WAM-V’s leased to customers which have been classified as operating leases per accounting guidance contained within ASC Topic 842, “Leases”. The remaining term on these operating leases is less than 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lease for its facility located in Monroe Township, New Jersey that is used as warehouse/production space and the Company’s principal offices and corporate headquarters. The lease includes an initial lease term of seven years which is set to expire on October 31, 2024, and contains an option to extend the lease for another five years. The lease is classified as an operating lease and is included in right-of-use assets, right-of-use liabilities-current and right-of-use liabilities- long-term on the Company’s Consolidated Balance Sheets.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also has a lease located in Houston, Texas for office space for our local employees. The lease term is for 1 year, and is set to expire in January 2024. ASC 842 allows a company an accounting policy election to recognize lease payments within the Consolidated Statement of Operations on a straight-line basis if the lease term is equal to or less than 12 months and not recognize a right-of use asset and lease liability. The accounting policy election is made on the commencement date of the lease. The Company has chosen this election for the Houston lease and classified it as a short-term lease.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a lease for an office space located in Richmond, California for MAR. This lease commenced in April of 2023 and will continue for 62 months. The lease is classified as an operating lease and is included in right-of-use assets, right-of-use liabilities- current and right-of-use liabilities-long-term on the Company’s Consolidated Balance Sheets.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Variable lease expenses, if any, are recorded as incurred. The operating lease cash flow payments for the three months ended July 31, 2023 and 2022 were $177,000 and $100,000,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in the Consolidated Statement of Operations for the three months ended July 31, 2023 and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60" w:type="dxa"/>
            <w:vAlign w:val="bottom"/>
            <w:gridSpan w:val="9"/>
          </w:tcPr>
          <w:p>
            <w:pPr>
              <w:jc w:val="right"/>
              <w:ind w:right="106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(in thousands)</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6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658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4"/>
          </w:tcPr>
          <w:p>
            <w:pPr>
              <w:spacing w:after="0"/>
              <w:rPr>
                <w:sz w:val="20"/>
                <w:szCs w:val="20"/>
                <w:color w:val="auto"/>
              </w:rPr>
            </w:pPr>
            <w:r>
              <w:rPr>
                <w:rFonts w:ascii="Arial" w:cs="Arial" w:eastAsia="Arial" w:hAnsi="Arial"/>
                <w:sz w:val="18"/>
                <w:szCs w:val="18"/>
                <w:color w:val="auto"/>
                <w:w w:val="93"/>
              </w:rPr>
              <w:t>Information related to the Company’s right-of use assets and lease liabilities as of July 31, 2023 was as follows: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89"/>
              </w:rPr>
              <w:t>July 31, 2023</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89"/>
              </w:rPr>
              <w:t>(in thousands)</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80" w:type="dxa"/>
            <w:vAlign w:val="bottom"/>
            <w:gridSpan w:val="2"/>
          </w:tcPr>
          <w:p>
            <w:pPr>
              <w:spacing w:after="0"/>
              <w:rPr>
                <w:sz w:val="20"/>
                <w:szCs w:val="20"/>
                <w:color w:val="auto"/>
              </w:rPr>
            </w:pPr>
            <w:r>
              <w:rPr>
                <w:rFonts w:ascii="Arial" w:cs="Arial" w:eastAsia="Arial" w:hAnsi="Arial"/>
                <w:sz w:val="18"/>
                <w:szCs w:val="18"/>
                <w:color w:val="auto"/>
              </w:rPr>
              <w:t>Operating right-of-use asset, net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8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Right-of-use liabilities- current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liabilities- long term</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Total lease liability</w:t>
            </w:r>
          </w:p>
        </w:tc>
        <w:tc>
          <w:tcPr>
            <w:tcW w:w="400" w:type="dxa"/>
            <w:vAlign w:val="bottom"/>
            <w:tcBorders>
              <w:top w:val="single" w:sz="8" w:color="CCEEFF"/>
              <w:bottom w:val="single" w:sz="8" w:color="CCEEFF"/>
            </w:tcBorders>
          </w:tcPr>
          <w:p>
            <w:pPr>
              <w:spacing w:after="0"/>
              <w:rPr>
                <w:sz w:val="22"/>
                <w:szCs w:val="22"/>
                <w:color w:val="auto"/>
              </w:rPr>
            </w:pPr>
          </w:p>
        </w:tc>
        <w:tc>
          <w:tcPr>
            <w:tcW w:w="1360" w:type="dxa"/>
            <w:vAlign w:val="bottom"/>
            <w:tcBorders>
              <w:top w:val="single" w:sz="8" w:color="CCEEFF"/>
              <w:bottom w:val="single" w:sz="8" w:color="CCEEFF"/>
            </w:tcBorders>
          </w:tcPr>
          <w:p>
            <w:pPr>
              <w:spacing w:after="0"/>
              <w:rPr>
                <w:sz w:val="22"/>
                <w:szCs w:val="22"/>
                <w:color w:val="auto"/>
              </w:rPr>
            </w:pPr>
          </w:p>
        </w:tc>
        <w:tc>
          <w:tcPr>
            <w:tcW w:w="5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operating leases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3.97 years</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w w:val="95"/>
              </w:rPr>
              <w:t>Total remaining lease payments under the Company’s operating leases are as follows: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July 31, 2023</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1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year 2024</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2025</w:t>
            </w:r>
          </w:p>
        </w:tc>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2027</w:t>
            </w:r>
          </w:p>
        </w:tc>
        <w:tc>
          <w:tcPr>
            <w:tcW w:w="5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6"/>
        </w:trPr>
        <w:tc>
          <w:tcPr>
            <w:tcW w:w="6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6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554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580" w:type="dxa"/>
            <w:vAlign w:val="bottom"/>
            <w:tcBorders>
              <w:bottom w:val="single" w:sz="8" w:color="auto"/>
            </w:tcBorders>
            <w:gridSpan w:val="2"/>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(10) Accrued Expenses</w:t>
            </w: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w w:val="99"/>
              </w:rPr>
              <w:t>Accrued expenses consisted of the following at July 31, 2023 and April 30, 2023:</w:t>
            </w: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2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July 31, 2023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rPr>
              <w:t>April 30, 2023</w:t>
            </w:r>
          </w:p>
        </w:tc>
      </w:tr>
      <w:tr>
        <w:trPr>
          <w:trHeight w:val="216"/>
        </w:trPr>
        <w:tc>
          <w:tcPr>
            <w:tcW w:w="12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4"/>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costs</w:t>
            </w:r>
          </w:p>
        </w:tc>
        <w:tc>
          <w:tcPr>
            <w:tcW w:w="204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Employee incentive payments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salary and benefits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7"/>
        </w:trPr>
        <w:tc>
          <w:tcPr>
            <w:tcW w:w="1280" w:type="dxa"/>
            <w:vAlign w:val="bottom"/>
            <w:tcBorders>
              <w:top w:val="single" w:sz="8" w:color="CCEEFF"/>
            </w:tcBorders>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1,556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underwritten public offering from April 2019 included the issuance of common stock warrants to purchase up to 4,927,680 shares of common stock that have an exercise price of $3.85 per share and expire five years from the issuance date. As of July 31, 2023, common warrants to purchase 732,500 shares of the common stock had been exercised.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At subsequent shareholder meetings, including most recently in January 2023, the shareholders approved an aggregate increase to the 2015 Plan of 3,050,000 shares resulting in total shares authorized for issuance of 4,382,036 as of January 2023. As of July 31, 2023, the Company had approximately 365,000 shares available for future issuance under the 2015 Plan.</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On February 9, 2022, the 2018 Inducement Plan was amended to increase the authorized shares by 250,000 to 275,000. As of July 31, 2023, there were approximately 111,000 shares available for grant under the 2018 Inducement Plan. The 2015 Plan and the 2018 Inducement Plan together comprise the “Stock Incentive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is based on the Company’s historical volatility over the expected life of the stock option granted. The Company did not grant any stock options during the three months ended July 31, 2023 and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Weighted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146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Exercise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2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Options</w:t>
            </w:r>
          </w:p>
        </w:tc>
        <w:tc>
          <w:tcPr>
            <w:tcW w:w="146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2023</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1,529,185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Cancelled/forfeited</w:t>
            </w:r>
          </w:p>
        </w:tc>
        <w:tc>
          <w:tcPr>
            <w:tcW w:w="2260" w:type="dxa"/>
            <w:vAlign w:val="bottom"/>
            <w:gridSpan w:val="3"/>
          </w:tcPr>
          <w:p>
            <w:pPr>
              <w:jc w:val="right"/>
              <w:ind w:right="280"/>
              <w:spacing w:after="0"/>
              <w:rPr>
                <w:sz w:val="20"/>
                <w:szCs w:val="20"/>
                <w:color w:val="auto"/>
              </w:rPr>
            </w:pPr>
            <w:r>
              <w:rPr>
                <w:rFonts w:ascii="Arial" w:cs="Arial" w:eastAsia="Arial" w:hAnsi="Arial"/>
                <w:sz w:val="18"/>
                <w:szCs w:val="18"/>
                <w:color w:val="auto"/>
              </w:rPr>
              <w:t>(80,201)</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2023</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Exercisable as of July 31, 2023</w:t>
            </w:r>
          </w:p>
        </w:tc>
        <w:tc>
          <w:tcPr>
            <w:tcW w:w="1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vMerge w:val="restart"/>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3.19</w:t>
            </w:r>
          </w:p>
        </w:tc>
        <w:tc>
          <w:tcPr>
            <w:tcW w:w="2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484,099</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July 31, 2023, the total intrinsic value of outstanding and exercisable options was approximately zero. As of July 31, 2023, approximately 965,000 options were unvested, which had an intrinsic value of zero and a weighted average remaining contractual term of 9.1 years. There was approximately $79,000 and $96,000 of total recognized compensation cost related to stock options during each of the three months ended July 31, 2023 and 2022, respectively. As of July 31, 2023, there was approximately $0.6 million of total unrecognized compensation cost related to non-vested stock options granted under the plans. This cost is expected to be recognized over a weighted-average period of 1.9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31, 2023, there were no performance stock options outstanding. As of April 30, 2023 there were 66,667 shares outstanding which were all canceled during the quarter ended July 31, 2023. There was approximately $43,000 and $53,000 of total recognized compensation cost related to performance stock options during the three months ended July 31,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restricted stock units is generally recorded based on its market value on the date of grant and recognized ratably over the associated service and performance period. During the three months ended July 31, 2023 and 2022, the Company granted 52,500 and 51,500 shares, respectively, that were subject to both service-based and market-based vesting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unvested restricted stock units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Unvested at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Unvested at July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2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Average Price</w:t>
            </w:r>
          </w:p>
        </w:tc>
      </w:tr>
      <w:tr>
        <w:trPr>
          <w:trHeight w:val="241"/>
        </w:trPr>
        <w:tc>
          <w:tcPr>
            <w:tcW w:w="22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of Shares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per Share</w:t>
            </w:r>
          </w:p>
        </w:tc>
      </w:tr>
      <w:tr>
        <w:trPr>
          <w:trHeight w:val="202"/>
        </w:trPr>
        <w:tc>
          <w:tcPr>
            <w:tcW w:w="1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1,985,994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0.89</w:t>
            </w:r>
          </w:p>
        </w:tc>
        <w:tc>
          <w:tcPr>
            <w:tcW w:w="20" w:type="dxa"/>
            <w:vAlign w:val="bottom"/>
          </w:tcPr>
          <w:p>
            <w:pPr>
              <w:spacing w:after="0"/>
              <w:rPr>
                <w:sz w:val="17"/>
                <w:szCs w:val="17"/>
                <w:color w:val="auto"/>
              </w:rPr>
            </w:pPr>
          </w:p>
        </w:tc>
      </w:tr>
      <w:tr>
        <w:trPr>
          <w:trHeight w:val="216"/>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53,000</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r>
      <w:tr>
        <w:trPr>
          <w:trHeight w:val="230"/>
        </w:trPr>
        <w:tc>
          <w:tcPr>
            <w:tcW w:w="2240" w:type="dxa"/>
            <w:vAlign w:val="bottom"/>
            <w:gridSpan w:val="2"/>
          </w:tcPr>
          <w:p>
            <w:pPr>
              <w:jc w:val="right"/>
              <w:ind w:right="260"/>
              <w:spacing w:after="0"/>
              <w:rPr>
                <w:sz w:val="20"/>
                <w:szCs w:val="20"/>
                <w:color w:val="auto"/>
              </w:rPr>
            </w:pPr>
            <w:r>
              <w:rPr>
                <w:rFonts w:ascii="Arial" w:cs="Arial" w:eastAsia="Arial" w:hAnsi="Arial"/>
                <w:sz w:val="18"/>
                <w:szCs w:val="18"/>
                <w:color w:val="auto"/>
              </w:rPr>
              <w:t>(68,166)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r>
        <w:trPr>
          <w:trHeight w:val="237"/>
        </w:trPr>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1,970,828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0" w:type="dxa"/>
            <w:vAlign w:val="bottom"/>
            <w:tcBorders>
              <w:bottom w:val="single" w:sz="8" w:color="auto"/>
            </w:tcBorders>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380"/>
            <w:col w:w="4260"/>
          </w:cols>
          <w:pgMar w:left="320" w:top="233" w:right="339" w:bottom="1440" w:gutter="0" w:footer="0" w:header="0"/>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$280,000 and $184,000 of total recognized compensation cost related to restricted stock units for the three months ended July 31, 2023 and 2022, respectively. As of July 31, 2023, there was approximately $844,000 of unrecognized compensation cost remaining related to unvested restricted stock units granted under our plans. This cost is expected to be recognized over a weighted-average period of 1.3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 is equal to their fair value due to the short term nature of these accounts.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there is a Level 3 contingent liability related to earn out payable as part of the MAR acquisition in the amount of $1.1 million as of July 31, 2023. The fair value of this contingent liability had decreased by approximately $0.1 million from the fair value of $1.2 million as of April 30, 2023.</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 June 2023, the Company paid $500,000 in cash and issued 1,923,077 in shares worth $1.0 million to satisfy the achievement of the first earn out period.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three months ended July 31, 2023 and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Legal Matters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 The Company has appealed the results of the income tax audit in Spain for the period from 2011 to 2014, when the Company’s Spanish branch was closed (see Note 14). At July 31, 2023,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Preservation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2023, the Company adopted a Section 382 Tax Benefits Preservation Plan (the “Tax Benefits Preservation Plan” or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4.99% or more of the outstanding common stock without approval by potentially subjecting any such person or group to significant dilution.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determined the grant date fair value of the using an option-pricing model. The amount was immaterial to the consolidated financial statements and deemed to be de minimis, and accordingly was not recorded to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Operating Segments and Geographic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business consists of one reportable segment as the revenues associated with its different business lines are not material enough to justify segment reporting or to make it meaningful to investors, and our chief operating decision maker does not view the Company’s operations on a segment basis. The Company operates worldwide, with its U.S. operations in New Jersey, California, Oregon and Texas, and one operating subsidiary in the UK. Revenues and expenses are generally attributed to the operating unit that bills the customers. During each of the three months ended July 31, 2023 and 2022, the Company’s primary business operations were in North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7, 2023, the Company entered into a Controlled Equity Offering Sales Agreement (the “2023 ATM”) with Cantor Fitzgerald &amp; Co. (“Cantor”), as sales agent, pursuant to which the Company may offer and sell, from time to time, through Cantor shares of its common stock. The Company can issue and sell, from time to time, shares of the Company’s common stock having an aggregate offering price of up to $13.8 million.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September 1, 2023, the Company was awarded three separate Indefinite Delivery Indefinite Quantity (“IDIQ”) Multiple-Award Contracts from the National Oceanic and Atmospheric Administration (“NOAA”). NOAA has selected the Company as one of several Multiple Award IDIQ contract holders to provide Uncrewed Maritime Systems Services to NOAA’s Office of Marine and Aviation Operations, Uncrewed Systems Operation Center. The ultimate amount of revenue to be received by the Company under these contracts is not known at this time. The ordering period is set to span three years, commencing on September 1, 2023, and concluding on August 31, 2026.</w:t>
      </w:r>
    </w:p>
    <w:p>
      <w:pPr>
        <w:sectPr>
          <w:pgSz w:w="11900" w:h="16838" w:orient="portrait"/>
          <w:cols w:equalWidth="0" w:num="1">
            <w:col w:w="11240"/>
          </w:cols>
          <w:pgMar w:left="320" w:top="233"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2023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focus on four major service areas: Data as a Service (“DaaS”), which includes data collected by our Wave Adaptive Modular Vessel (WAM-V®) autonomous vehicles or our PowerBuoy® product lines; Robotics as a Service (“RaaS”), which provides a lower cost subscription model for our customers to access use of our WAM-V’s®; Power as a Service (“PaaS”), which includes our PowerBuoy® and subsea battery products; and our Strategic Consulting Services.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We achieve this through our proprietary, state-of-the-art technologies that are at the core of our clean and renewable energy platforms, autonomous systems, solutions and services.</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ocean data collection and reporting, marine power, offshore communications, and Maritime Domain Awareness System (“MDA” or “MDAS”) products, integrated solutions, and consulting services. We offer our products and services to a wide 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We also work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under the laws of the State of New Jersey in April 1984 and began commercial operations in 1994. On April 23, 2007, we reincorporated in 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Data as a Service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DaaS solution is at the forefront of our strategic plan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2020, the Company launched its DaaS offering in support of the U.S. Navy’s Naval Postgraduate School’s NPS Field Experimentation (formerly Sea, Land, Air, Military Research Initiative). We have further expanded our DaaS offering through field demonstration such as ANTX Coastal Trident 2022, as well as the Naval Task Force 59 for the Digital Horizon field exercise and the International Maritime Exercise (IMX) in Bahrain, Sulmara for survey services with our WAM-V® platform, and Phase I funding through National Oceanic and Atmospheric Administration’s (NOAA) Small Business Innovation Research (SBIR) program.</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during fiscal 2023 the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PB3 PowerBuoy® equipped with our MDA solution. The project will be deployed in support of security efforts to detect illegal, unreported, and unregulated (“IUU”) fishing, dark vessels, and human/drug trafficking in operation 24/7/365 and is scheduled to begin during fiscal 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Domain Awareness Solution (“MDAS”)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International Maritime Organization defines Maritime Domain Awareness (“MDA”) as the effective understanding of any activity that could impact the security, safety, economy, or environment related to and within our oceans and seas. Since 2002, the U.S. has had an active strategy to secure the maritime domain, primarily through the U.S. Navy. Furthermore, in 2020 the U.S. Coast Guard elevated Illegal, Unreported and Unregulated (IUU) fishing, one aspect of MDA security, as the leading global maritime threat.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PB3 or WAM-V®, and then, utilizing integrated command and control software, data is sent to us and to our customers via secure communications channels. Multiple sensors can be used on a single unit based on the comprehensiveness of the needs of our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are securely stored in our cloud, or the customer’s cloud environment and is accessible for as long as required by the customer for further analysis and reference.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2023, the Company launched the first commercially ready MDAS on a test buoy off the coast of New Jersey. The system includes our proprietary integration of sensors, hardware and software, supported by cloud infrastructure as well as having a web-based user interface that displays camera, radar, AIS and live chart data. We have successfully demonstrated the system multiple times for potential customers, including a showcase in San Diego Bay at the U.S. Navy’s Advanced Naval Technology Exercise. While we continue to develop our MDAS with hardware optimization and feature enhancements, we are currently preparing for our first commercially funded MDAS deployments.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Autonomous Vehicles (“WAM-V</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15, 2021, the Company acquired all of the outstanding equity interest of Marine Advanced Robotics, Inc. (“MAR”). Founded in 2004, MAR is the developer of the patented Wave Adaptive Modular Vessel (WAM-V®) technology, which enables roaming capabilities for unmanned maritime systems in waters around the world. MAR launched the first WAM-V® in 2007 as a new vehicle class to deliver reliable autonomous surface vehicles to customers that could provide robust, real-time data collection and reporting. MAR also provides RaaS, allowing customers to lease WAM-V® robotics and access information from our WAM-Vs® while we maintain ownership and maintenance and repair responsibilities. Today, WAM-Vs® operates in 11 countries for commercial, military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WAM-V® product line highly complements the Company’s business strategy and can be used inshore, nearshore, and offshore. This business continues to grow and is further expanding into core marine survey and maritime security markets in Europe, Asia, Oceania and the Americas. We continue to find ways to integrate MAR technology with the Company’s existing platforms and service offerings and expect to take advantage of new synergistic opportunities as they arise. In addition, we plan to integrate the MDAS platform onto the WAM-V® to expand our MDA offering to provide a roaming MDA solution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Robotics as a Service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2023 the Company introduced the RaaS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Power as a Service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PaaS solutions deliver value to customers by utilizing our managed power platforms. We continue to develop and commercialize our proprietary power platforms that generate electricity primarily by harnessing the renewable energy of ocean waves. We continue to offer our commercial PB3 and are adding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We also continue to offer our commercialized subsea battery for subsea power applications and as additional storage when combined with our buoy platforms. Our focus for these solutions is on bringing autonomous clean power to our customers wherever it is required. Moreover, offshore data and communications networks require power to function, and our solution solves this need without requiring ongoing battery replacement or older technologies such as shore station power cables. Many of the lessons learned from the deployments of both our PB3 and PB 2.0 are being used to develop the next generation of PowerBuoy® systems that are based on modularity for WEC and non-WEC applications. The PB3 will continue to be available and supported in addition to the support provided to the NextGen PB once launched.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PB3 PowerBuoy</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PB3 uses proprietary technologies that convert the hydrokinetic energy of ocean waves into electricity. The PB3 features a unique onboard power take-off (“PTO”) system which incorporates both energy storage and energy management and control systems. The PB3 generates a nominal nameplate capacity rating of up to 3 kilowatts (“kW”) of peak power. Power generation is deployment-site dependent, as wave activity impacts power generation. Our Energy Storage System (“ESS”) has a capacity of up to a nominal 150 kW-hours to meet specific application requirements.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is designed to generate power for use independent of the power grid in offshore locations. The hull consists of a main spar structure compliantly moored to the seabed and surrounded by a floating annular structure that can freely move up and down in response to the passage of the waves. The PTO system includes a mechanical energy conversion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stored within the ESS.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protect the PB3 from being damaged by storms.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Customized solutions are also available for the PB3 including the addition of subsea sensors to monitor for acoustic signatures, tsunami activity, and water quality. In addition, in August 2023 we successfully demonstrated a WAM-V attaching itself remotely to a buoy and establishing a connection that will enable charging. This successful electrical connection that enabled charging represents a significant step forward in the integration of renewable energy sources within the maritime industry and paves the way for a future where electrically propelled autonomous vessels can operate for extended durations, opening doors to potential new applications within the maritime domain.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Generation PowerBuoy®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NextGen PB is an alternative platform to the PB3, and will consist of multiple versions, one utilizing solar and wind power and one utilizing solar and wind power plus wave energy conversion capability, to provide reliable power in remote offshore locations, regardless of ocean wave conditions. The WEC technology in the NextGen PB is based on our ongoing Mass on Spring Wave Energy Converter (MOSWEC) development which has the advantages of smaller size, lower cost, environmentally sealed design, and increased energy generation capability. The prototype of the solar and wind PowerBuoy® has been tested off the coast of New Jersey and was used during the MDAS demonstration for ANTX during fiscal 2023. 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subsea power applications, such as a surface communications hub for electric remotely operated vehicles (“eROV”) and autonomous underwater vehicles (“AUV”) used for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 ion batteries which can power subsea and topside payloads. The control system uses sensors and an onboard computer to continuously monitor the subsystems. The NextGen PB is designed to be able to operate over a broad range of temperature and ocean wave conditions. It has a 40kW-hour battery system which can be expanded up to 120 kW-hour energy. The Company expects both versions of the NextGen PB to be completed and commercially available by the end of fiscal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 Battery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subsea battery is complementary to both the PB3 and NextGen PB products and can be deployed together with our PowerBuoys® or as a standalone unit. It offers customers the option of placing additional modular and expandable energy storage, including non-OPT solutions, on the seabed near existing, or to be installed, subsea equipment. Our pressure-tested lithium-iron phosphate subsea batteries supply power that can enable subsea equipment, sensors, communications and AUV and eROV recharge. Our PB3 and NextGen PB are complementary to the subsea batteries by providing a means for recharging during longer term deployments, or the batteries can be used independently for shorter term deployments.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subsea battery provides both long or short-term power supply from its integrated energy storage system, enabling us to supply a range of industries and applications, from backup power to critical subsea infrastructure to continuous operation of subsea equipment, such as electric valves. The base design of the subsea battery has a nominal 100kW-hours of available energy storage and is designed and tested to operate in water depths of up to 500 meters. It comes installed on a readily deployable subsea skid suitable for installation on the seabed. The subsea battery can be integrated into other subsea equipment on land prior to deployment.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Consulting Services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focus of our Strategic Consulting Services is on delivering value to our customers in the areas of ocean engineering, structural and dynamic analysis, Front End Engineering and Design (“FEED”) studies, and motion simulation. These services can be integrated in support of our broader PaaS and/or DaaS and RaaS solutions, utilizing our products or on an independent basis for third party clients. In the near term, we will focus on increasing our market share in the offshore wind market, the broader floating foundation design market, as well as with our offshore energy customers.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continue to grow our service sectors and strengthen our solutions through internal developments, partnerships, and potential acquisitions. Our Strategic Consulting Services were materially expanded with the acquisition of 3dent Technology, LLC (“3Dent”), in February 2021. Our team of dedicated consultants/designers has expertise in structural engineering, hydrodynamics and naval architecture. Consulting services include simulation engineering, developing purpose specific software, concept design and motion analysis. We also offer a full range of high-level offshore engineering to offshore wind developers, offshore construction companies, drilling contractors, major oil companies, service companies, shipyards, and engineering firms. For example, we advise offshore drill rig owners, including owners of floaters, jackups, and lift boats. The Company has seen an increase in consulting services activity for conventional offshore energy and for offshore wind projects over the last year, including a contract signed during the fourth quarter of fiscal 2023 with Netsco for design work on their Wind Turbine Installation Vessel (WTIV).</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Marketing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strategy includes developing integrated solutions and services, including autonomous and cloud-based delivery systems for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in the offshore energy, military and government, and science and research industries.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Based on our recent market analysis, several emerging themes are shaping the offshore MDA sector for commercial and defense applications, as highlighted by the National Plan to achieve MDA released by the Department of Homeland Security (“DHS”) and the Government Accountability Office (“GAO”) in their ‘Unmanned Maritime Systems’ 2022 report on Maritime Security. In March 2023, the United States Coast Guard released its Unmanned Systems Strategic Plan with a stated vision to effectively employ, defend against, and regulate unmanned systems in a complex maritime environment advancing maritime safety, security, and prosperity for the American public. Coast Guard mission execution often begins with awareness of what is happening in the maritime domain. Surveillance, detection, classification, identification, and prosecution are enduring, high-level capabilities that the Coast Guard needs in order to execute its statutory missions and we believe that the Company’s products are well positioned to enable the Coast Guard to accomplish this mission. Large defense contractors are also expanding into the “ocean data collection” space by acquiring small and mid-size unmanned and autonomous surface and subsea vehicle companies. Unmanned systems are increasingly in demand by defense and security and commercial companies to reduce costs and improve safety in offshore operations. Also, geopolitical developments such as the need for countries to protect their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For example, in its ‘Technology Outlook 2030’, Det Norske Veritas, Inc, (“DNV”), a leading operator of quality assurance and risk management in maritime, oil and gas and the energy industries, observed that all-electric systems are gaining popularity in subsea applications due to their cost-efficiency and reduced environmental impact. DNV predicts that all-electric subsea systems will play a critical role in the industry’s transition to a more sustainable future. These trends reinforce the increasing need for products, solutions, and services in the offshore maritime domain awareness sector, particularly for unmanned and sentinel systems that can improve safety and reduce costs.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serve a diverse range of leading customers in this sector, including defense and security organizations, offshore wind, science and research, ports and harbors, and oil &amp; gas companies. Our pipeline continues to grow and we have recently seen a significant increase in defense and security activity. In addition, we continue to see a growing number of commercial opportunities as we witness growing interest from offshore wind companies for autonomous monitoring, surveillance and survey-related services during various stages of the project development cycle. Further, we are attracting interest targeted toward subsea applications, using proprietary sensor payloads for environmental monitoring and subsea intelligence. We believe that our buoys and WAM-Vs® are uniquely able to deliver these services either as a standalone solution or in combination with other systems. Furthermore, we believe that we are becoming a reliable player in the hydrography survey market, particularly in the shallow water environment.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three months ended July 31, 2023 and 2022, the Company had four and three customers whose revenues accounted for at least 10% of the Company’s consolidated revenues, respectively. These revenues accounted for approximately 73% and 69% of the Company’s total revenue for the respective periods.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achieve success in ongoing efforts to commercialize our products,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Recent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contract were entered into during fiscal 2023:</w:t>
      </w:r>
    </w:p>
    <w:p>
      <w:pPr>
        <w:spacing w:after="0" w:line="225"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obtained contracts to build WAM-Vs® for a wide variety of commercial customers and universities such as the Applied Research Lab at University of Hawaii, in addition to leased WAM-Vs® to Sulmara and government related projects such as Task Force 59 and IMX.</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 to work with WildAid to further develop capabilities to combat IUU fishing.</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fiscal year 2022, the Company completed a Phase I study for the Department of Energy (DOE) Small Business Innovation Research (SBIR) program, evaluating the feasibility of the next generation wave energy conversion technology. In Q2 fiscal year 2023, the Company was awarded a Phase II contract from the Department of Energy (DOE), providing funding for the detailed design, construction, and in-water testing of the initial prototype for this next generation wave energy system. The program commenced in the third quarter of fiscal year 2023 and will extend through fiscal year 2024.</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Consulting services continues to generate opportunities from both existing and new customers. Notably, we advanced several large projects in the pipeline with larger oil and gas operators and offshore wind developers.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entered into a contract with a major U.S. government services contractor to demonstrate our MDAS capabilities. The scope includes supply of a PB3 equipped with MDAS and a deepwater mooring system, as well as technical support for offshore installation of the system. The system will be deployed for a 9-month demonstration during fiscal year 2024.</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received a NOAA Phase I SBIR Grant for research related to dynamic swarming of USVs for hydrographic survey in post disaster recovery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third-party software companies are contributing to the Company’s MDAS by providing integration software, control software, autonomy and systems integration for the buoy sensor payload. In addition, they are assisting the Company with designing and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 During fiscal 2024, the Company plans to decrease its reliance on third-party software parties through increased support from its internal software team.</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an active dialogue with several offshore specialists and marine operations partners in the North Sea and North America to support our deployment, maintenance, and recovery operations and projects.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three months of fiscal 2024, we continued to advance our marketing programs, products, and solutions. We have progressed from an R&amp;D focused organization to an organization with robust commercialization efforts, and we are moving further into the ocean DaaS and RaaS markets. We intend to build on these efforts by introducing additional processes and making investments in appropriate human capital, operations, and manufacturing capabilities. In support of one of our key markets, we recently added a defense specific sales team, including veterans from the U.S. Navy, Swedish Navy, and U.S. Intelligence Community to navigate domestic and international markets. In addition, we are focusing on customer care and service efforts to increase repeat business opportunities.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Company’s potential customers are in areas of defense and security, hydrographic survey, oil and gas, offshore wind, offshore and coastal communication networks, and MDA, including mitigation of IUU fishing, where the end use may be both domestic and abroad. Further, the Company’s unmanned surface vehicle platform provides opportunities in oil &amp; gas, renewable energy, hydrographic survey, and security and defense markets largely in North America and Europe.</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demonstration projects have been a requisite step towards broad solution deployment and revenues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 fleet of WAM-Vs® dedicated to demonstrations and has successfully demonstrated the capabilities of many of its solutions on its own or in customer-sponsored evaluation projects and remains focused on further demonstrations to build customer awareness and confidence and to drive revenue.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Integrated turn-key solutions, purchases or leases. We believe our DaaS, RaaS and PaaS solutions, together with our platforms, are well suited to enable unmanned, autonomous (non-grid connected) offshore applications, such as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We continue to increase our commercial capabilities through new hires in sales, engineering, product development, safety, operations,manufacturing, and application support, and through engagement of expert market consultants in various geographies. As our MDAS development continues, we expect that this will also include data and cloud services.</w:t>
      </w:r>
    </w:p>
    <w:p>
      <w:pPr>
        <w:spacing w:after="0" w:line="185"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During fiscal 2024, we expect to complete development of our next generation PowerBuoy</w:t>
      </w:r>
      <w:r>
        <w:rPr>
          <w:rFonts w:ascii="Arial" w:cs="Arial" w:eastAsia="Arial" w:hAnsi="Arial"/>
          <w:sz w:val="17"/>
          <w:szCs w:val="17"/>
          <w:i w:val="1"/>
          <w:iCs w:val="1"/>
          <w:color w:val="auto"/>
        </w:rPr>
        <w:t>®</w:t>
      </w:r>
      <w:r>
        <w:rPr>
          <w:rFonts w:ascii="Arial" w:cs="Arial" w:eastAsia="Arial" w:hAnsi="Arial"/>
          <w:sz w:val="17"/>
          <w:szCs w:val="17"/>
          <w:color w:val="auto"/>
        </w:rPr>
        <w:t xml:space="preserve"> that incorporates wave, wind, and solar power generation capabilities in a robust yet cost effective system that supports shorter term missions as well as the ability to operate in near shore and low wave environments. This effort is partially funded by the DOE SBIR Phase II award. In addition, we have future plans to integrate PowerBuoy® and WAM-V® capabilities, including future development of WAM-V® recharging from a PowerBuoy®, and MDAS capabilities to include our WAM-Vs®, thus extending our reach and providing both fixed and mobile MDAS offerings to our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660" w:hanging="328"/>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WAM-Vs® are increasingly focused on the defense and security, hydrographic survey, and surveillance industries and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p>
      <w:pPr>
        <w:spacing w:after="0" w:line="185"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 sales efforts on key global markets in the U.S., Europe, Canada, Asia and Australia. While we are marketing our products and services globally, we have focused on several key markets and applications, including U.S. and foreign defense and security applications with our MDAS offering; subsea power for oil and gas;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offices in Houston, Texas and Richmond, California enable us to support our customers and strengthen our dialogue with our solution partners.</w:t>
      </w:r>
    </w:p>
    <w:p>
      <w:pPr>
        <w:spacing w:after="0" w:line="192"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p>
      <w:pPr>
        <w:spacing w:after="0" w:line="166"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Survey and security market applications. Through our WAM-V® products, we can increase our ability to lease vehicles specifically to support shoreline and offshore survey markets as well as security applications while integrating MDA into these solutions.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ending July 31, 2023, the Company incurred a net loss of approximately $7.0 million and used cash in operations of approximately $8.0 million. The Company has continued to make investments in ongoing product development efforts and in building inventory in anticipation of, and in support of, future growth. The Company’s future results of operations involve significant risks and uncertainties. Factors that could affect the Company’s future operating results and could cause actual results to vary materially from expectations include, but are not limited to, access to capital, performance of its products, its ability to market and commercialize its products and new products that it may develop, technology development, scalability of technology and production, ability to attract and retain key personnel, concentration of customers and suppliers, pending or threatened litigation, and deployment risks and integration of acquisitions. Management believes the Company’s cash balance of $3.9 million and short term investments balance of $22.8 million at July 31, 2023 is sufficient to fund its planned operations through at least September 2024.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20, 2020, the Company entered into an At-the-Market Offering Agreement (“ATM”) with AGP (the “2020 ATM Facility”). The 2020 ATM Facility was terminated by the Company effective June 2, 2023.</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7, 2023, the Company entered into a Controlled Equity Offering Sales Agreement (the “2023 ATM”) with Cantor Fitzgerald &amp; Co. (“Cantor”), as sales agent, pursuant to which the Company may offer and sell, from time to time, through Cantor shares of its common stock. The Company can issue and sell, from time to time, shares of the Company’s common stock having an aggregate offering price of up to $13.8 million.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Other than the 2023 ATM,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31, 2023, the Company’s backlog was $3.1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2023. There were no material changes to our critical accounting estimates or accounting policies during the three months ended July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July 31, 2023 or 2022.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 During the three-month period ended July 31, 2023, the Company recognized approximately $0.5 million in revenue related to performance obligations satisfied at a point in time and approximately $0.8 million in revenue related to performance obligations satisfied over-time.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the three months ended July 31, 2023 and 2022, the majority of the Company’s contracts were classified as firm fixed-price and the balance were cost-sharing.</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revenue also includes revenue from certain contracts which do not fall within the scope of ASC 606, but under the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2016, the Financial Accounting Standards Board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This amendment replaces the incurred loss impairment methodology in current GAAP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 Derivatives and Hedging (Topic 815), and Leases (Topic 842)</w:t>
      </w:r>
      <w:r>
        <w:rPr>
          <w:rFonts w:ascii="Arial" w:cs="Arial" w:eastAsia="Arial" w:hAnsi="Arial"/>
          <w:sz w:val="16"/>
          <w:szCs w:val="16"/>
          <w:color w:val="auto"/>
        </w:rPr>
        <w:t>, which deferred the effective date of 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for Smaller Reporting Companies for fiscal years beginning after December 15, 2022, including interim periods within those fiscal years. The Company has evaluated the impact on its consolidated financial statements from the adoption of ASU 2016-13, and has determined there is no material impact.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July 31, 2023 and 2022, the Company had four and three customers whose revenues accounted for at least 10% of the Company’s consolidated revenues, respectively. These revenues accounted for approximately 73% and 69% of the Company’s total revenue for the respective periods.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focus our sales efforts in key global markets in North America, South America, Europe and Asia. The following table shows the percentage of our revenues by geographical location of our customers for the three months ended July 31,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Three months ended July 31,</w:t>
            </w:r>
          </w:p>
        </w:tc>
      </w:tr>
      <w:tr>
        <w:trPr>
          <w:trHeight w:val="237"/>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7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736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For US Government contracts, the revenue is classified as North American however, location of operations may differ.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product development costs including engineering product development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cash equivalents, and short term investments and interest paid on certain obligations to third parties as well as amortization expense related to the premiums on the purchase of short term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U.S. dollars, we maintain cash accounts that are denominated in British pounds sterling in addition to U.S. dollars. The Company has cash balance in foreign-denominated accounts as of July 31, 2023 and April 30, 2023, compared to our total cash, cash equivalents, short term investments, and restricted cash balances of $26.7 million as of July 31, 2023 and $34.9 million as of April 30, 2023.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should we desire to, a portion of our operations can be conducted through our subsidiary in the United Kingdom, the functional currency of which is the British pound sterling. This subsidiary has foreign exchange exposure that results from changes in the exchange rate between their functional currency and other foreign currencies in which they conduct business. For the three months ended July 31, 2023 and 2022 there has been little to no activity other than regulatory and tax filings.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in the process of winding down its Australian subsidiary, which is expected to be completed during fiscal 2024.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2023 compared to the three months ended July 31,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1,272</w:t>
            </w: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609</w:t>
            </w:r>
          </w:p>
        </w:tc>
        <w:tc>
          <w:tcPr>
            <w:tcW w:w="112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Gain from change in fair value of consideration</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(62)</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8,103</w:t>
            </w:r>
          </w:p>
        </w:tc>
        <w:tc>
          <w:tcPr>
            <w:tcW w:w="1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Pr>
          <w:p>
            <w:pPr>
              <w:spacing w:after="0"/>
              <w:rPr>
                <w:sz w:val="20"/>
                <w:szCs w:val="20"/>
                <w:color w:val="auto"/>
              </w:rPr>
            </w:pPr>
          </w:p>
        </w:tc>
      </w:tr>
      <w:tr>
        <w:trPr>
          <w:trHeight w:val="216"/>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(7,378)</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(5,993)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(7,039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36"/>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5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(7,039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Pr>
          <w:p>
            <w:pPr>
              <w:jc w:val="right"/>
              <w:ind w:right="96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for the three months ended July 31, 2023 and 2022 were $1.3 million and $0.7 million, respectively. The year-over-year increase primarily reflects higher levels of revenue stemming from leased boats, equal to approximately $0.2 million for the three months ended July 31,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Cost of revenues for the three months ended July 31, 2023 and 2022 were essentially flat at $0.6 million and $0.5 million, respectively, reflecting better margins on our strategic consulting services, leased boats and government related grants with NOAA and DOE in the current year.</w:t>
      </w: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contingent consideration for the three months ended July 31, 2023 and 2022 was $(0.1) million relating to an adjustment of the contingent consideration liability based on actual and forecasted bookings relating to the MAR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three months ended July 31, 2023 and 2022 were $8.1 million and $6.3 million, respectively. The increase of approximately $1.8 million was the result of an increase in employee related costs of $1.2 million primarily driven by increased headcount, an increase in professional and legal fees of $0.9 million, and an increase in office related expenses of $0.2 million, partially offset by a decrease in product development costs of $0.5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for the three months ended July 31, 2023 and 2022 was $0.3 million and $0.1 million, respectively, with the decrease primarily related to the decreased balance of short-term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$7.0 million and $5.9 million for the three months ended July 31, 2023 and 2022,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July 31, 2023, net cash flows used in operating activities was $8.0 million, an increase of $2.9 million compared to net cash used in operating activities during the three months ended July 31, 2022 of $5.1 million. This reflects an increase in net loss of $1.1 million, an earn out payment related to MAR of $0.5 million, decrease in accrued expense of $0.8 million primarily related to accrued bonus payout, and an increase in inventory of $0.5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during the three months ended July 31, 2023 was $5.0 million, compared to $6.4 million cash provided by investing activities during the three months ended July 31, 2022. The net cash of $5.0 million provided by investing activities during the three months ended July 31, 2023 was primarily due to the redemption of short-term investments of $11.7 million, partially offset by the purchase of short term investments of $6.6 million and purchase of property and equipment of $0.1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during the three months ended July 31, 2023 was $2,000.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was no material effect of exchange rates on cash and cash equivalents during the three months ended July 31, 2023 and July 31,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As of July 31, 2023, our year to date revenues were $1.3 million, our year to date net losses were $7.0 million, our year to date net cash used in operating activities was $8.0 million and our accumulated deficit was $287.1 million.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several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market and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history of operating losses, which we expect to continue for at least the short term and possibly longer;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manage challenges and expenses associated with communications and disputes with activist shareholders, including litigation;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manage and mitigate risks associated with our internal cyber security protocols and protection of the data we collect and distribute;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inflation related to the U.S. dollar on our business, operations, customers, suppliers and manufacturers and personnel;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meet product development, manufacturing and customer delivery deadlines and the potential impact due to disruptions to our supply chain, as a result of, among other things, staff shortages, order delays, and increased pricing from vendors and manufacturers;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acquisitions and our ability to integrate them into our operations which may be unsuccessful or expose us to unforeseen liabilities, and may use significant resources;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respond to competition in our targeted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relationships with our existing and future strategic partners which may not be successful;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or more efficiently utilize the power available from our PowerBuoy® product 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or restrict the use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key personnel, including senior management, to achieve our business objectives;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commercial profit margins.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is capital intensive, and through July 31, 2023, we have been funding our business principally through sales of our securities. As of July 31, 2023, our cash and cash equivalents, short-term restricted cash, and short term investments balance was $26.7 million and we expect to fund our business with this amount and, to a lesser extent, with our cash flow generated from operations. Management believes the Company’s current cash and cash equivalents, and short term investments, are sufficient to fund its planned expenditures through at least September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sectPr>
          <w:pgSz w:w="11900" w:h="16838" w:orient="portrait"/>
          <w:cols w:equalWidth="0" w:num="1">
            <w:col w:w="11240"/>
          </w:cols>
          <w:pgMar w:left="320" w:top="233"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CEO and CFO, of the effectiveness of the design and operation of our disclosure controls and procedures pursuant to Rule 13a-15 of the Exchange Act. Based upon that evaluation, our CEO and CFO concluded that our disclosure controls and procedures were not effective, due to the material weaknesses in internal control over financial reporting that are described in our Annual Report on form 10-K for the year ended April 30, 2023 (the “2023 10-K”).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such material weaknesses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Quarterly Report,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previously described in </w:t>
      </w:r>
      <w:r>
        <w:rPr>
          <w:rFonts w:ascii="Arial" w:cs="Arial" w:eastAsia="Arial" w:hAnsi="Arial"/>
          <w:sz w:val="18"/>
          <w:szCs w:val="18"/>
          <w:i w:val="1"/>
          <w:iCs w:val="1"/>
          <w:color w:val="auto"/>
        </w:rPr>
        <w:t>Part II – Item 9A – Controls and Procedures</w:t>
      </w:r>
      <w:r>
        <w:rPr>
          <w:rFonts w:ascii="Arial" w:cs="Arial" w:eastAsia="Arial" w:hAnsi="Arial"/>
          <w:sz w:val="18"/>
          <w:szCs w:val="18"/>
          <w:color w:val="auto"/>
        </w:rPr>
        <w:t xml:space="preserve"> of the 2023 10-K, we continue to implement a remediation plan to address the material weaknesses mentioned above. The weaknesses will not be considered remediated until the applicable controls operate for a sufficient period of time and management has concluded, through testing, that these controls are operating effectively.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has been made against management’s plan to remediate these material weaknesses, but for management to consider a material weakness remediated, the related controls are required to function as anticipated for a minimum period. As part of its remediation plan, management will put mitigating controls in place to minimize risk associated with any open material weaknesses.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material weaknesses described in the 2023 10-K, the Company reviewed the design of its controls and began remediation activities to alleviate the noted control deficiencies. Other than these items, there was no change in the Company’s internal control over financial reporting that occurred during the quarter ended July 31, 2023, that has materially affected, or is reasonably likely to materially affect, the Company’s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matters in dispute, see Note 15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should be read together with the risk factors contained in Item 1A of our Annual Report on Form 10-K for the year ended April 30, 2023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28,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$7.0 million during the first three months of fiscal year 2024 and $5.9 million during the same three month period in fiscal year 2023. As of July 31, 2023, we had an accumulated deficit of $287.1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56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EXHIBIT INDEX</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71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32.1 *</w:t>
            </w:r>
          </w:p>
        </w:tc>
        <w:tc>
          <w:tcPr>
            <w:tcW w:w="380" w:type="dxa"/>
            <w:vAlign w:val="bottom"/>
          </w:tcPr>
          <w:p>
            <w:pPr>
              <w:spacing w:after="0"/>
              <w:rPr>
                <w:sz w:val="24"/>
                <w:szCs w:val="24"/>
                <w:color w:val="auto"/>
              </w:rPr>
            </w:pPr>
          </w:p>
        </w:tc>
        <w:tc>
          <w:tcPr>
            <w:tcW w:w="71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Chief Executive Officer pursuant to Section 906 of the Sarbanes-Oxley Act of 2002</w:t>
            </w: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32.2 *</w:t>
            </w:r>
          </w:p>
        </w:tc>
        <w:tc>
          <w:tcPr>
            <w:tcW w:w="38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0000EE"/>
                <w:w w:val="92"/>
              </w:rPr>
              <w:t>Certification of Chief Financial Officer pursuant to Section 906 of the Sarbanes-Oxley Act of 2002</w:t>
            </w: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040" w:hanging="1032"/>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July 31, 2023, formatted in eXtensible Business Reporting Language (XBRL): (i) Consolidated Balance Sheets – July 31, 2023 (unaudited) and April 30, 2021, (ii) Consolidated Statements of Operations (unaudited) – three months ended July 31, 2023 and 2022, (iii) Consolidated Statements of Comprehensive Loss (unaudited) – three months ended July 31, 2023 and 2021, (iv) Consolidated Statement of Shareholders’ Equity (unaudited) – three months ended July 31, 2023 and 2022 (v) Consolidated Statements of Cash Flows (unaudited) –three months ended July 31, 2023 and 2022, (vi) Notes to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12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12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120" w:type="dxa"/>
            <w:vAlign w:val="bottom"/>
          </w:tcPr>
          <w:p>
            <w:pPr>
              <w:ind w:left="18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120" w:type="dxa"/>
            <w:vAlign w:val="bottom"/>
          </w:tcPr>
          <w:p>
            <w:pPr>
              <w:ind w:left="18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12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120" w:type="dxa"/>
            <w:vAlign w:val="bottom"/>
          </w:tcPr>
          <w:p>
            <w:pPr>
              <w:ind w:left="18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2" w:lineRule="exact"/>
        <w:rPr>
          <w:sz w:val="20"/>
          <w:szCs w:val="20"/>
          <w:color w:val="auto"/>
        </w:rPr>
      </w:pPr>
    </w:p>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52" w:lineRule="exact"/>
        <w:rPr>
          <w:rFonts w:ascii="Arial" w:cs="Arial" w:eastAsia="Arial" w:hAnsi="Arial"/>
          <w:sz w:val="18"/>
          <w:szCs w:val="18"/>
          <w:color w:val="auto"/>
        </w:rPr>
      </w:pPr>
    </w:p>
    <w:p>
      <w:pPr>
        <w:ind w:left="1100" w:hanging="324"/>
        <w:spacing w:after="0" w:line="286" w:lineRule="auto"/>
        <w:rPr>
          <w:rFonts w:ascii="Arial" w:cs="Arial" w:eastAsia="Arial" w:hAnsi="Arial"/>
          <w:sz w:val="18"/>
          <w:szCs w:val="18"/>
          <w:color w:val="auto"/>
        </w:rPr>
      </w:pPr>
      <w:r>
        <w:rPr>
          <w:rFonts w:ascii="Arial" w:cs="Arial" w:eastAsia="Arial" w:hAnsi="Arial"/>
          <w:sz w:val="17"/>
          <w:szCs w:val="17"/>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65" w:lineRule="exact"/>
        <w:rPr>
          <w:rFonts w:ascii="Arial" w:cs="Arial" w:eastAsia="Arial" w:hAnsi="Arial"/>
          <w:sz w:val="18"/>
          <w:szCs w:val="18"/>
          <w:color w:val="auto"/>
        </w:rPr>
      </w:pPr>
    </w:p>
    <w:p>
      <w:pPr>
        <w:jc w:val="both"/>
        <w:ind w:left="1100" w:hanging="323"/>
        <w:spacing w:after="0" w:line="263" w:lineRule="auto"/>
        <w:tabs>
          <w:tab w:leader="none" w:pos="11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13,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13, 2023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Philipp Stratmann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Robert Powers</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33"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3" w:lineRule="exact"/>
        <w:rPr>
          <w:sz w:val="20"/>
          <w:szCs w:val="20"/>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2023,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13, 2023</w:t>
      </w:r>
      <w:r>
        <w:rPr>
          <w:sz w:val="20"/>
          <w:szCs w:val="20"/>
          <w:color w:val="auto"/>
        </w:rPr>
        <w:tab/>
      </w:r>
      <w:r>
        <w:rPr>
          <w:rFonts w:ascii="Arial" w:cs="Arial" w:eastAsia="Arial" w:hAnsi="Arial"/>
          <w:sz w:val="16"/>
          <w:szCs w:val="16"/>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2023,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13, 2023</w:t>
      </w:r>
      <w:r>
        <w:rPr>
          <w:sz w:val="20"/>
          <w:szCs w:val="20"/>
          <w:color w:val="auto"/>
        </w:rPr>
        <w:tab/>
      </w:r>
      <w:r>
        <w:rPr>
          <w:rFonts w:ascii="Arial" w:cs="Arial" w:eastAsia="Arial" w:hAnsi="Arial"/>
          <w:sz w:val="16"/>
          <w:szCs w:val="16"/>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01"/>
    </w:lvl>
  </w:abstractNum>
  <w:abstractNum w:abstractNumId="9">
    <w:nsid w:val="25E45D32"/>
    <w:multiLevelType w:val="hybridMultilevel"/>
    <w:lvl w:ilvl="0">
      <w:lvlJc w:val="left"/>
      <w:lvlText w:val="%1"/>
      <w:numFmt w:val="decimal"/>
      <w:start w:val="104"/>
    </w:lvl>
    <w:lvl w:ilvl="1">
      <w:lvlJc w:val="left"/>
      <w:lvlText w:val="*"/>
      <w:numFmt w:val="bullet"/>
      <w:start w:val="1"/>
    </w:lvl>
  </w:abstractNum>
  <w:abstractNum w:abstractNumId="10">
    <w:nsid w:val="519B500D"/>
    <w:multiLevelType w:val="hybridMultilevel"/>
    <w:lvl w:ilvl="0">
      <w:lvlJc w:val="left"/>
      <w:lvlText w:val="%1"/>
      <w:numFmt w:val="decimal"/>
      <w:start w:val="1"/>
    </w:lvl>
    <w:lvl w:ilvl="1">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decimal"/>
      <w:start w:val="5"/>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bullet"/>
      <w:start w:val="1"/>
    </w:lvl>
  </w:abstractNum>
  <w:abstractNum w:abstractNumId="16">
    <w:nsid w:val="436C6125"/>
    <w:multiLevelType w:val="hybridMultilevel"/>
    <w:lvl w:ilvl="0">
      <w:lvlJc w:val="left"/>
      <w:lvlText w:val="2"/>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4"/>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5"/>
      <w:numFmt w:val="bullet"/>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2023-09-13T15:24:13Z</dcterms:created>
  <dcterms:modified xsi:type="dcterms:W3CDTF">2023-09-13T15:24:13Z</dcterms:modified>
</cp:coreProperties>
</file>