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6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53" w:lineRule="exact"/>
        <w:rPr>
          <w:sz w:val="24"/>
          <w:szCs w:val="24"/>
          <w:color w:val="auto"/>
        </w:rPr>
      </w:pPr>
    </w:p>
    <w:p>
      <w:pPr>
        <w:ind w:left="20"/>
        <w:spacing w:after="0"/>
        <w:rPr>
          <w:sz w:val="20"/>
          <w:szCs w:val="20"/>
          <w:color w:val="auto"/>
        </w:rPr>
      </w:pPr>
      <w:r>
        <w:rPr>
          <w:rFonts w:ascii="Arial" w:cs="Arial" w:eastAsia="Arial" w:hAnsi="Arial"/>
          <w:sz w:val="18"/>
          <w:szCs w:val="18"/>
          <w:color w:val="auto"/>
        </w:rPr>
        <w:t>(Mark One)</w:t>
      </w:r>
    </w:p>
    <w:p>
      <w:pPr>
        <w:spacing w:after="0" w:line="205" w:lineRule="exact"/>
        <w:rPr>
          <w:sz w:val="24"/>
          <w:szCs w:val="24"/>
          <w:color w:val="auto"/>
        </w:rPr>
      </w:pPr>
    </w:p>
    <w:p>
      <w:pPr>
        <w:ind w:right="1300" w:firstLine="359"/>
        <w:spacing w:after="0" w:line="563" w:lineRule="auto"/>
        <w:tabs>
          <w:tab w:leader="none" w:pos="97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July 31, 2012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980" w:hanging="585"/>
        <w:spacing w:after="0"/>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7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4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00" w:type="dxa"/>
            <w:vAlign w:val="bottom"/>
          </w:tcPr>
          <w:p>
            <w:pPr>
              <w:ind w:left="60"/>
              <w:spacing w:after="0"/>
              <w:rPr>
                <w:sz w:val="20"/>
                <w:szCs w:val="20"/>
                <w:color w:val="auto"/>
              </w:rPr>
            </w:pPr>
            <w:r>
              <w:rPr>
                <w:rFonts w:ascii="Arial" w:cs="Arial" w:eastAsia="Arial" w:hAnsi="Arial"/>
                <w:sz w:val="18"/>
                <w:szCs w:val="18"/>
                <w:b w:val="1"/>
                <w:bCs w:val="1"/>
                <w:color w:val="auto"/>
                <w:w w:val="70"/>
              </w:rPr>
              <w:t>to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2148840</wp:posOffset>
            </wp:positionH>
            <wp:positionV relativeFrom="paragraph">
              <wp:posOffset>-119380</wp:posOffset>
            </wp:positionV>
            <wp:extent cx="728980"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80" cy="12890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001-33417</w:t>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OCEAN POWER TECHNOLOGIES, INC.</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234" w:right="239" w:bottom="1440" w:gutter="0" w:footer="0" w:header="0"/>
        </w:sectPr>
      </w:pPr>
    </w:p>
    <w:p>
      <w:pPr>
        <w:spacing w:after="0" w:line="205"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180"/>
        <w:spacing w:after="0"/>
        <w:rPr>
          <w:sz w:val="20"/>
          <w:szCs w:val="20"/>
          <w:color w:val="auto"/>
        </w:rPr>
      </w:pPr>
      <w:r>
        <w:rPr>
          <w:rFonts w:ascii="Arial" w:cs="Arial" w:eastAsia="Arial" w:hAnsi="Arial"/>
          <w:sz w:val="16"/>
          <w:szCs w:val="16"/>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40"/>
        <w:spacing w:after="0"/>
        <w:rPr>
          <w:sz w:val="20"/>
          <w:szCs w:val="20"/>
          <w:color w:val="auto"/>
        </w:rPr>
      </w:pPr>
      <w:r>
        <w:rPr>
          <w:rFonts w:ascii="Arial" w:cs="Arial" w:eastAsia="Arial" w:hAnsi="Arial"/>
          <w:sz w:val="18"/>
          <w:szCs w:val="18"/>
          <w:b w:val="1"/>
          <w:bCs w:val="1"/>
          <w:color w:val="auto"/>
        </w:rPr>
        <w:t>22-2535818</w:t>
      </w:r>
    </w:p>
    <w:p>
      <w:pPr>
        <w:spacing w:after="0" w:line="27" w:lineRule="exact"/>
        <w:rPr>
          <w:sz w:val="24"/>
          <w:szCs w:val="24"/>
          <w:color w:val="auto"/>
        </w:rPr>
      </w:pPr>
    </w:p>
    <w:p>
      <w:pPr>
        <w:jc w:val="center"/>
        <w:ind w:right="144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2">
            <w:col w:w="6680" w:space="720"/>
            <w:col w:w="4020"/>
          </w:cols>
          <w:pgMar w:left="240" w:top="234" w:right="239" w:bottom="1440" w:gutter="0" w:footer="0" w:header="0"/>
          <w:type w:val="continuous"/>
        </w:sectPr>
      </w:pP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1590 REED ROAD, PENNINGTON, NJ 08534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 730-0400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6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4" w:right="239" w:bottom="1440" w:gutter="0" w:footer="0" w:header="0"/>
          <w:type w:val="continuous"/>
        </w:sectPr>
      </w:pPr>
    </w:p>
    <w:p>
      <w:pPr>
        <w:spacing w:after="0" w:line="147" w:lineRule="exact"/>
        <w:rPr>
          <w:sz w:val="24"/>
          <w:szCs w:val="24"/>
          <w:color w:val="auto"/>
        </w:rPr>
      </w:pPr>
    </w:p>
    <w:p>
      <w:pPr>
        <w:ind w:left="5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63" w:lineRule="exact"/>
        <w:rPr>
          <w:sz w:val="24"/>
          <w:szCs w:val="24"/>
          <w:color w:val="auto"/>
        </w:rPr>
      </w:pPr>
    </w:p>
    <w:p>
      <w:pPr>
        <w:sectPr>
          <w:pgSz w:w="11900" w:h="16838" w:orient="portrait"/>
          <w:cols w:equalWidth="0" w:num="4">
            <w:col w:w="2880" w:space="720"/>
            <w:col w:w="1340" w:space="540"/>
            <w:col w:w="3340" w:space="120"/>
            <w:col w:w="2480"/>
          </w:cols>
          <w:pgMar w:left="240" w:top="234" w:right="239" w:bottom="1440" w:gutter="0" w:footer="0" w:header="0"/>
          <w:type w:val="continuous"/>
        </w:sectPr>
      </w:pPr>
    </w:p>
    <w:p>
      <w:pPr>
        <w:spacing w:after="0" w:line="5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335" w:lineRule="exact"/>
        <w:rPr>
          <w:sz w:val="24"/>
          <w:szCs w:val="24"/>
          <w:color w:val="auto"/>
        </w:rPr>
      </w:pPr>
    </w:p>
    <w:p>
      <w:pPr>
        <w:spacing w:after="0"/>
        <w:rPr>
          <w:sz w:val="20"/>
          <w:szCs w:val="20"/>
          <w:color w:val="auto"/>
        </w:rPr>
      </w:pPr>
      <w:r>
        <w:rPr>
          <w:rFonts w:ascii="Arial" w:cs="Arial" w:eastAsia="Arial" w:hAnsi="Arial"/>
          <w:sz w:val="18"/>
          <w:szCs w:val="18"/>
          <w:color w:val="auto"/>
        </w:rPr>
        <w:t>As of August 31, 2012, the number of outstanding shares of common stock of the registrant was 10,377,621.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OCEAN POWER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JULY 31, 2012</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62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620" w:type="dxa"/>
            <w:vAlign w:val="bottom"/>
          </w:tcPr>
          <w:p>
            <w:pPr>
              <w:spacing w:after="0"/>
              <w:rPr>
                <w:sz w:val="20"/>
                <w:szCs w:val="20"/>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2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PART I — FINANCIAL INFORMATION</w:t>
            </w:r>
          </w:p>
        </w:tc>
        <w:tc>
          <w:tcPr>
            <w:tcW w:w="68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Item 1. Financial Statements (unaudited):</w:t>
            </w:r>
          </w:p>
        </w:tc>
        <w:tc>
          <w:tcPr>
            <w:tcW w:w="6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20" w:type="dxa"/>
            <w:vAlign w:val="bottom"/>
            <w:shd w:val="clear" w:color="auto" w:fill="C0FFFF"/>
          </w:tcPr>
          <w:p>
            <w:pPr>
              <w:ind w:left="320"/>
              <w:spacing w:after="0"/>
              <w:rPr>
                <w:sz w:val="20"/>
                <w:szCs w:val="20"/>
                <w:color w:val="auto"/>
              </w:rPr>
            </w:pPr>
            <w:r>
              <w:rPr>
                <w:rFonts w:ascii="Arial" w:cs="Arial" w:eastAsia="Arial" w:hAnsi="Arial"/>
                <w:sz w:val="18"/>
                <w:szCs w:val="18"/>
                <w:color w:val="auto"/>
              </w:rPr>
              <w:t>Consolidated Balance Sheets as of July 31, 2012 and April 30, 2012</w:t>
            </w:r>
          </w:p>
        </w:tc>
        <w:tc>
          <w:tcPr>
            <w:tcW w:w="7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20" w:type="dxa"/>
            <w:vAlign w:val="bottom"/>
            <w:shd w:val="clear" w:color="auto" w:fill="C0FFFF"/>
          </w:tcPr>
          <w:p>
            <w:pPr>
              <w:ind w:left="320"/>
              <w:spacing w:after="0"/>
              <w:rPr>
                <w:sz w:val="20"/>
                <w:szCs w:val="20"/>
                <w:color w:val="auto"/>
              </w:rPr>
            </w:pPr>
            <w:r>
              <w:rPr>
                <w:rFonts w:ascii="Arial" w:cs="Arial" w:eastAsia="Arial" w:hAnsi="Arial"/>
                <w:sz w:val="18"/>
                <w:szCs w:val="18"/>
                <w:color w:val="auto"/>
              </w:rPr>
              <w:t>Consolidated Statements of Operations for the Three Months Ended July 31, 2012 and 2011</w:t>
            </w:r>
          </w:p>
        </w:tc>
        <w:tc>
          <w:tcPr>
            <w:tcW w:w="7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20" w:type="dxa"/>
            <w:vAlign w:val="bottom"/>
            <w:shd w:val="clear" w:color="auto" w:fill="C0FFFF"/>
          </w:tcPr>
          <w:p>
            <w:pPr>
              <w:ind w:left="320"/>
              <w:spacing w:after="0"/>
              <w:rPr>
                <w:sz w:val="20"/>
                <w:szCs w:val="20"/>
                <w:color w:val="auto"/>
              </w:rPr>
            </w:pPr>
            <w:r>
              <w:rPr>
                <w:rFonts w:ascii="Arial" w:cs="Arial" w:eastAsia="Arial" w:hAnsi="Arial"/>
                <w:sz w:val="18"/>
                <w:szCs w:val="18"/>
                <w:color w:val="auto"/>
              </w:rPr>
              <w:t>Consolidated Statements of Comprehensive Loss for the Three Months Ended July 31, 2012 and 2011</w:t>
            </w:r>
          </w:p>
        </w:tc>
        <w:tc>
          <w:tcPr>
            <w:tcW w:w="7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20" w:type="dxa"/>
            <w:vAlign w:val="bottom"/>
            <w:shd w:val="clear" w:color="auto" w:fill="C0FFFF"/>
          </w:tcPr>
          <w:p>
            <w:pPr>
              <w:ind w:left="320"/>
              <w:spacing w:after="0"/>
              <w:rPr>
                <w:sz w:val="20"/>
                <w:szCs w:val="20"/>
                <w:color w:val="auto"/>
              </w:rPr>
            </w:pPr>
            <w:r>
              <w:rPr>
                <w:rFonts w:ascii="Arial" w:cs="Arial" w:eastAsia="Arial" w:hAnsi="Arial"/>
                <w:sz w:val="18"/>
                <w:szCs w:val="18"/>
                <w:color w:val="auto"/>
              </w:rPr>
              <w:t>Consolidated Statements of Cash Flows for the Three Months Ended July 31, 2012 and 2011</w:t>
            </w:r>
          </w:p>
        </w:tc>
        <w:tc>
          <w:tcPr>
            <w:tcW w:w="7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20" w:type="dxa"/>
            <w:vAlign w:val="bottom"/>
            <w:shd w:val="clear" w:color="auto" w:fill="C0FFFF"/>
          </w:tcPr>
          <w:p>
            <w:pPr>
              <w:ind w:left="320"/>
              <w:spacing w:after="0"/>
              <w:rPr>
                <w:sz w:val="20"/>
                <w:szCs w:val="20"/>
                <w:color w:val="auto"/>
              </w:rPr>
            </w:pPr>
            <w:r>
              <w:rPr>
                <w:rFonts w:ascii="Arial" w:cs="Arial" w:eastAsia="Arial" w:hAnsi="Arial"/>
                <w:sz w:val="18"/>
                <w:szCs w:val="18"/>
                <w:color w:val="auto"/>
              </w:rPr>
              <w:t>Consolidated Statements of Stockholders' Equity for the Three Months Ended July 31, 2012 and 2011</w:t>
            </w:r>
          </w:p>
        </w:tc>
        <w:tc>
          <w:tcPr>
            <w:tcW w:w="7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20" w:type="dxa"/>
            <w:vAlign w:val="bottom"/>
            <w:shd w:val="clear" w:color="auto" w:fill="C0FFFF"/>
          </w:tcPr>
          <w:p>
            <w:pPr>
              <w:ind w:left="320"/>
              <w:spacing w:after="0"/>
              <w:rPr>
                <w:sz w:val="20"/>
                <w:szCs w:val="20"/>
                <w:color w:val="auto"/>
              </w:rPr>
            </w:pPr>
            <w:r>
              <w:rPr>
                <w:rFonts w:ascii="Arial" w:cs="Arial" w:eastAsia="Arial" w:hAnsi="Arial"/>
                <w:sz w:val="18"/>
                <w:szCs w:val="18"/>
                <w:color w:val="auto"/>
              </w:rPr>
              <w:t>Notes to Consolidated Financial Statements</w:t>
            </w:r>
          </w:p>
        </w:tc>
        <w:tc>
          <w:tcPr>
            <w:tcW w:w="7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7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Item 3. Quantitative and Qualitative Disclosures About Market Risk</w:t>
            </w:r>
          </w:p>
        </w:tc>
        <w:tc>
          <w:tcPr>
            <w:tcW w:w="7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Item 4. Controls and Procedures</w:t>
            </w:r>
          </w:p>
        </w:tc>
        <w:tc>
          <w:tcPr>
            <w:tcW w:w="7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0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2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PART II — OTHER INFORMATION</w:t>
            </w:r>
          </w:p>
        </w:tc>
        <w:tc>
          <w:tcPr>
            <w:tcW w:w="6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Item 1. Legal Proceedings</w:t>
            </w:r>
          </w:p>
        </w:tc>
        <w:tc>
          <w:tcPr>
            <w:tcW w:w="7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Item 1A. Risk Factors</w:t>
            </w:r>
          </w:p>
        </w:tc>
        <w:tc>
          <w:tcPr>
            <w:tcW w:w="7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7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Item 3. Defaults Upon Senior Securities</w:t>
            </w:r>
          </w:p>
        </w:tc>
        <w:tc>
          <w:tcPr>
            <w:tcW w:w="7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Item 5. Other Information</w:t>
            </w:r>
          </w:p>
        </w:tc>
        <w:tc>
          <w:tcPr>
            <w:tcW w:w="7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Item 6. Exhibits</w:t>
            </w:r>
          </w:p>
        </w:tc>
        <w:tc>
          <w:tcPr>
            <w:tcW w:w="7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620" w:type="dxa"/>
            <w:vAlign w:val="bottom"/>
            <w:shd w:val="clear" w:color="auto" w:fill="C0FFFF"/>
          </w:tcPr>
          <w:p>
            <w:pPr>
              <w:spacing w:after="0"/>
              <w:rPr>
                <w:sz w:val="17"/>
                <w:szCs w:val="17"/>
                <w:color w:val="auto"/>
              </w:rPr>
            </w:pPr>
          </w:p>
        </w:tc>
        <w:tc>
          <w:tcPr>
            <w:tcW w:w="68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EX-31.1: 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EX-31.2: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EX-32.1: 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EX-32.2: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8" w:lineRule="exact"/>
        <w:rPr>
          <w:sz w:val="20"/>
          <w:szCs w:val="20"/>
          <w:color w:val="auto"/>
        </w:rPr>
      </w:pPr>
    </w:p>
    <w:p>
      <w:pPr>
        <w:ind w:right="860"/>
        <w:spacing w:after="0" w:line="216" w:lineRule="auto"/>
        <w:rPr>
          <w:sz w:val="20"/>
          <w:szCs w:val="20"/>
          <w:color w:val="auto"/>
        </w:rPr>
      </w:pPr>
      <w:r>
        <w:rPr>
          <w:rFonts w:ascii="Arial" w:cs="Arial" w:eastAsia="Arial" w:hAnsi="Arial"/>
          <w:sz w:val="18"/>
          <w:szCs w:val="18"/>
          <w:color w:val="auto"/>
        </w:rPr>
        <w:t>PowerBuoy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a registered trademark of Ocean Power Technologies, Inc. and the Ocean Power Technologies logo is a trademark of Ocean Power Technologies, Inc. All other trademarks appearing in this report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462280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8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22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2012 and elsewhere in this report.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219"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67"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980" w:type="dxa"/>
            <w:vAlign w:val="bottom"/>
          </w:tcPr>
          <w:p>
            <w:pPr>
              <w:jc w:val="center"/>
              <w:ind w:left="2090"/>
              <w:spacing w:after="0"/>
              <w:rPr>
                <w:sz w:val="20"/>
                <w:szCs w:val="20"/>
                <w:color w:val="auto"/>
              </w:rPr>
            </w:pPr>
            <w:r>
              <w:rPr>
                <w:rFonts w:ascii="Arial" w:cs="Arial" w:eastAsia="Arial" w:hAnsi="Arial"/>
                <w:sz w:val="18"/>
                <w:szCs w:val="18"/>
                <w:b w:val="1"/>
                <w:bCs w:val="1"/>
                <w:color w:val="auto"/>
              </w:rPr>
              <w:t>PART I — FINANCIAL INFORMATION</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69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FINANCIAL STATEMENTS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980" w:type="dxa"/>
            <w:vAlign w:val="bottom"/>
          </w:tcPr>
          <w:p>
            <w:pPr>
              <w:jc w:val="center"/>
              <w:ind w:left="209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980" w:type="dxa"/>
            <w:vAlign w:val="bottom"/>
          </w:tcPr>
          <w:p>
            <w:pPr>
              <w:jc w:val="center"/>
              <w:ind w:left="2090"/>
              <w:spacing w:after="0"/>
              <w:rPr>
                <w:sz w:val="20"/>
                <w:szCs w:val="20"/>
                <w:color w:val="auto"/>
              </w:rPr>
            </w:pPr>
            <w:r>
              <w:rPr>
                <w:rFonts w:ascii="Arial" w:cs="Arial" w:eastAsia="Arial" w:hAnsi="Arial"/>
                <w:sz w:val="18"/>
                <w:szCs w:val="18"/>
                <w:b w:val="1"/>
                <w:bCs w:val="1"/>
                <w:color w:val="auto"/>
                <w:w w:val="87"/>
              </w:rPr>
              <w:t>Consolidated Balance Sheets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95"/>
              </w:rPr>
              <w:t>July 31, 2012</w:t>
            </w:r>
          </w:p>
        </w:tc>
        <w:tc>
          <w:tcPr>
            <w:tcW w:w="15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April 30,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(Unaudited)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0FFFF"/>
          </w:tcPr>
          <w:p>
            <w:pPr>
              <w:spacing w:after="0"/>
              <w:rPr>
                <w:sz w:val="18"/>
                <w:szCs w:val="18"/>
                <w:color w:val="auto"/>
              </w:rPr>
            </w:pPr>
          </w:p>
        </w:tc>
        <w:tc>
          <w:tcPr>
            <w:tcW w:w="6980" w:type="dxa"/>
            <w:vAlign w:val="bottom"/>
            <w:shd w:val="clear" w:color="auto" w:fill="C0FFFF"/>
          </w:tcPr>
          <w:p>
            <w:pPr>
              <w:jc w:val="center"/>
              <w:ind w:right="1150"/>
              <w:spacing w:after="0"/>
              <w:rPr>
                <w:sz w:val="20"/>
                <w:szCs w:val="20"/>
                <w:color w:val="auto"/>
              </w:rPr>
            </w:pPr>
            <w:r>
              <w:rPr>
                <w:rFonts w:ascii="Arial" w:cs="Arial" w:eastAsia="Arial" w:hAnsi="Arial"/>
                <w:sz w:val="18"/>
                <w:szCs w:val="18"/>
                <w:b w:val="1"/>
                <w:bCs w:val="1"/>
                <w:color w:val="auto"/>
                <w:w w:val="91"/>
              </w:rPr>
              <w:t>ASSETS</w:t>
            </w:r>
          </w:p>
        </w:tc>
        <w:tc>
          <w:tcPr>
            <w:tcW w:w="18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0FFFF"/>
          </w:tcPr>
          <w:p>
            <w:pPr>
              <w:spacing w:after="0"/>
              <w:rPr>
                <w:sz w:val="20"/>
                <w:szCs w:val="20"/>
                <w:color w:val="auto"/>
              </w:rPr>
            </w:pPr>
            <w:r>
              <w:rPr>
                <w:rFonts w:ascii="Arial" w:cs="Arial" w:eastAsia="Arial" w:hAnsi="Arial"/>
                <w:sz w:val="18"/>
                <w:szCs w:val="18"/>
                <w:color w:val="auto"/>
                <w:w w:val="90"/>
              </w:rPr>
              <w:t>Current assets:</w:t>
            </w:r>
          </w:p>
        </w:tc>
        <w:tc>
          <w:tcPr>
            <w:tcW w:w="69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5,089,657</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9,353,460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0FFFF"/>
          </w:tcPr>
          <w:p>
            <w:pPr>
              <w:ind w:left="160"/>
              <w:spacing w:after="0"/>
              <w:rPr>
                <w:sz w:val="20"/>
                <w:szCs w:val="20"/>
                <w:color w:val="auto"/>
              </w:rPr>
            </w:pPr>
            <w:r>
              <w:rPr>
                <w:rFonts w:ascii="Arial" w:cs="Arial" w:eastAsia="Arial" w:hAnsi="Arial"/>
                <w:sz w:val="18"/>
                <w:szCs w:val="18"/>
                <w:color w:val="auto"/>
              </w:rPr>
              <w:t>Marketable securities</w:t>
            </w:r>
          </w:p>
        </w:tc>
        <w:tc>
          <w:tcPr>
            <w:tcW w:w="180" w:type="dxa"/>
            <w:vAlign w:val="bottom"/>
            <w:shd w:val="clear" w:color="auto" w:fill="C0FFFF"/>
          </w:tcPr>
          <w:p>
            <w:pPr>
              <w:spacing w:after="0"/>
              <w:rPr>
                <w:sz w:val="18"/>
                <w:szCs w:val="18"/>
                <w:color w:val="auto"/>
              </w:rPr>
            </w:pPr>
          </w:p>
        </w:tc>
        <w:tc>
          <w:tcPr>
            <w:tcW w:w="134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23,017,509</w:t>
            </w:r>
          </w:p>
        </w:tc>
        <w:tc>
          <w:tcPr>
            <w:tcW w:w="200" w:type="dxa"/>
            <w:vAlign w:val="bottom"/>
            <w:shd w:val="clear" w:color="auto" w:fill="C0FFFF"/>
          </w:tcPr>
          <w:p>
            <w:pPr>
              <w:spacing w:after="0"/>
              <w:rPr>
                <w:sz w:val="18"/>
                <w:szCs w:val="18"/>
                <w:color w:val="auto"/>
              </w:rPr>
            </w:pP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22,369,484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1,157,791</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1,064,796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0FFFF"/>
          </w:tcPr>
          <w:p>
            <w:pPr>
              <w:ind w:left="160"/>
              <w:spacing w:after="0"/>
              <w:rPr>
                <w:sz w:val="20"/>
                <w:szCs w:val="20"/>
                <w:color w:val="auto"/>
              </w:rPr>
            </w:pPr>
            <w:r>
              <w:rPr>
                <w:rFonts w:ascii="Arial" w:cs="Arial" w:eastAsia="Arial" w:hAnsi="Arial"/>
                <w:sz w:val="18"/>
                <w:szCs w:val="18"/>
                <w:color w:val="auto"/>
              </w:rPr>
              <w:t>Unbilled receivables</w:t>
            </w:r>
          </w:p>
        </w:tc>
        <w:tc>
          <w:tcPr>
            <w:tcW w:w="180" w:type="dxa"/>
            <w:vAlign w:val="bottom"/>
            <w:shd w:val="clear" w:color="auto" w:fill="C0FFFF"/>
          </w:tcPr>
          <w:p>
            <w:pPr>
              <w:spacing w:after="0"/>
              <w:rPr>
                <w:sz w:val="18"/>
                <w:szCs w:val="18"/>
                <w:color w:val="auto"/>
              </w:rPr>
            </w:pPr>
          </w:p>
        </w:tc>
        <w:tc>
          <w:tcPr>
            <w:tcW w:w="134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235,493</w:t>
            </w:r>
          </w:p>
        </w:tc>
        <w:tc>
          <w:tcPr>
            <w:tcW w:w="200" w:type="dxa"/>
            <w:vAlign w:val="bottom"/>
            <w:shd w:val="clear" w:color="auto" w:fill="C0FFFF"/>
          </w:tcPr>
          <w:p>
            <w:pPr>
              <w:spacing w:after="0"/>
              <w:rPr>
                <w:sz w:val="18"/>
                <w:szCs w:val="18"/>
                <w:color w:val="auto"/>
              </w:rPr>
            </w:pP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223,050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718,270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842,820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0FFFF"/>
          </w:tcPr>
          <w:p>
            <w:pPr>
              <w:ind w:left="48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0FFFF"/>
          </w:tcPr>
          <w:p>
            <w:pPr>
              <w:spacing w:after="0"/>
              <w:rPr>
                <w:sz w:val="18"/>
                <w:szCs w:val="18"/>
                <w:color w:val="auto"/>
              </w:rPr>
            </w:pPr>
          </w:p>
        </w:tc>
        <w:tc>
          <w:tcPr>
            <w:tcW w:w="134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30,218,720</w:t>
            </w:r>
          </w:p>
        </w:tc>
        <w:tc>
          <w:tcPr>
            <w:tcW w:w="200" w:type="dxa"/>
            <w:vAlign w:val="bottom"/>
            <w:shd w:val="clear" w:color="auto" w:fill="C0FFFF"/>
          </w:tcPr>
          <w:p>
            <w:pPr>
              <w:spacing w:after="0"/>
              <w:rPr>
                <w:sz w:val="18"/>
                <w:szCs w:val="18"/>
                <w:color w:val="auto"/>
              </w:rPr>
            </w:pP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33,853,610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880,018</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682,933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0FFFF"/>
          </w:tcPr>
          <w:p>
            <w:pPr>
              <w:spacing w:after="0"/>
              <w:rPr>
                <w:sz w:val="20"/>
                <w:szCs w:val="20"/>
                <w:color w:val="auto"/>
              </w:rPr>
            </w:pPr>
            <w:r>
              <w:rPr>
                <w:rFonts w:ascii="Arial" w:cs="Arial" w:eastAsia="Arial" w:hAnsi="Arial"/>
                <w:sz w:val="18"/>
                <w:szCs w:val="18"/>
                <w:color w:val="auto"/>
              </w:rPr>
              <w:t>Patents, net</w:t>
            </w:r>
          </w:p>
        </w:tc>
        <w:tc>
          <w:tcPr>
            <w:tcW w:w="69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34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1,215,248</w:t>
            </w:r>
          </w:p>
        </w:tc>
        <w:tc>
          <w:tcPr>
            <w:tcW w:w="200" w:type="dxa"/>
            <w:vAlign w:val="bottom"/>
            <w:shd w:val="clear" w:color="auto" w:fill="C0FFFF"/>
          </w:tcPr>
          <w:p>
            <w:pPr>
              <w:spacing w:after="0"/>
              <w:rPr>
                <w:sz w:val="18"/>
                <w:szCs w:val="18"/>
                <w:color w:val="auto"/>
              </w:rPr>
            </w:pP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1,269,457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88"/>
              </w:rPr>
              <w:t>Restricted cash</w:t>
            </w:r>
          </w:p>
        </w:tc>
        <w:tc>
          <w:tcPr>
            <w:tcW w:w="6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1,308,656</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1,453,712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Borders>
              <w:bottom w:val="single" w:sz="8" w:color="C0FFFF"/>
            </w:tcBorders>
            <w:gridSpan w:val="2"/>
            <w:shd w:val="clear" w:color="auto" w:fill="C0FFFF"/>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shd w:val="clear" w:color="auto" w:fill="C0FFFF"/>
          </w:tcPr>
          <w:p>
            <w:pPr>
              <w:spacing w:after="0"/>
              <w:rPr>
                <w:sz w:val="19"/>
                <w:szCs w:val="19"/>
                <w:color w:val="auto"/>
              </w:rPr>
            </w:pPr>
          </w:p>
        </w:tc>
        <w:tc>
          <w:tcPr>
            <w:tcW w:w="132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194,618</w:t>
            </w:r>
          </w:p>
        </w:tc>
        <w:tc>
          <w:tcPr>
            <w:tcW w:w="20" w:type="dxa"/>
            <w:vAlign w:val="bottom"/>
            <w:tcBorders>
              <w:bottom w:val="single" w:sz="8" w:color="C0FFFF"/>
            </w:tcBorders>
            <w:shd w:val="clear" w:color="auto" w:fill="C0FFFF"/>
          </w:tcPr>
          <w:p>
            <w:pPr>
              <w:spacing w:after="0"/>
              <w:rPr>
                <w:sz w:val="19"/>
                <w:szCs w:val="19"/>
                <w:color w:val="auto"/>
              </w:rPr>
            </w:pPr>
          </w:p>
        </w:tc>
        <w:tc>
          <w:tcPr>
            <w:tcW w:w="200" w:type="dxa"/>
            <w:vAlign w:val="bottom"/>
            <w:tcBorders>
              <w:bottom w:val="single" w:sz="8" w:color="C0FFFF"/>
            </w:tcBorders>
            <w:shd w:val="clear" w:color="auto" w:fill="C0FFFF"/>
          </w:tcPr>
          <w:p>
            <w:pPr>
              <w:spacing w:after="0"/>
              <w:rPr>
                <w:sz w:val="19"/>
                <w:szCs w:val="19"/>
                <w:color w:val="auto"/>
              </w:rPr>
            </w:pPr>
          </w:p>
        </w:tc>
        <w:tc>
          <w:tcPr>
            <w:tcW w:w="14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181,925</w:t>
            </w:r>
          </w:p>
        </w:tc>
        <w:tc>
          <w:tcPr>
            <w:tcW w:w="100" w:type="dxa"/>
            <w:vAlign w:val="bottom"/>
            <w:tcBorders>
              <w:bottom w:val="single" w:sz="8" w:color="C0FFFF"/>
            </w:tcBorders>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8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33,817,260</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37,441,637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shd w:val="clear" w:color="auto" w:fill="C0FFFF"/>
          </w:tcPr>
          <w:p>
            <w:pPr>
              <w:spacing w:after="0"/>
              <w:rPr>
                <w:sz w:val="18"/>
                <w:szCs w:val="18"/>
                <w:color w:val="auto"/>
              </w:rPr>
            </w:pPr>
          </w:p>
        </w:tc>
        <w:tc>
          <w:tcPr>
            <w:tcW w:w="6980" w:type="dxa"/>
            <w:vAlign w:val="bottom"/>
            <w:shd w:val="clear" w:color="auto" w:fill="C0FFFF"/>
          </w:tcPr>
          <w:p>
            <w:pPr>
              <w:jc w:val="center"/>
              <w:ind w:right="115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0FFFF"/>
          </w:tcPr>
          <w:p>
            <w:pPr>
              <w:ind w:left="1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656,810</w:t>
            </w:r>
          </w:p>
        </w:tc>
        <w:tc>
          <w:tcPr>
            <w:tcW w:w="200" w:type="dxa"/>
            <w:vAlign w:val="bottom"/>
            <w:shd w:val="clear" w:color="auto" w:fill="C0FFFF"/>
          </w:tcPr>
          <w:p>
            <w:pPr>
              <w:spacing w:after="0"/>
              <w:rPr>
                <w:sz w:val="18"/>
                <w:szCs w:val="18"/>
                <w:color w:val="auto"/>
              </w:rPr>
            </w:pP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440,773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3,176,831</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2,770,094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0FFFF"/>
          </w:tcPr>
          <w:p>
            <w:pPr>
              <w:ind w:left="160"/>
              <w:spacing w:after="0"/>
              <w:rPr>
                <w:sz w:val="20"/>
                <w:szCs w:val="20"/>
                <w:color w:val="auto"/>
              </w:rPr>
            </w:pPr>
            <w:r>
              <w:rPr>
                <w:rFonts w:ascii="Arial" w:cs="Arial" w:eastAsia="Arial" w:hAnsi="Arial"/>
                <w:sz w:val="18"/>
                <w:szCs w:val="18"/>
                <w:color w:val="auto"/>
              </w:rPr>
              <w:t>Deferred credits payable</w:t>
            </w:r>
          </w:p>
        </w:tc>
        <w:tc>
          <w:tcPr>
            <w:tcW w:w="180" w:type="dxa"/>
            <w:vAlign w:val="bottom"/>
            <w:shd w:val="clear" w:color="auto" w:fill="C0FFFF"/>
          </w:tcPr>
          <w:p>
            <w:pPr>
              <w:spacing w:after="0"/>
              <w:rPr>
                <w:sz w:val="18"/>
                <w:szCs w:val="18"/>
                <w:color w:val="auto"/>
              </w:rPr>
            </w:pPr>
          </w:p>
        </w:tc>
        <w:tc>
          <w:tcPr>
            <w:tcW w:w="134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600,000</w:t>
            </w:r>
          </w:p>
        </w:tc>
        <w:tc>
          <w:tcPr>
            <w:tcW w:w="200" w:type="dxa"/>
            <w:vAlign w:val="bottom"/>
            <w:shd w:val="clear" w:color="auto" w:fill="C0FFFF"/>
          </w:tcPr>
          <w:p>
            <w:pPr>
              <w:spacing w:after="0"/>
              <w:rPr>
                <w:sz w:val="18"/>
                <w:szCs w:val="18"/>
                <w:color w:val="auto"/>
              </w:rPr>
            </w:pP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Unearned revenues</w:t>
            </w: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846,422</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1,073,389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Borders>
              <w:bottom w:val="single" w:sz="8" w:color="C0FFFF"/>
            </w:tcBorders>
            <w:gridSpan w:val="2"/>
            <w:shd w:val="clear" w:color="auto" w:fill="C0FFFF"/>
          </w:tcPr>
          <w:p>
            <w:pPr>
              <w:ind w:left="16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Borders>
              <w:bottom w:val="single" w:sz="8" w:color="auto"/>
            </w:tcBorders>
            <w:shd w:val="clear" w:color="auto" w:fill="C0FFFF"/>
          </w:tcPr>
          <w:p>
            <w:pPr>
              <w:spacing w:after="0"/>
              <w:rPr>
                <w:sz w:val="19"/>
                <w:szCs w:val="19"/>
                <w:color w:val="auto"/>
              </w:rPr>
            </w:pPr>
          </w:p>
        </w:tc>
        <w:tc>
          <w:tcPr>
            <w:tcW w:w="132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Borders>
              <w:bottom w:val="single" w:sz="8" w:color="C0FFFF"/>
            </w:tcBorders>
            <w:shd w:val="clear" w:color="auto" w:fill="C0FFFF"/>
          </w:tcPr>
          <w:p>
            <w:pPr>
              <w:spacing w:after="0"/>
              <w:rPr>
                <w:sz w:val="19"/>
                <w:szCs w:val="19"/>
                <w:color w:val="auto"/>
              </w:rPr>
            </w:pPr>
          </w:p>
        </w:tc>
        <w:tc>
          <w:tcPr>
            <w:tcW w:w="200" w:type="dxa"/>
            <w:vAlign w:val="bottom"/>
            <w:tcBorders>
              <w:bottom w:val="single" w:sz="8" w:color="C0FFFF"/>
            </w:tcBorders>
            <w:shd w:val="clear" w:color="auto" w:fill="C0FFFF"/>
          </w:tcPr>
          <w:p>
            <w:pPr>
              <w:spacing w:after="0"/>
              <w:rPr>
                <w:sz w:val="19"/>
                <w:szCs w:val="19"/>
                <w:color w:val="auto"/>
              </w:rPr>
            </w:pPr>
          </w:p>
        </w:tc>
        <w:tc>
          <w:tcPr>
            <w:tcW w:w="14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0FFFF"/>
            </w:tcBorders>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8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5,380,063</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4,984,256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2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w w:val="90"/>
              </w:rPr>
              <w:t>Long-term debt</w:t>
            </w:r>
          </w:p>
        </w:tc>
        <w:tc>
          <w:tcPr>
            <w:tcW w:w="6980" w:type="dxa"/>
            <w:vAlign w:val="bottom"/>
            <w:tcBorders>
              <w:bottom w:val="single" w:sz="8" w:color="C0FFFF"/>
            </w:tcBorders>
            <w:shd w:val="clear" w:color="auto" w:fill="C0FFFF"/>
          </w:tcPr>
          <w:p>
            <w:pPr>
              <w:spacing w:after="0"/>
              <w:rPr>
                <w:sz w:val="19"/>
                <w:szCs w:val="19"/>
                <w:color w:val="auto"/>
              </w:rPr>
            </w:pPr>
          </w:p>
        </w:tc>
        <w:tc>
          <w:tcPr>
            <w:tcW w:w="180" w:type="dxa"/>
            <w:vAlign w:val="bottom"/>
            <w:tcBorders>
              <w:bottom w:val="single" w:sz="8" w:color="auto"/>
            </w:tcBorders>
            <w:shd w:val="clear" w:color="auto" w:fill="C0FFFF"/>
          </w:tcPr>
          <w:p>
            <w:pPr>
              <w:spacing w:after="0"/>
              <w:rPr>
                <w:sz w:val="19"/>
                <w:szCs w:val="19"/>
                <w:color w:val="auto"/>
              </w:rPr>
            </w:pPr>
          </w:p>
        </w:tc>
        <w:tc>
          <w:tcPr>
            <w:tcW w:w="132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325,000</w:t>
            </w:r>
          </w:p>
        </w:tc>
        <w:tc>
          <w:tcPr>
            <w:tcW w:w="20" w:type="dxa"/>
            <w:vAlign w:val="bottom"/>
            <w:tcBorders>
              <w:bottom w:val="single" w:sz="8" w:color="C0FFFF"/>
            </w:tcBorders>
            <w:shd w:val="clear" w:color="auto" w:fill="C0FFFF"/>
          </w:tcPr>
          <w:p>
            <w:pPr>
              <w:spacing w:after="0"/>
              <w:rPr>
                <w:sz w:val="19"/>
                <w:szCs w:val="19"/>
                <w:color w:val="auto"/>
              </w:rPr>
            </w:pPr>
          </w:p>
        </w:tc>
        <w:tc>
          <w:tcPr>
            <w:tcW w:w="200" w:type="dxa"/>
            <w:vAlign w:val="bottom"/>
            <w:tcBorders>
              <w:bottom w:val="single" w:sz="8" w:color="C0FFFF"/>
            </w:tcBorders>
            <w:shd w:val="clear" w:color="auto" w:fill="C0FFFF"/>
          </w:tcPr>
          <w:p>
            <w:pPr>
              <w:spacing w:after="0"/>
              <w:rPr>
                <w:sz w:val="19"/>
                <w:szCs w:val="19"/>
                <w:color w:val="auto"/>
              </w:rPr>
            </w:pPr>
          </w:p>
        </w:tc>
        <w:tc>
          <w:tcPr>
            <w:tcW w:w="14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C0FFFF"/>
            </w:tcBorders>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gridSpan w:val="2"/>
          </w:tcPr>
          <w:p>
            <w:pPr>
              <w:ind w:left="48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5,705,063</w:t>
            </w: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5,334,256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Commitments and contingencies (note 9)</w:t>
            </w:r>
          </w:p>
        </w:tc>
        <w:tc>
          <w:tcPr>
            <w:tcW w:w="180" w:type="dxa"/>
            <w:vAlign w:val="bottom"/>
            <w:tcBorders>
              <w:top w:val="single" w:sz="8" w:color="auto"/>
            </w:tcBorders>
            <w:shd w:val="clear" w:color="auto" w:fill="C0FFFF"/>
          </w:tcPr>
          <w:p>
            <w:pPr>
              <w:spacing w:after="0"/>
              <w:rPr>
                <w:sz w:val="18"/>
                <w:szCs w:val="18"/>
                <w:color w:val="auto"/>
              </w:rPr>
            </w:pPr>
          </w:p>
        </w:tc>
        <w:tc>
          <w:tcPr>
            <w:tcW w:w="1320" w:type="dxa"/>
            <w:vAlign w:val="bottom"/>
            <w:tcBorders>
              <w:top w:val="single" w:sz="8" w:color="auto"/>
            </w:tcBorders>
            <w:shd w:val="clear" w:color="auto" w:fill="C0FFFF"/>
          </w:tcPr>
          <w:p>
            <w:pPr>
              <w:spacing w:after="0"/>
              <w:rPr>
                <w:sz w:val="18"/>
                <w:szCs w:val="18"/>
                <w:color w:val="auto"/>
              </w:rPr>
            </w:pPr>
          </w:p>
        </w:tc>
        <w:tc>
          <w:tcPr>
            <w:tcW w:w="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8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Ocean Power Technologies, Inc. Stockholders’ equity:</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0FFFF"/>
          </w:tcPr>
          <w:p>
            <w:pPr>
              <w:ind w:left="160"/>
              <w:spacing w:after="0"/>
              <w:rPr>
                <w:sz w:val="20"/>
                <w:szCs w:val="20"/>
                <w:color w:val="auto"/>
              </w:rPr>
            </w:pPr>
            <w:r>
              <w:rPr>
                <w:rFonts w:ascii="Arial" w:cs="Arial" w:eastAsia="Arial" w:hAnsi="Arial"/>
                <w:sz w:val="18"/>
                <w:szCs w:val="18"/>
                <w:color w:val="auto"/>
              </w:rPr>
              <w:t>Preferred stock, $0.001 par value; authorized 5,000,000 shares, none issued or outstanding</w:t>
            </w:r>
          </w:p>
        </w:tc>
        <w:tc>
          <w:tcPr>
            <w:tcW w:w="180" w:type="dxa"/>
            <w:vAlign w:val="bottom"/>
            <w:shd w:val="clear" w:color="auto" w:fill="C0FFFF"/>
          </w:tcPr>
          <w:p>
            <w:pPr>
              <w:spacing w:after="0"/>
              <w:rPr>
                <w:sz w:val="18"/>
                <w:szCs w:val="18"/>
                <w:color w:val="auto"/>
              </w:rPr>
            </w:pPr>
          </w:p>
        </w:tc>
        <w:tc>
          <w:tcPr>
            <w:tcW w:w="1540" w:type="dxa"/>
            <w:vAlign w:val="bottom"/>
            <w:gridSpan w:val="3"/>
            <w:shd w:val="clear" w:color="auto" w:fill="C0FF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0"/>
              </w:rPr>
              <w:t>Common stock, $0.001 par value; authorized 105,000,000 shares, issued 10,405,439 and 10,407,389 shares,</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gridSpan w:val="2"/>
          </w:tcPr>
          <w:p>
            <w:pPr>
              <w:ind w:left="32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20"/>
                <w:szCs w:val="20"/>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10,405</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10,407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0FFFF"/>
          </w:tcPr>
          <w:p>
            <w:pPr>
              <w:ind w:left="160"/>
              <w:spacing w:after="0"/>
              <w:rPr>
                <w:sz w:val="20"/>
                <w:szCs w:val="20"/>
                <w:color w:val="auto"/>
              </w:rPr>
            </w:pPr>
            <w:r>
              <w:rPr>
                <w:rFonts w:ascii="Arial" w:cs="Arial" w:eastAsia="Arial" w:hAnsi="Arial"/>
                <w:sz w:val="18"/>
                <w:szCs w:val="18"/>
                <w:color w:val="auto"/>
              </w:rPr>
              <w:t>Treasury stock, at cost; 27,818 and 23,544 shares, respectively</w:t>
            </w:r>
          </w:p>
        </w:tc>
        <w:tc>
          <w:tcPr>
            <w:tcW w:w="180" w:type="dxa"/>
            <w:vAlign w:val="bottom"/>
            <w:shd w:val="clear" w:color="auto" w:fill="C0FFFF"/>
          </w:tcPr>
          <w:p>
            <w:pPr>
              <w:spacing w:after="0"/>
              <w:rPr>
                <w:sz w:val="18"/>
                <w:szCs w:val="18"/>
                <w:color w:val="auto"/>
              </w:rPr>
            </w:pPr>
          </w:p>
        </w:tc>
        <w:tc>
          <w:tcPr>
            <w:tcW w:w="1540" w:type="dxa"/>
            <w:vAlign w:val="bottom"/>
            <w:gridSpan w:val="3"/>
            <w:shd w:val="clear" w:color="auto" w:fill="C0FFFF"/>
          </w:tcPr>
          <w:p>
            <w:pPr>
              <w:jc w:val="right"/>
              <w:ind w:right="160"/>
              <w:spacing w:after="0"/>
              <w:rPr>
                <w:sz w:val="20"/>
                <w:szCs w:val="20"/>
                <w:color w:val="auto"/>
              </w:rPr>
            </w:pPr>
            <w:r>
              <w:rPr>
                <w:rFonts w:ascii="Arial" w:cs="Arial" w:eastAsia="Arial" w:hAnsi="Arial"/>
                <w:sz w:val="18"/>
                <w:szCs w:val="18"/>
                <w:color w:val="auto"/>
              </w:rPr>
              <w:t>(111,510)</w:t>
            </w:r>
          </w:p>
        </w:tc>
        <w:tc>
          <w:tcPr>
            <w:tcW w:w="15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(102,388)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158,683,010</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158,296,458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0FFFF"/>
          </w:tcPr>
          <w:p>
            <w:pPr>
              <w:ind w:left="16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0FFFF"/>
          </w:tcPr>
          <w:p>
            <w:pPr>
              <w:spacing w:after="0"/>
              <w:rPr>
                <w:sz w:val="18"/>
                <w:szCs w:val="18"/>
                <w:color w:val="auto"/>
              </w:rPr>
            </w:pPr>
          </w:p>
        </w:tc>
        <w:tc>
          <w:tcPr>
            <w:tcW w:w="1540" w:type="dxa"/>
            <w:vAlign w:val="bottom"/>
            <w:gridSpan w:val="3"/>
            <w:shd w:val="clear" w:color="auto" w:fill="C0FFFF"/>
          </w:tcPr>
          <w:p>
            <w:pPr>
              <w:jc w:val="right"/>
              <w:ind w:right="160"/>
              <w:spacing w:after="0"/>
              <w:rPr>
                <w:sz w:val="20"/>
                <w:szCs w:val="20"/>
                <w:color w:val="auto"/>
              </w:rPr>
            </w:pPr>
            <w:r>
              <w:rPr>
                <w:rFonts w:ascii="Arial" w:cs="Arial" w:eastAsia="Arial" w:hAnsi="Arial"/>
                <w:sz w:val="18"/>
                <w:szCs w:val="18"/>
                <w:color w:val="auto"/>
              </w:rPr>
              <w:t>(130,325,527)</w:t>
            </w:r>
          </w:p>
        </w:tc>
        <w:tc>
          <w:tcPr>
            <w:tcW w:w="15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(125,989,474)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8"/>
                <w:szCs w:val="18"/>
                <w:color w:val="auto"/>
              </w:rPr>
              <w:t>(88,413)</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(78,990)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Borders>
              <w:bottom w:val="single" w:sz="8" w:color="C0FFFF"/>
            </w:tcBorders>
            <w:gridSpan w:val="2"/>
            <w:shd w:val="clear" w:color="auto" w:fill="C0FFFF"/>
          </w:tcPr>
          <w:p>
            <w:pPr>
              <w:ind w:left="480"/>
              <w:spacing w:after="0"/>
              <w:rPr>
                <w:sz w:val="20"/>
                <w:szCs w:val="20"/>
                <w:color w:val="auto"/>
              </w:rPr>
            </w:pPr>
            <w:r>
              <w:rPr>
                <w:rFonts w:ascii="Arial" w:cs="Arial" w:eastAsia="Arial" w:hAnsi="Arial"/>
                <w:sz w:val="18"/>
                <w:szCs w:val="18"/>
                <w:color w:val="auto"/>
              </w:rPr>
              <w:t>Total Ocean Power Technologies, Inc. stockholders’ equity</w:t>
            </w:r>
          </w:p>
        </w:tc>
        <w:tc>
          <w:tcPr>
            <w:tcW w:w="180" w:type="dxa"/>
            <w:vAlign w:val="bottom"/>
            <w:tcBorders>
              <w:top w:val="single" w:sz="8" w:color="auto"/>
              <w:bottom w:val="single" w:sz="8" w:color="auto"/>
            </w:tcBorders>
            <w:shd w:val="clear" w:color="auto" w:fill="C0FFFF"/>
          </w:tcPr>
          <w:p>
            <w:pPr>
              <w:spacing w:after="0"/>
              <w:rPr>
                <w:sz w:val="19"/>
                <w:szCs w:val="19"/>
                <w:color w:val="auto"/>
              </w:rPr>
            </w:pPr>
          </w:p>
        </w:tc>
        <w:tc>
          <w:tcPr>
            <w:tcW w:w="1320" w:type="dxa"/>
            <w:vAlign w:val="bottom"/>
            <w:tcBorders>
              <w:top w:val="single" w:sz="8" w:color="auto"/>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28,167,965</w:t>
            </w:r>
          </w:p>
        </w:tc>
        <w:tc>
          <w:tcPr>
            <w:tcW w:w="20" w:type="dxa"/>
            <w:vAlign w:val="bottom"/>
            <w:tcBorders>
              <w:bottom w:val="single" w:sz="8" w:color="C0FFFF"/>
            </w:tcBorders>
            <w:shd w:val="clear" w:color="auto" w:fill="C0FFFF"/>
          </w:tcPr>
          <w:p>
            <w:pPr>
              <w:spacing w:after="0"/>
              <w:rPr>
                <w:sz w:val="19"/>
                <w:szCs w:val="19"/>
                <w:color w:val="auto"/>
              </w:rPr>
            </w:pPr>
          </w:p>
        </w:tc>
        <w:tc>
          <w:tcPr>
            <w:tcW w:w="200" w:type="dxa"/>
            <w:vAlign w:val="bottom"/>
            <w:tcBorders>
              <w:bottom w:val="single" w:sz="8" w:color="C0FFFF"/>
            </w:tcBorders>
            <w:shd w:val="clear" w:color="auto" w:fill="C0FFFF"/>
          </w:tcPr>
          <w:p>
            <w:pPr>
              <w:spacing w:after="0"/>
              <w:rPr>
                <w:sz w:val="19"/>
                <w:szCs w:val="19"/>
                <w:color w:val="auto"/>
              </w:rPr>
            </w:pPr>
          </w:p>
        </w:tc>
        <w:tc>
          <w:tcPr>
            <w:tcW w:w="1480" w:type="dxa"/>
            <w:vAlign w:val="bottom"/>
            <w:tcBorders>
              <w:top w:val="single" w:sz="8" w:color="auto"/>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32,136,013</w:t>
            </w:r>
          </w:p>
        </w:tc>
        <w:tc>
          <w:tcPr>
            <w:tcW w:w="100" w:type="dxa"/>
            <w:vAlign w:val="bottom"/>
            <w:tcBorders>
              <w:bottom w:val="single" w:sz="8" w:color="C0FFFF"/>
            </w:tcBorders>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Noncontrolling interest in Ocean Power Technologies (Australasia) Pty Ltd.</w:t>
            </w:r>
          </w:p>
        </w:tc>
        <w:tc>
          <w:tcPr>
            <w:tcW w:w="180" w:type="dxa"/>
            <w:vAlign w:val="bottom"/>
          </w:tcPr>
          <w:p>
            <w:pPr>
              <w:spacing w:after="0"/>
              <w:rPr>
                <w:sz w:val="18"/>
                <w:szCs w:val="18"/>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8"/>
                <w:szCs w:val="18"/>
                <w:color w:val="auto"/>
              </w:rPr>
              <w:t>(55,768)</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(28,632)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Total equity</w:t>
            </w:r>
          </w:p>
        </w:tc>
        <w:tc>
          <w:tcPr>
            <w:tcW w:w="6980" w:type="dxa"/>
            <w:vAlign w:val="bottom"/>
            <w:shd w:val="clear" w:color="auto" w:fill="C0FFFF"/>
          </w:tcPr>
          <w:p>
            <w:pPr>
              <w:spacing w:after="0"/>
              <w:rPr>
                <w:sz w:val="19"/>
                <w:szCs w:val="19"/>
                <w:color w:val="auto"/>
              </w:rPr>
            </w:pPr>
          </w:p>
        </w:tc>
        <w:tc>
          <w:tcPr>
            <w:tcW w:w="180" w:type="dxa"/>
            <w:vAlign w:val="bottom"/>
            <w:shd w:val="clear" w:color="auto" w:fill="C0FFFF"/>
          </w:tcPr>
          <w:p>
            <w:pPr>
              <w:spacing w:after="0"/>
              <w:rPr>
                <w:sz w:val="19"/>
                <w:szCs w:val="19"/>
                <w:color w:val="auto"/>
              </w:rPr>
            </w:pPr>
          </w:p>
        </w:tc>
        <w:tc>
          <w:tcPr>
            <w:tcW w:w="1540" w:type="dxa"/>
            <w:vAlign w:val="bottom"/>
            <w:gridSpan w:val="3"/>
            <w:shd w:val="clear" w:color="auto" w:fill="C0FFFF"/>
          </w:tcPr>
          <w:p>
            <w:pPr>
              <w:jc w:val="right"/>
              <w:ind w:right="220"/>
              <w:spacing w:after="0"/>
              <w:rPr>
                <w:sz w:val="20"/>
                <w:szCs w:val="20"/>
                <w:color w:val="auto"/>
              </w:rPr>
            </w:pPr>
            <w:r>
              <w:rPr>
                <w:rFonts w:ascii="Arial" w:cs="Arial" w:eastAsia="Arial" w:hAnsi="Arial"/>
                <w:sz w:val="18"/>
                <w:szCs w:val="18"/>
                <w:color w:val="auto"/>
              </w:rPr>
              <w:t>28,112,197</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32,107,381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top w:val="single" w:sz="8" w:color="C0FFFF"/>
            </w:tcBorders>
            <w:gridSpan w:val="2"/>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33,817,260</w:t>
            </w:r>
          </w:p>
        </w:tc>
        <w:tc>
          <w:tcPr>
            <w:tcW w:w="20" w:type="dxa"/>
            <w:vAlign w:val="bottom"/>
            <w:tcBorders>
              <w:top w:val="single" w:sz="8" w:color="C0FFFF"/>
              <w:bottom w:val="single" w:sz="8" w:color="auto"/>
            </w:tcBorders>
          </w:tcPr>
          <w:p>
            <w:pPr>
              <w:spacing w:after="0"/>
              <w:rPr>
                <w:sz w:val="18"/>
                <w:szCs w:val="18"/>
                <w:color w:val="auto"/>
              </w:rPr>
            </w:pPr>
          </w:p>
        </w:tc>
        <w:tc>
          <w:tcPr>
            <w:tcW w:w="200" w:type="dxa"/>
            <w:vAlign w:val="bottom"/>
            <w:tcBorders>
              <w:top w:val="single" w:sz="8" w:color="C0FF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37,441,637</w:t>
            </w: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20" w:type="dxa"/>
            <w:vAlign w:val="bottom"/>
          </w:tcPr>
          <w:p>
            <w:pPr>
              <w:jc w:val="center"/>
              <w:ind w:left="329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8020" w:type="dxa"/>
            <w:vAlign w:val="bottom"/>
          </w:tcPr>
          <w:p>
            <w:pPr>
              <w:jc w:val="center"/>
              <w:ind w:left="329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tcPr>
          <w:p>
            <w:pPr>
              <w:jc w:val="center"/>
              <w:ind w:left="3270"/>
              <w:spacing w:after="0"/>
              <w:rPr>
                <w:sz w:val="20"/>
                <w:szCs w:val="20"/>
                <w:color w:val="auto"/>
              </w:rPr>
            </w:pPr>
            <w:r>
              <w:rPr>
                <w:rFonts w:ascii="Arial" w:cs="Arial" w:eastAsia="Arial" w:hAnsi="Arial"/>
                <w:sz w:val="18"/>
                <w:szCs w:val="18"/>
                <w:b w:val="1"/>
                <w:bCs w:val="1"/>
                <w:color w:val="auto"/>
                <w:w w:val="93"/>
              </w:rPr>
              <w:t>(Unaudited)</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2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w w:val="97"/>
              </w:rPr>
              <w:t>Three Months Ended July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top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0FFFF"/>
          </w:tcPr>
          <w:p>
            <w:pPr>
              <w:spacing w:after="0"/>
              <w:rPr>
                <w:sz w:val="20"/>
                <w:szCs w:val="20"/>
                <w:color w:val="auto"/>
              </w:rPr>
            </w:pPr>
            <w:r>
              <w:rPr>
                <w:rFonts w:ascii="Arial" w:cs="Arial" w:eastAsia="Arial" w:hAnsi="Arial"/>
                <w:sz w:val="18"/>
                <w:szCs w:val="18"/>
                <w:color w:val="auto"/>
              </w:rPr>
              <w:t>Revenues</w:t>
            </w:r>
          </w:p>
        </w:tc>
        <w:tc>
          <w:tcPr>
            <w:tcW w:w="360" w:type="dxa"/>
            <w:vAlign w:val="bottom"/>
            <w:gridSpan w:val="2"/>
            <w:shd w:val="clear" w:color="auto" w:fill="C0FFFF"/>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982,396</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1,910,852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Cost of revenues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979,860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1,901,902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shd w:val="clear" w:color="auto" w:fill="C0FFFF"/>
          </w:tcPr>
          <w:p>
            <w:pPr>
              <w:ind w:left="48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0FFFF"/>
          </w:tcPr>
          <w:p>
            <w:pPr>
              <w:spacing w:after="0"/>
              <w:rPr>
                <w:sz w:val="19"/>
                <w:szCs w:val="19"/>
                <w:color w:val="auto"/>
              </w:rPr>
            </w:pPr>
          </w:p>
        </w:tc>
        <w:tc>
          <w:tcPr>
            <w:tcW w:w="280" w:type="dxa"/>
            <w:vAlign w:val="bottom"/>
            <w:shd w:val="clear" w:color="auto" w:fill="C0FFFF"/>
          </w:tcPr>
          <w:p>
            <w:pPr>
              <w:spacing w:after="0"/>
              <w:rPr>
                <w:sz w:val="19"/>
                <w:szCs w:val="19"/>
                <w:color w:val="auto"/>
              </w:rPr>
            </w:pPr>
          </w:p>
        </w:tc>
        <w:tc>
          <w:tcPr>
            <w:tcW w:w="144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2,536</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8,950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top w:val="single" w:sz="8" w:color="C0FFFF"/>
            </w:tcBorders>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C0FF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Product development costs</w:t>
            </w:r>
          </w:p>
        </w:tc>
        <w:tc>
          <w:tcPr>
            <w:tcW w:w="8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1,927,427</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3,100,587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2,384,338</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2,019,742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0FFFF"/>
          </w:tcPr>
          <w:p>
            <w:pPr>
              <w:ind w:left="48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4,311,765</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5,120,329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Operating loss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(4,309,229)</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(5,111,379)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0FFFF"/>
          </w:tcPr>
          <w:p>
            <w:pPr>
              <w:spacing w:after="0"/>
              <w:rPr>
                <w:sz w:val="20"/>
                <w:szCs w:val="20"/>
                <w:color w:val="auto"/>
              </w:rPr>
            </w:pPr>
            <w:r>
              <w:rPr>
                <w:rFonts w:ascii="Arial" w:cs="Arial" w:eastAsia="Arial" w:hAnsi="Arial"/>
                <w:sz w:val="18"/>
                <w:szCs w:val="18"/>
                <w:color w:val="auto"/>
              </w:rPr>
              <w:t>Interest income, net</w:t>
            </w:r>
          </w:p>
        </w:tc>
        <w:tc>
          <w:tcPr>
            <w:tcW w:w="8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55,424</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120,768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Foreign exchange loss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(108,323)</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(9,041)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0FF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(4,362,128)</w:t>
            </w:r>
          </w:p>
        </w:tc>
        <w:tc>
          <w:tcPr>
            <w:tcW w:w="15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(4,999,652)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w w:val="91"/>
              </w:rPr>
              <w:t>Less: Net loss attributable to the noncontrolling interest in Ocean Power Technologies (Australasia) Pty Ltd.</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26,075</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4,588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020" w:type="dxa"/>
            <w:vAlign w:val="bottom"/>
            <w:shd w:val="clear" w:color="auto" w:fill="C0FFFF"/>
          </w:tcPr>
          <w:p>
            <w:pPr>
              <w:spacing w:after="0"/>
              <w:rPr>
                <w:sz w:val="20"/>
                <w:szCs w:val="20"/>
                <w:color w:val="auto"/>
              </w:rPr>
            </w:pPr>
            <w:r>
              <w:rPr>
                <w:rFonts w:ascii="Arial" w:cs="Arial" w:eastAsia="Arial" w:hAnsi="Arial"/>
                <w:sz w:val="18"/>
                <w:szCs w:val="18"/>
                <w:color w:val="auto"/>
              </w:rPr>
              <w:t>Net loss attributable to Ocean Power Technologies, Inc.</w:t>
            </w:r>
          </w:p>
        </w:tc>
        <w:tc>
          <w:tcPr>
            <w:tcW w:w="80" w:type="dxa"/>
            <w:vAlign w:val="bottom"/>
            <w:shd w:val="clear" w:color="auto" w:fill="C0FFFF"/>
          </w:tcPr>
          <w:p>
            <w:pPr>
              <w:spacing w:after="0"/>
              <w:rPr>
                <w:sz w:val="20"/>
                <w:szCs w:val="20"/>
                <w:color w:val="auto"/>
              </w:rPr>
            </w:pPr>
          </w:p>
        </w:tc>
        <w:tc>
          <w:tcPr>
            <w:tcW w:w="280" w:type="dxa"/>
            <w:vAlign w:val="bottom"/>
            <w:shd w:val="clear" w:color="auto" w:fill="C0FF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(4,336,053)</w:t>
            </w:r>
          </w:p>
        </w:tc>
        <w:tc>
          <w:tcPr>
            <w:tcW w:w="15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(4,995,064)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2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(0.42)</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shd w:val="clear" w:color="auto" w:fill="C0FFFF"/>
          </w:tcPr>
          <w:p>
            <w:pPr>
              <w:spacing w:after="0"/>
              <w:rPr>
                <w:sz w:val="20"/>
                <w:szCs w:val="20"/>
                <w:color w:val="auto"/>
              </w:rPr>
            </w:pPr>
            <w:r>
              <w:rPr>
                <w:rFonts w:ascii="Arial" w:cs="Arial" w:eastAsia="Arial" w:hAnsi="Arial"/>
                <w:sz w:val="18"/>
                <w:szCs w:val="18"/>
                <w:color w:val="auto"/>
              </w:rPr>
              <w:t>Weighted average shares used to compute basic and diluted net loss per share</w:t>
            </w:r>
          </w:p>
        </w:tc>
        <w:tc>
          <w:tcPr>
            <w:tcW w:w="80" w:type="dxa"/>
            <w:vAlign w:val="bottom"/>
            <w:shd w:val="clear" w:color="auto" w:fill="C0FFFF"/>
          </w:tcPr>
          <w:p>
            <w:pPr>
              <w:spacing w:after="0"/>
              <w:rPr>
                <w:sz w:val="20"/>
                <w:szCs w:val="20"/>
                <w:color w:val="auto"/>
              </w:rPr>
            </w:pPr>
          </w:p>
        </w:tc>
        <w:tc>
          <w:tcPr>
            <w:tcW w:w="280" w:type="dxa"/>
            <w:vAlign w:val="bottom"/>
            <w:shd w:val="clear" w:color="auto" w:fill="C0FFFF"/>
          </w:tcPr>
          <w:p>
            <w:pPr>
              <w:spacing w:after="0"/>
              <w:rPr>
                <w:sz w:val="20"/>
                <w:szCs w:val="20"/>
                <w:color w:val="auto"/>
              </w:rPr>
            </w:pPr>
          </w:p>
        </w:tc>
        <w:tc>
          <w:tcPr>
            <w:tcW w:w="144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10,295,999</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10,268,155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jc w:val="center"/>
              <w:ind w:left="321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87"/>
              </w:rPr>
              <w:t>Consolidated Statements of Comprehensive Loss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3"/>
              </w:rPr>
              <w:t>(Unaudited)</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2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w w:val="97"/>
              </w:rPr>
              <w:t>Three Months Ended July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top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0FF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(4,362,128)</w:t>
            </w:r>
          </w:p>
        </w:tc>
        <w:tc>
          <w:tcPr>
            <w:tcW w:w="15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(4,999,652)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(10,484)</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(90,079)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00" w:type="dxa"/>
            <w:vAlign w:val="bottom"/>
            <w:shd w:val="clear" w:color="auto" w:fill="C0FFFF"/>
          </w:tcPr>
          <w:p>
            <w:pPr>
              <w:spacing w:after="0"/>
              <w:rPr>
                <w:sz w:val="20"/>
                <w:szCs w:val="20"/>
                <w:color w:val="auto"/>
              </w:rPr>
            </w:pPr>
            <w:r>
              <w:rPr>
                <w:rFonts w:ascii="Arial" w:cs="Arial" w:eastAsia="Arial" w:hAnsi="Arial"/>
                <w:sz w:val="18"/>
                <w:szCs w:val="18"/>
                <w:color w:val="auto"/>
              </w:rPr>
              <w:t>Total comprehensive loss</w:t>
            </w:r>
          </w:p>
        </w:tc>
        <w:tc>
          <w:tcPr>
            <w:tcW w:w="280" w:type="dxa"/>
            <w:vAlign w:val="bottom"/>
            <w:shd w:val="clear" w:color="auto" w:fill="C0FFFF"/>
          </w:tcPr>
          <w:p>
            <w:pPr>
              <w:spacing w:after="0"/>
              <w:rPr>
                <w:sz w:val="19"/>
                <w:szCs w:val="19"/>
                <w:color w:val="auto"/>
              </w:rPr>
            </w:pPr>
          </w:p>
        </w:tc>
        <w:tc>
          <w:tcPr>
            <w:tcW w:w="144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(4,372,612)</w:t>
            </w:r>
          </w:p>
        </w:tc>
        <w:tc>
          <w:tcPr>
            <w:tcW w:w="15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(5,089,731)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top w:val="single" w:sz="8" w:color="C0FF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0FFFF"/>
          </w:tcPr>
          <w:p>
            <w:pPr>
              <w:ind w:left="160"/>
              <w:spacing w:after="0" w:line="201" w:lineRule="exact"/>
              <w:rPr>
                <w:sz w:val="20"/>
                <w:szCs w:val="20"/>
                <w:color w:val="auto"/>
              </w:rPr>
            </w:pPr>
            <w:r>
              <w:rPr>
                <w:rFonts w:ascii="Arial" w:cs="Arial" w:eastAsia="Arial" w:hAnsi="Arial"/>
                <w:sz w:val="18"/>
                <w:szCs w:val="18"/>
                <w:color w:val="auto"/>
                <w:w w:val="94"/>
              </w:rPr>
              <w:t>Comprehensive loss attributable to the noncontrolling interest in Ocean Power Technologies (Australasia)</w:t>
            </w:r>
          </w:p>
        </w:tc>
        <w:tc>
          <w:tcPr>
            <w:tcW w:w="280" w:type="dxa"/>
            <w:vAlign w:val="bottom"/>
            <w:shd w:val="clear" w:color="auto" w:fill="C0FFFF"/>
          </w:tcPr>
          <w:p>
            <w:pPr>
              <w:spacing w:after="0"/>
              <w:rPr>
                <w:sz w:val="17"/>
                <w:szCs w:val="17"/>
                <w:color w:val="auto"/>
              </w:rPr>
            </w:pPr>
          </w:p>
        </w:tc>
        <w:tc>
          <w:tcPr>
            <w:tcW w:w="1220" w:type="dxa"/>
            <w:vAlign w:val="bottom"/>
            <w:shd w:val="clear" w:color="auto" w:fill="C0FFFF"/>
          </w:tcPr>
          <w:p>
            <w:pPr>
              <w:spacing w:after="0"/>
              <w:rPr>
                <w:sz w:val="17"/>
                <w:szCs w:val="17"/>
                <w:color w:val="auto"/>
              </w:rPr>
            </w:pPr>
          </w:p>
        </w:tc>
        <w:tc>
          <w:tcPr>
            <w:tcW w:w="220" w:type="dxa"/>
            <w:vAlign w:val="bottom"/>
            <w:shd w:val="clear" w:color="auto" w:fill="C0FFFF"/>
          </w:tcPr>
          <w:p>
            <w:pPr>
              <w:spacing w:after="0"/>
              <w:rPr>
                <w:sz w:val="17"/>
                <w:szCs w:val="17"/>
                <w:color w:val="auto"/>
              </w:rPr>
            </w:pPr>
          </w:p>
        </w:tc>
        <w:tc>
          <w:tcPr>
            <w:tcW w:w="148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0FFFF"/>
          </w:tcPr>
          <w:p>
            <w:pPr>
              <w:ind w:left="320"/>
              <w:spacing w:after="0"/>
              <w:rPr>
                <w:sz w:val="20"/>
                <w:szCs w:val="20"/>
                <w:color w:val="auto"/>
              </w:rPr>
            </w:pPr>
            <w:r>
              <w:rPr>
                <w:rFonts w:ascii="Arial" w:cs="Arial" w:eastAsia="Arial" w:hAnsi="Arial"/>
                <w:sz w:val="18"/>
                <w:szCs w:val="18"/>
                <w:color w:val="auto"/>
              </w:rPr>
              <w:t>Pty Ltd.</w:t>
            </w:r>
          </w:p>
        </w:tc>
        <w:tc>
          <w:tcPr>
            <w:tcW w:w="280" w:type="dxa"/>
            <w:vAlign w:val="bottom"/>
            <w:shd w:val="clear" w:color="auto" w:fill="C0FFFF"/>
          </w:tcPr>
          <w:p>
            <w:pPr>
              <w:spacing w:after="0"/>
              <w:rPr>
                <w:sz w:val="20"/>
                <w:szCs w:val="20"/>
                <w:color w:val="auto"/>
              </w:rPr>
            </w:pPr>
          </w:p>
        </w:tc>
        <w:tc>
          <w:tcPr>
            <w:tcW w:w="144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27,136</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4,595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shd w:val="clear" w:color="auto" w:fill="C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Comprehensive loss attributable to Ocean Power Technologies, Inc.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(4,345,476)</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(5,085,136)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40" w:type="dxa"/>
            <w:vAlign w:val="bottom"/>
          </w:tcPr>
          <w:p>
            <w:pPr>
              <w:jc w:val="center"/>
              <w:ind w:left="347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7840" w:type="dxa"/>
            <w:vAlign w:val="bottom"/>
          </w:tcPr>
          <w:p>
            <w:pPr>
              <w:jc w:val="center"/>
              <w:ind w:left="345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40" w:type="dxa"/>
            <w:vAlign w:val="bottom"/>
          </w:tcPr>
          <w:p>
            <w:pPr>
              <w:jc w:val="center"/>
              <w:ind w:left="3450"/>
              <w:spacing w:after="0"/>
              <w:rPr>
                <w:sz w:val="20"/>
                <w:szCs w:val="20"/>
                <w:color w:val="auto"/>
              </w:rPr>
            </w:pPr>
            <w:r>
              <w:rPr>
                <w:rFonts w:ascii="Arial" w:cs="Arial" w:eastAsia="Arial" w:hAnsi="Arial"/>
                <w:sz w:val="18"/>
                <w:szCs w:val="18"/>
                <w:b w:val="1"/>
                <w:bCs w:val="1"/>
                <w:color w:val="auto"/>
                <w:w w:val="93"/>
              </w:rPr>
              <w:t>(Unaudited)</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2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w w:val="97"/>
              </w:rPr>
              <w:t>Three Months Ended July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top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0FFFF"/>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2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4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(4,362,128)</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(4,999,652)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2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4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Foreign exchange loss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108,323</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0FFFF"/>
          </w:tcPr>
          <w:p>
            <w:pPr>
              <w:ind w:left="3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116,492</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99,140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Loss on disposals of property, plant and equipment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0FFFF"/>
          </w:tcPr>
          <w:p>
            <w:pPr>
              <w:ind w:left="320"/>
              <w:spacing w:after="0"/>
              <w:rPr>
                <w:sz w:val="20"/>
                <w:szCs w:val="20"/>
                <w:color w:val="auto"/>
              </w:rPr>
            </w:pPr>
            <w:r>
              <w:rPr>
                <w:rFonts w:ascii="Arial" w:cs="Arial" w:eastAsia="Arial" w:hAnsi="Arial"/>
                <w:sz w:val="18"/>
                <w:szCs w:val="18"/>
                <w:color w:val="auto"/>
              </w:rPr>
              <w:t>Treasury note (discount) premium amortization</w:t>
            </w:r>
          </w:p>
        </w:tc>
        <w:tc>
          <w:tcPr>
            <w:tcW w:w="2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7,734</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13,914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Compensation expense related to stock option grants and restricted stock</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386,550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370,882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0FF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2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4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(99,302)</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282,099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0FFFF"/>
          </w:tcPr>
          <w:p>
            <w:pPr>
              <w:ind w:left="480"/>
              <w:spacing w:after="0"/>
              <w:rPr>
                <w:sz w:val="20"/>
                <w:szCs w:val="20"/>
                <w:color w:val="auto"/>
              </w:rPr>
            </w:pPr>
            <w:r>
              <w:rPr>
                <w:rFonts w:ascii="Arial" w:cs="Arial" w:eastAsia="Arial" w:hAnsi="Arial"/>
                <w:sz w:val="18"/>
                <w:szCs w:val="18"/>
                <w:color w:val="auto"/>
              </w:rPr>
              <w:t>Unbilled receivables</w:t>
            </w:r>
          </w:p>
        </w:tc>
        <w:tc>
          <w:tcPr>
            <w:tcW w:w="2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(12,443)</w:t>
            </w:r>
          </w:p>
        </w:tc>
        <w:tc>
          <w:tcPr>
            <w:tcW w:w="15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(865,244)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8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120,649</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112,335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0FFFF"/>
          </w:tcPr>
          <w:p>
            <w:pPr>
              <w:ind w:left="480"/>
              <w:spacing w:after="0"/>
              <w:rPr>
                <w:sz w:val="20"/>
                <w:szCs w:val="20"/>
                <w:color w:val="auto"/>
              </w:rPr>
            </w:pPr>
            <w:r>
              <w:rPr>
                <w:rFonts w:ascii="Arial" w:cs="Arial" w:eastAsia="Arial" w:hAnsi="Arial"/>
                <w:sz w:val="18"/>
                <w:szCs w:val="18"/>
                <w:color w:val="auto"/>
              </w:rPr>
              <w:t>Other noncurrent assets</w:t>
            </w:r>
          </w:p>
        </w:tc>
        <w:tc>
          <w:tcPr>
            <w:tcW w:w="2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(13,252)</w:t>
            </w:r>
          </w:p>
        </w:tc>
        <w:tc>
          <w:tcPr>
            <w:tcW w:w="15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(17,994)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230,884</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(397,069)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0FFFF"/>
          </w:tcPr>
          <w:p>
            <w:pPr>
              <w:ind w:left="480"/>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369,247</w:t>
            </w:r>
          </w:p>
        </w:tc>
        <w:tc>
          <w:tcPr>
            <w:tcW w:w="15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(373,541)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80"/>
              <w:spacing w:after="0"/>
              <w:rPr>
                <w:sz w:val="20"/>
                <w:szCs w:val="20"/>
                <w:color w:val="auto"/>
              </w:rPr>
            </w:pPr>
            <w:r>
              <w:rPr>
                <w:rFonts w:ascii="Arial" w:cs="Arial" w:eastAsia="Arial" w:hAnsi="Arial"/>
                <w:sz w:val="18"/>
                <w:szCs w:val="18"/>
                <w:color w:val="auto"/>
              </w:rPr>
              <w:t>Unearned revenues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(226,967)</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900,540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shd w:val="clear" w:color="auto" w:fill="C0FFFF"/>
          </w:tcPr>
          <w:p>
            <w:pPr>
              <w:ind w:left="64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shd w:val="clear" w:color="auto" w:fill="C0FFFF"/>
          </w:tcPr>
          <w:p>
            <w:pPr>
              <w:spacing w:after="0"/>
              <w:rPr>
                <w:sz w:val="19"/>
                <w:szCs w:val="19"/>
                <w:color w:val="auto"/>
              </w:rPr>
            </w:pPr>
          </w:p>
        </w:tc>
        <w:tc>
          <w:tcPr>
            <w:tcW w:w="280" w:type="dxa"/>
            <w:vAlign w:val="bottom"/>
            <w:shd w:val="clear" w:color="auto" w:fill="C0FFFF"/>
          </w:tcPr>
          <w:p>
            <w:pPr>
              <w:spacing w:after="0"/>
              <w:rPr>
                <w:sz w:val="19"/>
                <w:szCs w:val="19"/>
                <w:color w:val="auto"/>
              </w:rPr>
            </w:pPr>
          </w:p>
        </w:tc>
        <w:tc>
          <w:tcPr>
            <w:tcW w:w="144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(3,374,213)</w:t>
            </w:r>
          </w:p>
        </w:tc>
        <w:tc>
          <w:tcPr>
            <w:tcW w:w="15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(4,865,193)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Borders>
              <w:top w:val="single" w:sz="8" w:color="C0FFFF"/>
            </w:tcBorders>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Borders>
              <w:top w:val="single" w:sz="8" w:color="C0FF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Purchases of marketable securities</w:t>
            </w:r>
          </w:p>
        </w:tc>
        <w:tc>
          <w:tcPr>
            <w:tcW w:w="2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(9,833,736)</w:t>
            </w:r>
          </w:p>
        </w:tc>
        <w:tc>
          <w:tcPr>
            <w:tcW w:w="15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(271,005)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Maturities of marketable securities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9,171,233</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Restricted cash</w:t>
            </w:r>
          </w:p>
        </w:tc>
        <w:tc>
          <w:tcPr>
            <w:tcW w:w="2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75,000</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Purchases of equipment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(224,891)</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(82,658)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Payments of patent costs</w:t>
            </w:r>
          </w:p>
        </w:tc>
        <w:tc>
          <w:tcPr>
            <w:tcW w:w="2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(56,836)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shd w:val="clear" w:color="auto" w:fill="C0FFFF"/>
          </w:tcPr>
          <w:p>
            <w:pPr>
              <w:spacing w:after="0"/>
              <w:rPr>
                <w:sz w:val="2"/>
                <w:szCs w:val="2"/>
                <w:color w:val="auto"/>
              </w:rPr>
            </w:pPr>
          </w:p>
        </w:tc>
        <w:tc>
          <w:tcPr>
            <w:tcW w:w="260" w:type="dxa"/>
            <w:vAlign w:val="bottom"/>
            <w:shd w:val="clear" w:color="auto" w:fill="C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rPr>
              <w:t>Net cash (used in) provided by investing activities</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(812,394)</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9,589,501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0FFFF"/>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shd w:val="clear" w:color="auto" w:fill="C0FFFF"/>
          </w:tcPr>
          <w:p>
            <w:pPr>
              <w:spacing w:after="0"/>
              <w:rPr>
                <w:sz w:val="18"/>
                <w:szCs w:val="18"/>
                <w:color w:val="auto"/>
              </w:rPr>
            </w:pPr>
          </w:p>
        </w:tc>
        <w:tc>
          <w:tcPr>
            <w:tcW w:w="280" w:type="dxa"/>
            <w:vAlign w:val="bottom"/>
            <w:tcBorders>
              <w:top w:val="single" w:sz="8" w:color="auto"/>
            </w:tcBorders>
            <w:shd w:val="clear" w:color="auto" w:fill="C0FFFF"/>
          </w:tcPr>
          <w:p>
            <w:pPr>
              <w:spacing w:after="0"/>
              <w:rPr>
                <w:sz w:val="18"/>
                <w:szCs w:val="18"/>
                <w:color w:val="auto"/>
              </w:rPr>
            </w:pPr>
          </w:p>
        </w:tc>
        <w:tc>
          <w:tcPr>
            <w:tcW w:w="1220" w:type="dxa"/>
            <w:vAlign w:val="bottom"/>
            <w:tcBorders>
              <w:top w:val="single" w:sz="8" w:color="auto"/>
            </w:tcBorders>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48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Repayment of debt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(25,000)</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(89,378)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Acquisition of treasury stock</w:t>
            </w:r>
          </w:p>
        </w:tc>
        <w:tc>
          <w:tcPr>
            <w:tcW w:w="2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(9,122)</w:t>
            </w:r>
          </w:p>
        </w:tc>
        <w:tc>
          <w:tcPr>
            <w:tcW w:w="15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(23,143)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shd w:val="clear" w:color="auto" w:fill="C0FFFF"/>
          </w:tcPr>
          <w:p>
            <w:pPr>
              <w:spacing w:after="0"/>
              <w:rPr>
                <w:sz w:val="2"/>
                <w:szCs w:val="2"/>
                <w:color w:val="auto"/>
              </w:rPr>
            </w:pPr>
          </w:p>
        </w:tc>
        <w:tc>
          <w:tcPr>
            <w:tcW w:w="260" w:type="dxa"/>
            <w:vAlign w:val="bottom"/>
            <w:shd w:val="clear" w:color="auto" w:fill="C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(34,122)</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(112,521)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0FF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(43,074)</w:t>
            </w:r>
          </w:p>
        </w:tc>
        <w:tc>
          <w:tcPr>
            <w:tcW w:w="15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(89,222)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shd w:val="clear" w:color="auto" w:fill="C0FFFF"/>
          </w:tcPr>
          <w:p>
            <w:pPr>
              <w:spacing w:after="0"/>
              <w:rPr>
                <w:sz w:val="2"/>
                <w:szCs w:val="2"/>
                <w:color w:val="auto"/>
              </w:rPr>
            </w:pPr>
          </w:p>
        </w:tc>
        <w:tc>
          <w:tcPr>
            <w:tcW w:w="260" w:type="dxa"/>
            <w:vAlign w:val="bottom"/>
            <w:shd w:val="clear" w:color="auto" w:fill="C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rPr>
              <w:t>Net (decrease) increase in cash and cash equivalents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(4,263,803)</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4,522,565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0FFFF"/>
          </w:tcPr>
          <w:p>
            <w:pPr>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9,353,460</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4,376,136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shd w:val="clear" w:color="auto" w:fill="C0FFFF"/>
          </w:tcPr>
          <w:p>
            <w:pPr>
              <w:spacing w:after="0"/>
              <w:rPr>
                <w:sz w:val="2"/>
                <w:szCs w:val="2"/>
                <w:color w:val="auto"/>
              </w:rPr>
            </w:pPr>
          </w:p>
        </w:tc>
        <w:tc>
          <w:tcPr>
            <w:tcW w:w="260" w:type="dxa"/>
            <w:vAlign w:val="bottom"/>
            <w:shd w:val="clear" w:color="auto" w:fill="C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5,089,657</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8,898,701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2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4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Capitalized patent costs financed through accounts payable and accrued espenses expenses</w:t>
            </w:r>
          </w:p>
        </w:tc>
        <w:tc>
          <w:tcPr>
            <w:tcW w:w="540" w:type="dxa"/>
            <w:vAlign w:val="bottom"/>
            <w:gridSpan w:val="2"/>
            <w:shd w:val="clear" w:color="auto" w:fill="C0FFFF"/>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24,332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Capitalized purchases of equipment financed through accounts payable and accrued expenses</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80,125</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19,795</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0" w:type="dxa"/>
            <w:vAlign w:val="bottom"/>
            <w:gridSpan w:val="9"/>
          </w:tcPr>
          <w:p>
            <w:pPr>
              <w:jc w:val="center"/>
              <w:ind w:left="7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0" w:type="dxa"/>
            <w:vAlign w:val="bottom"/>
            <w:gridSpan w:val="9"/>
          </w:tcPr>
          <w:p>
            <w:pPr>
              <w:jc w:val="center"/>
              <w:ind w:left="70"/>
              <w:spacing w:after="0"/>
              <w:rPr>
                <w:sz w:val="20"/>
                <w:szCs w:val="20"/>
                <w:color w:val="auto"/>
              </w:rPr>
            </w:pPr>
            <w:r>
              <w:rPr>
                <w:rFonts w:ascii="Arial" w:cs="Arial" w:eastAsia="Arial" w:hAnsi="Arial"/>
                <w:sz w:val="18"/>
                <w:szCs w:val="18"/>
                <w:b w:val="1"/>
                <w:bCs w:val="1"/>
                <w:color w:val="auto"/>
                <w:w w:val="89"/>
              </w:rPr>
              <w:t>Consolidated Statements of Stockholders' Equity</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3"/>
              </w:rPr>
              <w:t>(Unaudited)</w:t>
            </w: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Additional</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Other</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96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Common Shares</w:t>
            </w:r>
          </w:p>
        </w:tc>
        <w:tc>
          <w:tcPr>
            <w:tcW w:w="1820" w:type="dxa"/>
            <w:vAlign w:val="bottom"/>
            <w:gridSpan w:val="5"/>
          </w:tcPr>
          <w:p>
            <w:pPr>
              <w:jc w:val="right"/>
              <w:ind w:right="270"/>
              <w:spacing w:after="0"/>
              <w:rPr>
                <w:sz w:val="20"/>
                <w:szCs w:val="20"/>
                <w:color w:val="auto"/>
              </w:rPr>
            </w:pPr>
            <w:r>
              <w:rPr>
                <w:rFonts w:ascii="Arial" w:cs="Arial" w:eastAsia="Arial" w:hAnsi="Arial"/>
                <w:sz w:val="18"/>
                <w:szCs w:val="18"/>
                <w:b w:val="1"/>
                <w:bCs w:val="1"/>
                <w:color w:val="auto"/>
              </w:rPr>
              <w:t>Treasury Shares</w:t>
            </w: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Paid-In</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Accumulated</w:t>
            </w: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Comprehensive</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7"/>
              </w:rPr>
              <w:t>Noncontrolling</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8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19"/>
                <w:szCs w:val="19"/>
                <w:color w:val="auto"/>
              </w:rPr>
            </w:pPr>
          </w:p>
        </w:tc>
        <w:tc>
          <w:tcPr>
            <w:tcW w:w="88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99"/>
              </w:rPr>
              <w:t>Shares</w:t>
            </w: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Pr>
          <w:p>
            <w:pPr>
              <w:spacing w:after="0"/>
              <w:rPr>
                <w:sz w:val="19"/>
                <w:szCs w:val="19"/>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Capital</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Deficit</w:t>
            </w: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Loss</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Interest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Balance, April 30,</w:t>
            </w:r>
          </w:p>
        </w:tc>
        <w:tc>
          <w:tcPr>
            <w:tcW w:w="90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5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70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6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00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0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20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114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88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0FFFF"/>
          </w:tcPr>
          <w:p>
            <w:pPr>
              <w:spacing w:after="0"/>
              <w:rPr>
                <w:sz w:val="20"/>
                <w:szCs w:val="20"/>
                <w:color w:val="auto"/>
              </w:rPr>
            </w:pPr>
            <w:r>
              <w:rPr>
                <w:rFonts w:ascii="Arial" w:cs="Arial" w:eastAsia="Arial" w:hAnsi="Arial"/>
                <w:sz w:val="18"/>
                <w:szCs w:val="18"/>
                <w:color w:val="auto"/>
              </w:rPr>
              <w:t>2011</w:t>
            </w:r>
          </w:p>
        </w:tc>
        <w:tc>
          <w:tcPr>
            <w:tcW w:w="108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8"/>
                <w:szCs w:val="18"/>
                <w:color w:val="auto"/>
                <w:w w:val="97"/>
              </w:rPr>
              <w:t>10,419,183</w:t>
            </w:r>
          </w:p>
        </w:tc>
        <w:tc>
          <w:tcPr>
            <w:tcW w:w="160" w:type="dxa"/>
            <w:vAlign w:val="bottom"/>
            <w:shd w:val="clear" w:color="auto" w:fill="C0FFFF"/>
          </w:tcPr>
          <w:p>
            <w:pPr>
              <w:jc w:val="right"/>
              <w:ind w:right="2"/>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w w:val="98"/>
              </w:rPr>
              <w:t>10,419</w:t>
            </w:r>
          </w:p>
        </w:tc>
        <w:tc>
          <w:tcPr>
            <w:tcW w:w="880" w:type="dxa"/>
            <w:vAlign w:val="bottom"/>
            <w:tcBorders>
              <w:right w:val="single" w:sz="8" w:color="C0FFFF"/>
            </w:tcBorders>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(7,685)</w:t>
            </w:r>
          </w:p>
        </w:tc>
        <w:tc>
          <w:tcPr>
            <w:tcW w:w="12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0FFFF"/>
          </w:tcPr>
          <w:p>
            <w:pPr>
              <w:jc w:val="right"/>
              <w:ind w:right="10"/>
              <w:spacing w:after="0"/>
              <w:rPr>
                <w:sz w:val="20"/>
                <w:szCs w:val="20"/>
                <w:color w:val="auto"/>
              </w:rPr>
            </w:pPr>
            <w:r>
              <w:rPr>
                <w:rFonts w:ascii="Arial" w:cs="Arial" w:eastAsia="Arial" w:hAnsi="Arial"/>
                <w:sz w:val="18"/>
                <w:szCs w:val="18"/>
                <w:color w:val="auto"/>
              </w:rPr>
              <w:t>(42,734)</w:t>
            </w:r>
          </w:p>
        </w:tc>
        <w:tc>
          <w:tcPr>
            <w:tcW w:w="11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w w:val="97"/>
              </w:rPr>
              <w:t>157,174,930</w:t>
            </w:r>
          </w:p>
        </w:tc>
        <w:tc>
          <w:tcPr>
            <w:tcW w:w="12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w w:val="98"/>
              </w:rPr>
              <w:t>(110,848,972)</w:t>
            </w:r>
          </w:p>
        </w:tc>
        <w:tc>
          <w:tcPr>
            <w:tcW w:w="13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175,907</w:t>
            </w:r>
          </w:p>
        </w:tc>
        <w:tc>
          <w:tcPr>
            <w:tcW w:w="132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21,948</w:t>
            </w:r>
          </w:p>
        </w:tc>
        <w:tc>
          <w:tcPr>
            <w:tcW w:w="9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w w:val="95"/>
              </w:rPr>
              <w:t>46,491,498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Net loss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(4,995,064)</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(4,588)</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(4,999,652)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Stock based</w:t>
            </w:r>
          </w:p>
        </w:tc>
        <w:tc>
          <w:tcPr>
            <w:tcW w:w="90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5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70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6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00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0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20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114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88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0FFFF"/>
          </w:tcPr>
          <w:p>
            <w:pPr>
              <w:spacing w:after="0"/>
              <w:rPr>
                <w:sz w:val="20"/>
                <w:szCs w:val="20"/>
                <w:color w:val="auto"/>
              </w:rPr>
            </w:pPr>
            <w:r>
              <w:rPr>
                <w:rFonts w:ascii="Arial" w:cs="Arial" w:eastAsia="Arial" w:hAnsi="Arial"/>
                <w:sz w:val="18"/>
                <w:szCs w:val="18"/>
                <w:color w:val="auto"/>
              </w:rPr>
              <w:t>compensation</w:t>
            </w:r>
          </w:p>
        </w:tc>
        <w:tc>
          <w:tcPr>
            <w:tcW w:w="108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0FFFF"/>
          </w:tcPr>
          <w:p>
            <w:pPr>
              <w:spacing w:after="0"/>
              <w:rPr>
                <w:sz w:val="20"/>
                <w:szCs w:val="20"/>
                <w:color w:val="auto"/>
              </w:rPr>
            </w:pPr>
          </w:p>
        </w:tc>
        <w:tc>
          <w:tcPr>
            <w:tcW w:w="7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0FFFF"/>
          </w:tcPr>
          <w:p>
            <w:pPr>
              <w:spacing w:after="0"/>
              <w:rPr>
                <w:sz w:val="20"/>
                <w:szCs w:val="20"/>
                <w:color w:val="auto"/>
              </w:rPr>
            </w:pPr>
          </w:p>
        </w:tc>
        <w:tc>
          <w:tcPr>
            <w:tcW w:w="820" w:type="dxa"/>
            <w:vAlign w:val="bottom"/>
            <w:gridSpan w:val="2"/>
            <w:shd w:val="clear" w:color="auto" w:fill="C0FF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316,462</w:t>
            </w:r>
          </w:p>
        </w:tc>
        <w:tc>
          <w:tcPr>
            <w:tcW w:w="12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316,462</w:t>
            </w:r>
          </w:p>
        </w:tc>
        <w:tc>
          <w:tcPr>
            <w:tcW w:w="100" w:type="dxa"/>
            <w:vAlign w:val="bottom"/>
            <w:shd w:val="clear" w:color="auto" w:fill="C0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w w:val="96"/>
              </w:rPr>
              <w:t>Issuance (forfeiture)</w:t>
            </w:r>
          </w:p>
        </w:tc>
        <w:tc>
          <w:tcPr>
            <w:tcW w:w="90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5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70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6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00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0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20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114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88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0FFFF"/>
          </w:tcPr>
          <w:p>
            <w:pPr>
              <w:spacing w:after="0"/>
              <w:rPr>
                <w:sz w:val="20"/>
                <w:szCs w:val="20"/>
                <w:color w:val="auto"/>
              </w:rPr>
            </w:pPr>
            <w:r>
              <w:rPr>
                <w:rFonts w:ascii="Arial" w:cs="Arial" w:eastAsia="Arial" w:hAnsi="Arial"/>
                <w:sz w:val="18"/>
                <w:szCs w:val="18"/>
                <w:color w:val="auto"/>
              </w:rPr>
              <w:t>of restricted stock,</w:t>
            </w:r>
          </w:p>
        </w:tc>
        <w:tc>
          <w:tcPr>
            <w:tcW w:w="900" w:type="dxa"/>
            <w:vAlign w:val="bottom"/>
            <w:shd w:val="clear" w:color="auto" w:fill="C0FFFF"/>
          </w:tcPr>
          <w:p>
            <w:pPr>
              <w:spacing w:after="0"/>
              <w:rPr>
                <w:sz w:val="18"/>
                <w:szCs w:val="18"/>
                <w:color w:val="auto"/>
              </w:rPr>
            </w:pPr>
          </w:p>
        </w:tc>
        <w:tc>
          <w:tcPr>
            <w:tcW w:w="180" w:type="dxa"/>
            <w:vAlign w:val="bottom"/>
            <w:tcBorders>
              <w:right w:val="single" w:sz="8" w:color="C0FFFF"/>
            </w:tcBorders>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56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700" w:type="dxa"/>
            <w:vAlign w:val="bottom"/>
            <w:shd w:val="clear" w:color="auto" w:fill="C0FFFF"/>
          </w:tcPr>
          <w:p>
            <w:pPr>
              <w:spacing w:after="0"/>
              <w:rPr>
                <w:sz w:val="18"/>
                <w:szCs w:val="18"/>
                <w:color w:val="auto"/>
              </w:rPr>
            </w:pPr>
          </w:p>
        </w:tc>
        <w:tc>
          <w:tcPr>
            <w:tcW w:w="180" w:type="dxa"/>
            <w:vAlign w:val="bottom"/>
            <w:tcBorders>
              <w:right w:val="single" w:sz="8" w:color="C0FFFF"/>
            </w:tcBorders>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66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2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0FFFF"/>
          </w:tcPr>
          <w:p>
            <w:pPr>
              <w:spacing w:after="0"/>
              <w:rPr>
                <w:sz w:val="20"/>
                <w:szCs w:val="20"/>
                <w:color w:val="auto"/>
              </w:rPr>
            </w:pPr>
            <w:r>
              <w:rPr>
                <w:rFonts w:ascii="Arial" w:cs="Arial" w:eastAsia="Arial" w:hAnsi="Arial"/>
                <w:sz w:val="18"/>
                <w:szCs w:val="18"/>
                <w:color w:val="auto"/>
              </w:rPr>
              <w:t>net</w:t>
            </w:r>
          </w:p>
        </w:tc>
        <w:tc>
          <w:tcPr>
            <w:tcW w:w="1080" w:type="dxa"/>
            <w:vAlign w:val="bottom"/>
            <w:tcBorders>
              <w:right w:val="single" w:sz="8" w:color="C0FFFF"/>
            </w:tcBorders>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(7,888)</w:t>
            </w:r>
          </w:p>
        </w:tc>
        <w:tc>
          <w:tcPr>
            <w:tcW w:w="160" w:type="dxa"/>
            <w:vAlign w:val="bottom"/>
            <w:shd w:val="clear" w:color="auto" w:fill="C0FFFF"/>
          </w:tcPr>
          <w:p>
            <w:pPr>
              <w:spacing w:after="0"/>
              <w:rPr>
                <w:sz w:val="20"/>
                <w:szCs w:val="20"/>
                <w:color w:val="auto"/>
              </w:rPr>
            </w:pPr>
          </w:p>
        </w:tc>
        <w:tc>
          <w:tcPr>
            <w:tcW w:w="7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(8)</w:t>
            </w:r>
          </w:p>
        </w:tc>
        <w:tc>
          <w:tcPr>
            <w:tcW w:w="88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0FFFF"/>
          </w:tcPr>
          <w:p>
            <w:pPr>
              <w:spacing w:after="0"/>
              <w:rPr>
                <w:sz w:val="20"/>
                <w:szCs w:val="20"/>
                <w:color w:val="auto"/>
              </w:rPr>
            </w:pPr>
          </w:p>
        </w:tc>
        <w:tc>
          <w:tcPr>
            <w:tcW w:w="820" w:type="dxa"/>
            <w:vAlign w:val="bottom"/>
            <w:gridSpan w:val="2"/>
            <w:shd w:val="clear" w:color="auto" w:fill="C0FF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54,428</w:t>
            </w:r>
          </w:p>
        </w:tc>
        <w:tc>
          <w:tcPr>
            <w:tcW w:w="12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54,420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tcPr>
          <w:p>
            <w:pPr>
              <w:spacing w:after="0" w:line="201" w:lineRule="exact"/>
              <w:rPr>
                <w:sz w:val="20"/>
                <w:szCs w:val="20"/>
                <w:color w:val="auto"/>
              </w:rPr>
            </w:pPr>
            <w:r>
              <w:rPr>
                <w:rFonts w:ascii="Arial" w:cs="Arial" w:eastAsia="Arial" w:hAnsi="Arial"/>
                <w:sz w:val="18"/>
                <w:szCs w:val="18"/>
                <w:color w:val="auto"/>
              </w:rPr>
              <w:t>Acquisition of</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80" w:type="dxa"/>
            <w:vAlign w:val="bottom"/>
            <w:gridSpan w:val="2"/>
          </w:tcPr>
          <w:p>
            <w:pPr>
              <w:spacing w:after="0"/>
              <w:rPr>
                <w:sz w:val="20"/>
                <w:szCs w:val="20"/>
                <w:color w:val="auto"/>
              </w:rPr>
            </w:pPr>
            <w:r>
              <w:rPr>
                <w:rFonts w:ascii="Arial" w:cs="Arial" w:eastAsia="Arial" w:hAnsi="Arial"/>
                <w:sz w:val="18"/>
                <w:szCs w:val="18"/>
                <w:color w:val="auto"/>
              </w:rPr>
              <w:t>treasury stock</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(5,800)</w:t>
            </w:r>
          </w:p>
        </w:tc>
        <w:tc>
          <w:tcPr>
            <w:tcW w:w="120" w:type="dxa"/>
            <w:vAlign w:val="bottom"/>
          </w:tcPr>
          <w:p>
            <w:pPr>
              <w:spacing w:after="0"/>
              <w:rPr>
                <w:sz w:val="20"/>
                <w:szCs w:val="20"/>
                <w:color w:val="auto"/>
              </w:rPr>
            </w:pP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(23,143)</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(23,143)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Other</w:t>
            </w:r>
          </w:p>
        </w:tc>
        <w:tc>
          <w:tcPr>
            <w:tcW w:w="90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5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70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6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00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0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20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114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88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0FFFF"/>
          </w:tcPr>
          <w:p>
            <w:pPr>
              <w:spacing w:after="0"/>
              <w:rPr>
                <w:sz w:val="20"/>
                <w:szCs w:val="20"/>
                <w:color w:val="auto"/>
              </w:rPr>
            </w:pPr>
            <w:r>
              <w:rPr>
                <w:rFonts w:ascii="Arial" w:cs="Arial" w:eastAsia="Arial" w:hAnsi="Arial"/>
                <w:sz w:val="18"/>
                <w:szCs w:val="18"/>
                <w:color w:val="auto"/>
                <w:w w:val="96"/>
              </w:rPr>
              <w:t>comprehensive loss</w:t>
            </w:r>
          </w:p>
        </w:tc>
        <w:tc>
          <w:tcPr>
            <w:tcW w:w="108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0FFFF"/>
          </w:tcPr>
          <w:p>
            <w:pPr>
              <w:spacing w:after="0"/>
              <w:rPr>
                <w:sz w:val="20"/>
                <w:szCs w:val="20"/>
                <w:color w:val="auto"/>
              </w:rPr>
            </w:pPr>
          </w:p>
        </w:tc>
        <w:tc>
          <w:tcPr>
            <w:tcW w:w="7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0FFFF"/>
          </w:tcPr>
          <w:p>
            <w:pPr>
              <w:spacing w:after="0"/>
              <w:rPr>
                <w:sz w:val="20"/>
                <w:szCs w:val="20"/>
                <w:color w:val="auto"/>
              </w:rPr>
            </w:pPr>
          </w:p>
        </w:tc>
        <w:tc>
          <w:tcPr>
            <w:tcW w:w="820" w:type="dxa"/>
            <w:vAlign w:val="bottom"/>
            <w:gridSpan w:val="2"/>
            <w:shd w:val="clear" w:color="auto" w:fill="C0FF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(90,072)</w:t>
            </w:r>
          </w:p>
        </w:tc>
        <w:tc>
          <w:tcPr>
            <w:tcW w:w="132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(7)</w:t>
            </w:r>
          </w:p>
        </w:tc>
        <w:tc>
          <w:tcPr>
            <w:tcW w:w="9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(90,079)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Balance, July 31,</w:t>
            </w:r>
          </w:p>
        </w:tc>
        <w:tc>
          <w:tcPr>
            <w:tcW w:w="90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5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70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6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00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0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20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114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88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60" w:type="dxa"/>
            <w:vAlign w:val="bottom"/>
            <w:shd w:val="clear" w:color="auto" w:fill="C0FFFF"/>
          </w:tcPr>
          <w:p>
            <w:pPr>
              <w:spacing w:after="0"/>
              <w:rPr>
                <w:sz w:val="20"/>
                <w:szCs w:val="20"/>
                <w:color w:val="auto"/>
              </w:rPr>
            </w:pPr>
            <w:r>
              <w:rPr>
                <w:rFonts w:ascii="Arial" w:cs="Arial" w:eastAsia="Arial" w:hAnsi="Arial"/>
                <w:sz w:val="18"/>
                <w:szCs w:val="18"/>
                <w:color w:val="auto"/>
              </w:rPr>
              <w:t>2011</w:t>
            </w:r>
          </w:p>
        </w:tc>
        <w:tc>
          <w:tcPr>
            <w:tcW w:w="108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8"/>
                <w:szCs w:val="18"/>
                <w:color w:val="auto"/>
                <w:w w:val="97"/>
              </w:rPr>
              <w:t>10,411,295</w:t>
            </w:r>
          </w:p>
        </w:tc>
        <w:tc>
          <w:tcPr>
            <w:tcW w:w="160" w:type="dxa"/>
            <w:vAlign w:val="bottom"/>
            <w:shd w:val="clear" w:color="auto" w:fill="C0FFFF"/>
          </w:tcPr>
          <w:p>
            <w:pPr>
              <w:jc w:val="right"/>
              <w:ind w:right="2"/>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0FFFF"/>
          </w:tcPr>
          <w:p>
            <w:pPr>
              <w:jc w:val="right"/>
              <w:spacing w:after="0"/>
              <w:rPr>
                <w:sz w:val="20"/>
                <w:szCs w:val="20"/>
                <w:color w:val="auto"/>
              </w:rPr>
            </w:pPr>
            <w:r>
              <w:rPr>
                <w:rFonts w:ascii="Arial" w:cs="Arial" w:eastAsia="Arial" w:hAnsi="Arial"/>
                <w:sz w:val="18"/>
                <w:szCs w:val="18"/>
                <w:color w:val="auto"/>
                <w:w w:val="98"/>
              </w:rPr>
              <w:t>10,411</w:t>
            </w:r>
          </w:p>
        </w:tc>
        <w:tc>
          <w:tcPr>
            <w:tcW w:w="160" w:type="dxa"/>
            <w:vAlign w:val="bottom"/>
            <w:shd w:val="clear" w:color="auto" w:fill="C0FFFF"/>
          </w:tcPr>
          <w:p>
            <w:pPr>
              <w:spacing w:after="0"/>
              <w:rPr>
                <w:sz w:val="23"/>
                <w:szCs w:val="23"/>
                <w:color w:val="auto"/>
              </w:rPr>
            </w:pPr>
          </w:p>
        </w:tc>
        <w:tc>
          <w:tcPr>
            <w:tcW w:w="880" w:type="dxa"/>
            <w:vAlign w:val="bottom"/>
            <w:tcBorders>
              <w:right w:val="single" w:sz="8" w:color="C0FFFF"/>
            </w:tcBorders>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(13,485)</w:t>
            </w:r>
          </w:p>
        </w:tc>
        <w:tc>
          <w:tcPr>
            <w:tcW w:w="12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0FFFF"/>
          </w:tcPr>
          <w:p>
            <w:pPr>
              <w:jc w:val="right"/>
              <w:ind w:right="10"/>
              <w:spacing w:after="0"/>
              <w:rPr>
                <w:sz w:val="20"/>
                <w:szCs w:val="20"/>
                <w:color w:val="auto"/>
              </w:rPr>
            </w:pPr>
            <w:r>
              <w:rPr>
                <w:rFonts w:ascii="Arial" w:cs="Arial" w:eastAsia="Arial" w:hAnsi="Arial"/>
                <w:sz w:val="18"/>
                <w:szCs w:val="18"/>
                <w:color w:val="auto"/>
              </w:rPr>
              <w:t>(65,877)</w:t>
            </w:r>
          </w:p>
        </w:tc>
        <w:tc>
          <w:tcPr>
            <w:tcW w:w="11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w w:val="97"/>
              </w:rPr>
              <w:t>157,545,820</w:t>
            </w:r>
          </w:p>
        </w:tc>
        <w:tc>
          <w:tcPr>
            <w:tcW w:w="12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w w:val="98"/>
              </w:rPr>
              <w:t>(115,844,036)</w:t>
            </w:r>
          </w:p>
        </w:tc>
        <w:tc>
          <w:tcPr>
            <w:tcW w:w="13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85,835</w:t>
            </w:r>
          </w:p>
        </w:tc>
        <w:tc>
          <w:tcPr>
            <w:tcW w:w="132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17,353</w:t>
            </w:r>
          </w:p>
        </w:tc>
        <w:tc>
          <w:tcPr>
            <w:tcW w:w="9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w w:val="95"/>
              </w:rPr>
              <w:t>41,749,506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560" w:type="dxa"/>
            <w:vAlign w:val="bottom"/>
            <w:tcBorders>
              <w:top w:val="single" w:sz="8" w:color="C0FF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Borders>
              <w:top w:val="single" w:sz="8" w:color="C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Borders>
              <w:top w:val="single" w:sz="8" w:color="C0FF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C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Borders>
              <w:top w:val="single" w:sz="8" w:color="C0FF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0FF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Borders>
              <w:top w:val="single" w:sz="8" w:color="C0FFFF"/>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Borders>
              <w:top w:val="single" w:sz="8" w:color="C0FF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Borders>
              <w:top w:val="single" w:sz="8" w:color="C0FF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Balance, April 30,</w:t>
            </w:r>
          </w:p>
        </w:tc>
        <w:tc>
          <w:tcPr>
            <w:tcW w:w="90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5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70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6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00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0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20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114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88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0FFFF"/>
          </w:tcPr>
          <w:p>
            <w:pPr>
              <w:spacing w:after="0"/>
              <w:rPr>
                <w:sz w:val="20"/>
                <w:szCs w:val="20"/>
                <w:color w:val="auto"/>
              </w:rPr>
            </w:pPr>
            <w:r>
              <w:rPr>
                <w:rFonts w:ascii="Arial" w:cs="Arial" w:eastAsia="Arial" w:hAnsi="Arial"/>
                <w:sz w:val="18"/>
                <w:szCs w:val="18"/>
                <w:color w:val="auto"/>
              </w:rPr>
              <w:t>2012</w:t>
            </w:r>
          </w:p>
        </w:tc>
        <w:tc>
          <w:tcPr>
            <w:tcW w:w="108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8"/>
                <w:szCs w:val="18"/>
                <w:color w:val="auto"/>
                <w:w w:val="97"/>
              </w:rPr>
              <w:t>10,407,389</w:t>
            </w:r>
          </w:p>
        </w:tc>
        <w:tc>
          <w:tcPr>
            <w:tcW w:w="160" w:type="dxa"/>
            <w:vAlign w:val="bottom"/>
            <w:shd w:val="clear" w:color="auto" w:fill="C0FFFF"/>
          </w:tcPr>
          <w:p>
            <w:pPr>
              <w:jc w:val="right"/>
              <w:ind w:right="2"/>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w w:val="98"/>
              </w:rPr>
              <w:t>10,407</w:t>
            </w:r>
          </w:p>
        </w:tc>
        <w:tc>
          <w:tcPr>
            <w:tcW w:w="880" w:type="dxa"/>
            <w:vAlign w:val="bottom"/>
            <w:tcBorders>
              <w:right w:val="single" w:sz="8" w:color="C0FFFF"/>
            </w:tcBorders>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(23,544)</w:t>
            </w:r>
          </w:p>
        </w:tc>
        <w:tc>
          <w:tcPr>
            <w:tcW w:w="12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0FFFF"/>
          </w:tcPr>
          <w:p>
            <w:pPr>
              <w:jc w:val="right"/>
              <w:ind w:right="10"/>
              <w:spacing w:after="0"/>
              <w:rPr>
                <w:sz w:val="20"/>
                <w:szCs w:val="20"/>
                <w:color w:val="auto"/>
              </w:rPr>
            </w:pPr>
            <w:r>
              <w:rPr>
                <w:rFonts w:ascii="Arial" w:cs="Arial" w:eastAsia="Arial" w:hAnsi="Arial"/>
                <w:sz w:val="18"/>
                <w:szCs w:val="18"/>
                <w:color w:val="auto"/>
                <w:w w:val="90"/>
              </w:rPr>
              <w:t>(102,388)</w:t>
            </w:r>
          </w:p>
        </w:tc>
        <w:tc>
          <w:tcPr>
            <w:tcW w:w="11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w w:val="97"/>
              </w:rPr>
              <w:t>158,296,458</w:t>
            </w:r>
          </w:p>
        </w:tc>
        <w:tc>
          <w:tcPr>
            <w:tcW w:w="12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w w:val="98"/>
              </w:rPr>
              <w:t>(125,989,474)</w:t>
            </w:r>
          </w:p>
        </w:tc>
        <w:tc>
          <w:tcPr>
            <w:tcW w:w="13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(78,990)</w:t>
            </w:r>
          </w:p>
        </w:tc>
        <w:tc>
          <w:tcPr>
            <w:tcW w:w="132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(28,632)</w:t>
            </w:r>
          </w:p>
        </w:tc>
        <w:tc>
          <w:tcPr>
            <w:tcW w:w="9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w w:val="95"/>
              </w:rPr>
              <w:t>32,107,381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Net loss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(4,336,053)</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(26,075)</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(4,362,128)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Stock based</w:t>
            </w:r>
          </w:p>
        </w:tc>
        <w:tc>
          <w:tcPr>
            <w:tcW w:w="90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5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70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6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00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0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20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114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88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0FFFF"/>
          </w:tcPr>
          <w:p>
            <w:pPr>
              <w:spacing w:after="0"/>
              <w:rPr>
                <w:sz w:val="20"/>
                <w:szCs w:val="20"/>
                <w:color w:val="auto"/>
              </w:rPr>
            </w:pPr>
            <w:r>
              <w:rPr>
                <w:rFonts w:ascii="Arial" w:cs="Arial" w:eastAsia="Arial" w:hAnsi="Arial"/>
                <w:sz w:val="18"/>
                <w:szCs w:val="18"/>
                <w:color w:val="auto"/>
              </w:rPr>
              <w:t>compensation</w:t>
            </w:r>
          </w:p>
        </w:tc>
        <w:tc>
          <w:tcPr>
            <w:tcW w:w="108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0FFFF"/>
          </w:tcPr>
          <w:p>
            <w:pPr>
              <w:spacing w:after="0"/>
              <w:rPr>
                <w:sz w:val="20"/>
                <w:szCs w:val="20"/>
                <w:color w:val="auto"/>
              </w:rPr>
            </w:pPr>
          </w:p>
        </w:tc>
        <w:tc>
          <w:tcPr>
            <w:tcW w:w="7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0FFFF"/>
          </w:tcPr>
          <w:p>
            <w:pPr>
              <w:spacing w:after="0"/>
              <w:rPr>
                <w:sz w:val="20"/>
                <w:szCs w:val="20"/>
                <w:color w:val="auto"/>
              </w:rPr>
            </w:pPr>
          </w:p>
        </w:tc>
        <w:tc>
          <w:tcPr>
            <w:tcW w:w="820" w:type="dxa"/>
            <w:vAlign w:val="bottom"/>
            <w:gridSpan w:val="2"/>
            <w:shd w:val="clear" w:color="auto" w:fill="C0FF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371,784</w:t>
            </w:r>
          </w:p>
        </w:tc>
        <w:tc>
          <w:tcPr>
            <w:tcW w:w="12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371,784</w:t>
            </w:r>
          </w:p>
        </w:tc>
        <w:tc>
          <w:tcPr>
            <w:tcW w:w="100" w:type="dxa"/>
            <w:vAlign w:val="bottom"/>
            <w:shd w:val="clear" w:color="auto" w:fill="C0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w w:val="96"/>
              </w:rPr>
              <w:t>Issuance (forfeiture)</w:t>
            </w:r>
          </w:p>
        </w:tc>
        <w:tc>
          <w:tcPr>
            <w:tcW w:w="90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5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70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6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00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0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20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114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88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0FFFF"/>
          </w:tcPr>
          <w:p>
            <w:pPr>
              <w:spacing w:after="0"/>
              <w:rPr>
                <w:sz w:val="20"/>
                <w:szCs w:val="20"/>
                <w:color w:val="auto"/>
              </w:rPr>
            </w:pPr>
            <w:r>
              <w:rPr>
                <w:rFonts w:ascii="Arial" w:cs="Arial" w:eastAsia="Arial" w:hAnsi="Arial"/>
                <w:sz w:val="18"/>
                <w:szCs w:val="18"/>
                <w:color w:val="auto"/>
              </w:rPr>
              <w:t>of restricted stock,</w:t>
            </w:r>
          </w:p>
        </w:tc>
        <w:tc>
          <w:tcPr>
            <w:tcW w:w="900" w:type="dxa"/>
            <w:vAlign w:val="bottom"/>
            <w:shd w:val="clear" w:color="auto" w:fill="C0FFFF"/>
          </w:tcPr>
          <w:p>
            <w:pPr>
              <w:spacing w:after="0"/>
              <w:rPr>
                <w:sz w:val="18"/>
                <w:szCs w:val="18"/>
                <w:color w:val="auto"/>
              </w:rPr>
            </w:pPr>
          </w:p>
        </w:tc>
        <w:tc>
          <w:tcPr>
            <w:tcW w:w="180" w:type="dxa"/>
            <w:vAlign w:val="bottom"/>
            <w:tcBorders>
              <w:right w:val="single" w:sz="8" w:color="C0FFFF"/>
            </w:tcBorders>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56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700" w:type="dxa"/>
            <w:vAlign w:val="bottom"/>
            <w:shd w:val="clear" w:color="auto" w:fill="C0FFFF"/>
          </w:tcPr>
          <w:p>
            <w:pPr>
              <w:spacing w:after="0"/>
              <w:rPr>
                <w:sz w:val="18"/>
                <w:szCs w:val="18"/>
                <w:color w:val="auto"/>
              </w:rPr>
            </w:pPr>
          </w:p>
        </w:tc>
        <w:tc>
          <w:tcPr>
            <w:tcW w:w="180" w:type="dxa"/>
            <w:vAlign w:val="bottom"/>
            <w:tcBorders>
              <w:right w:val="single" w:sz="8" w:color="C0FFFF"/>
            </w:tcBorders>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66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2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0FFFF"/>
          </w:tcPr>
          <w:p>
            <w:pPr>
              <w:spacing w:after="0"/>
              <w:rPr>
                <w:sz w:val="20"/>
                <w:szCs w:val="20"/>
                <w:color w:val="auto"/>
              </w:rPr>
            </w:pPr>
            <w:r>
              <w:rPr>
                <w:rFonts w:ascii="Arial" w:cs="Arial" w:eastAsia="Arial" w:hAnsi="Arial"/>
                <w:sz w:val="18"/>
                <w:szCs w:val="18"/>
                <w:color w:val="auto"/>
              </w:rPr>
              <w:t>net</w:t>
            </w:r>
          </w:p>
        </w:tc>
        <w:tc>
          <w:tcPr>
            <w:tcW w:w="1080" w:type="dxa"/>
            <w:vAlign w:val="bottom"/>
            <w:tcBorders>
              <w:right w:val="single" w:sz="8" w:color="C0FFFF"/>
            </w:tcBorders>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(1,950)</w:t>
            </w:r>
          </w:p>
        </w:tc>
        <w:tc>
          <w:tcPr>
            <w:tcW w:w="160" w:type="dxa"/>
            <w:vAlign w:val="bottom"/>
            <w:shd w:val="clear" w:color="auto" w:fill="C0FFFF"/>
          </w:tcPr>
          <w:p>
            <w:pPr>
              <w:spacing w:after="0"/>
              <w:rPr>
                <w:sz w:val="20"/>
                <w:szCs w:val="20"/>
                <w:color w:val="auto"/>
              </w:rPr>
            </w:pPr>
          </w:p>
        </w:tc>
        <w:tc>
          <w:tcPr>
            <w:tcW w:w="7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w:t>
            </w:r>
          </w:p>
        </w:tc>
        <w:tc>
          <w:tcPr>
            <w:tcW w:w="88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0FFFF"/>
          </w:tcPr>
          <w:p>
            <w:pPr>
              <w:spacing w:after="0"/>
              <w:rPr>
                <w:sz w:val="20"/>
                <w:szCs w:val="20"/>
                <w:color w:val="auto"/>
              </w:rPr>
            </w:pPr>
          </w:p>
        </w:tc>
        <w:tc>
          <w:tcPr>
            <w:tcW w:w="820" w:type="dxa"/>
            <w:vAlign w:val="bottom"/>
            <w:gridSpan w:val="2"/>
            <w:shd w:val="clear" w:color="auto" w:fill="C0FF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14,768</w:t>
            </w:r>
          </w:p>
        </w:tc>
        <w:tc>
          <w:tcPr>
            <w:tcW w:w="12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14,766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tcPr>
          <w:p>
            <w:pPr>
              <w:spacing w:after="0" w:line="201" w:lineRule="exact"/>
              <w:rPr>
                <w:sz w:val="20"/>
                <w:szCs w:val="20"/>
                <w:color w:val="auto"/>
              </w:rPr>
            </w:pPr>
            <w:r>
              <w:rPr>
                <w:rFonts w:ascii="Arial" w:cs="Arial" w:eastAsia="Arial" w:hAnsi="Arial"/>
                <w:sz w:val="18"/>
                <w:szCs w:val="18"/>
                <w:color w:val="auto"/>
              </w:rPr>
              <w:t>Acquisition of</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80" w:type="dxa"/>
            <w:vAlign w:val="bottom"/>
            <w:gridSpan w:val="2"/>
          </w:tcPr>
          <w:p>
            <w:pPr>
              <w:spacing w:after="0"/>
              <w:rPr>
                <w:sz w:val="20"/>
                <w:szCs w:val="20"/>
                <w:color w:val="auto"/>
              </w:rPr>
            </w:pPr>
            <w:r>
              <w:rPr>
                <w:rFonts w:ascii="Arial" w:cs="Arial" w:eastAsia="Arial" w:hAnsi="Arial"/>
                <w:sz w:val="18"/>
                <w:szCs w:val="18"/>
                <w:color w:val="auto"/>
              </w:rPr>
              <w:t>treasury stock</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(4,274)</w:t>
            </w:r>
          </w:p>
        </w:tc>
        <w:tc>
          <w:tcPr>
            <w:tcW w:w="120" w:type="dxa"/>
            <w:vAlign w:val="bottom"/>
          </w:tcPr>
          <w:p>
            <w:pPr>
              <w:spacing w:after="0"/>
              <w:rPr>
                <w:sz w:val="20"/>
                <w:szCs w:val="20"/>
                <w:color w:val="auto"/>
              </w:rPr>
            </w:pP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(9,122)</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(9,122)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Other</w:t>
            </w:r>
          </w:p>
        </w:tc>
        <w:tc>
          <w:tcPr>
            <w:tcW w:w="90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5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70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6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00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0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20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114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88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0FFFF"/>
          </w:tcPr>
          <w:p>
            <w:pPr>
              <w:spacing w:after="0"/>
              <w:rPr>
                <w:sz w:val="20"/>
                <w:szCs w:val="20"/>
                <w:color w:val="auto"/>
              </w:rPr>
            </w:pPr>
            <w:r>
              <w:rPr>
                <w:rFonts w:ascii="Arial" w:cs="Arial" w:eastAsia="Arial" w:hAnsi="Arial"/>
                <w:sz w:val="18"/>
                <w:szCs w:val="18"/>
                <w:color w:val="auto"/>
                <w:w w:val="96"/>
              </w:rPr>
              <w:t>comprehensive loss</w:t>
            </w:r>
          </w:p>
        </w:tc>
        <w:tc>
          <w:tcPr>
            <w:tcW w:w="108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0FFFF"/>
          </w:tcPr>
          <w:p>
            <w:pPr>
              <w:spacing w:after="0"/>
              <w:rPr>
                <w:sz w:val="20"/>
                <w:szCs w:val="20"/>
                <w:color w:val="auto"/>
              </w:rPr>
            </w:pPr>
          </w:p>
        </w:tc>
        <w:tc>
          <w:tcPr>
            <w:tcW w:w="7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0FFFF"/>
          </w:tcPr>
          <w:p>
            <w:pPr>
              <w:spacing w:after="0"/>
              <w:rPr>
                <w:sz w:val="20"/>
                <w:szCs w:val="20"/>
                <w:color w:val="auto"/>
              </w:rPr>
            </w:pPr>
          </w:p>
        </w:tc>
        <w:tc>
          <w:tcPr>
            <w:tcW w:w="820" w:type="dxa"/>
            <w:vAlign w:val="bottom"/>
            <w:gridSpan w:val="2"/>
            <w:shd w:val="clear" w:color="auto" w:fill="C0FF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(9,423)</w:t>
            </w:r>
          </w:p>
        </w:tc>
        <w:tc>
          <w:tcPr>
            <w:tcW w:w="132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(1,061)</w:t>
            </w:r>
          </w:p>
        </w:tc>
        <w:tc>
          <w:tcPr>
            <w:tcW w:w="9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(10,484)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Balance, July 31,</w:t>
            </w:r>
          </w:p>
        </w:tc>
        <w:tc>
          <w:tcPr>
            <w:tcW w:w="90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5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70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6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00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0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20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114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88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560" w:type="dxa"/>
            <w:vAlign w:val="bottom"/>
            <w:shd w:val="clear" w:color="auto" w:fill="C0FFFF"/>
          </w:tcPr>
          <w:p>
            <w:pPr>
              <w:spacing w:after="0"/>
              <w:rPr>
                <w:sz w:val="20"/>
                <w:szCs w:val="20"/>
                <w:color w:val="auto"/>
              </w:rPr>
            </w:pPr>
            <w:r>
              <w:rPr>
                <w:rFonts w:ascii="Arial" w:cs="Arial" w:eastAsia="Arial" w:hAnsi="Arial"/>
                <w:sz w:val="18"/>
                <w:szCs w:val="18"/>
                <w:color w:val="auto"/>
              </w:rPr>
              <w:t>2012</w:t>
            </w:r>
          </w:p>
        </w:tc>
        <w:tc>
          <w:tcPr>
            <w:tcW w:w="900" w:type="dxa"/>
            <w:vAlign w:val="bottom"/>
            <w:shd w:val="clear" w:color="auto" w:fill="C0FFFF"/>
          </w:tcPr>
          <w:p>
            <w:pPr>
              <w:jc w:val="right"/>
              <w:spacing w:after="0"/>
              <w:rPr>
                <w:sz w:val="20"/>
                <w:szCs w:val="20"/>
                <w:color w:val="auto"/>
              </w:rPr>
            </w:pPr>
            <w:r>
              <w:rPr>
                <w:rFonts w:ascii="Arial" w:cs="Arial" w:eastAsia="Arial" w:hAnsi="Arial"/>
                <w:sz w:val="18"/>
                <w:szCs w:val="18"/>
                <w:color w:val="auto"/>
                <w:w w:val="97"/>
              </w:rPr>
              <w:t>10,405,439</w:t>
            </w:r>
          </w:p>
        </w:tc>
        <w:tc>
          <w:tcPr>
            <w:tcW w:w="180" w:type="dxa"/>
            <w:vAlign w:val="bottom"/>
            <w:tcBorders>
              <w:right w:val="single" w:sz="8" w:color="C0FFFF"/>
            </w:tcBorders>
            <w:shd w:val="clear" w:color="auto" w:fill="C0FFFF"/>
          </w:tcPr>
          <w:p>
            <w:pPr>
              <w:spacing w:after="0"/>
              <w:rPr>
                <w:sz w:val="21"/>
                <w:szCs w:val="21"/>
                <w:color w:val="auto"/>
              </w:rPr>
            </w:pPr>
          </w:p>
        </w:tc>
        <w:tc>
          <w:tcPr>
            <w:tcW w:w="160" w:type="dxa"/>
            <w:vAlign w:val="bottom"/>
            <w:shd w:val="clear" w:color="auto" w:fill="C0FFFF"/>
          </w:tcPr>
          <w:p>
            <w:pPr>
              <w:jc w:val="right"/>
              <w:ind w:right="2"/>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w w:val="98"/>
              </w:rPr>
              <w:t>10,405</w:t>
            </w:r>
          </w:p>
        </w:tc>
        <w:tc>
          <w:tcPr>
            <w:tcW w:w="880" w:type="dxa"/>
            <w:vAlign w:val="bottom"/>
            <w:tcBorders>
              <w:right w:val="single" w:sz="8" w:color="C0FFFF"/>
            </w:tcBorders>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(27,818)</w:t>
            </w:r>
          </w:p>
        </w:tc>
        <w:tc>
          <w:tcPr>
            <w:tcW w:w="12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0FFFF"/>
          </w:tcPr>
          <w:p>
            <w:pPr>
              <w:jc w:val="right"/>
              <w:ind w:right="10"/>
              <w:spacing w:after="0"/>
              <w:rPr>
                <w:sz w:val="20"/>
                <w:szCs w:val="20"/>
                <w:color w:val="auto"/>
              </w:rPr>
            </w:pPr>
            <w:r>
              <w:rPr>
                <w:rFonts w:ascii="Arial" w:cs="Arial" w:eastAsia="Arial" w:hAnsi="Arial"/>
                <w:sz w:val="18"/>
                <w:szCs w:val="18"/>
                <w:color w:val="auto"/>
                <w:w w:val="90"/>
              </w:rPr>
              <w:t>(111,510)</w:t>
            </w:r>
          </w:p>
        </w:tc>
        <w:tc>
          <w:tcPr>
            <w:tcW w:w="11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w w:val="97"/>
              </w:rPr>
              <w:t>158,683,010</w:t>
            </w:r>
          </w:p>
        </w:tc>
        <w:tc>
          <w:tcPr>
            <w:tcW w:w="12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w w:val="98"/>
              </w:rPr>
              <w:t>(130,325,527)</w:t>
            </w:r>
          </w:p>
        </w:tc>
        <w:tc>
          <w:tcPr>
            <w:tcW w:w="13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(88,413)</w:t>
            </w:r>
          </w:p>
        </w:tc>
        <w:tc>
          <w:tcPr>
            <w:tcW w:w="132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(55,768)</w:t>
            </w:r>
          </w:p>
        </w:tc>
        <w:tc>
          <w:tcPr>
            <w:tcW w:w="9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w w:val="95"/>
              </w:rPr>
              <w:t>28,112,197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top w:val="single" w:sz="8" w:color="C0FFFF"/>
            </w:tcBorders>
            <w:shd w:val="clear" w:color="auto" w:fill="C0FF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FFFF"/>
              <w:right w:val="single" w:sz="8" w:color="C0FFFF"/>
            </w:tcBorders>
            <w:shd w:val="clear" w:color="auto" w:fill="C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FFFF"/>
            </w:tcBorders>
            <w:shd w:val="clear" w:color="auto" w:fill="C0FF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FFFF"/>
              <w:right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FFFF"/>
            </w:tcBorders>
            <w:shd w:val="clear" w:color="auto" w:fill="C0FF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FFFF"/>
            </w:tcBorders>
            <w:shd w:val="clear" w:color="auto" w:fill="C0FF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FFFF"/>
            </w:tcBorders>
            <w:shd w:val="clear" w:color="auto" w:fill="C0FF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FFFF"/>
            </w:tcBorders>
            <w:shd w:val="clear" w:color="auto" w:fill="C0FF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FFFF"/>
            </w:tcBorders>
            <w:shd w:val="clear" w:color="auto" w:fill="C0FF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and Basis of Presentation</w:t>
      </w:r>
    </w:p>
    <w:p>
      <w:pPr>
        <w:spacing w:after="0" w:line="28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Ocean Power Technologies, Inc. (the “Company”) was incorporated on April 1984 in New Jersey, commenced business operations in 1994 and re-incorporated in Delaware in April 2007. The Company develops and is seeking to commercialize proprietary systems that generate electricity by harnessing the renewable energy of ocean waves. The Company markets its products in the United States and internationally. Since fiscal 2002, the US Navy and other government agencies have accounted for a significant portion of the Company’s revenues. These revenues were largely for the support of product development efforts. The Company’s goal, over time, is to generate revenues from utilities and other non-government commercial customers, from the sale of products and maintenance services, and to have such revenues represent a greater portion of its total revenues. As we continue to advance our proprietary technologies, we expect to continue to have a net decrease in cash from operating activities unless or until we achieve positive cash flow from the planned commercialization of our products and services.</w:t>
      </w:r>
    </w:p>
    <w:p>
      <w:pPr>
        <w:spacing w:after="0" w:line="24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generally accepted accounting principles for interim financial information and with the instructions to Form 10-Q and Article 10 of Regulation S-X. Accordingly, they do not include all the information and footnotes required by generally accepted accounting principles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2012 filed with the Securities and Exchange Commission (“SEC”) and elsewhere in this Form 10-Q.</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2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All significant intercompany balances and transactions have been eliminated in consolidation. Participation of stockholders other than the Company in the net assets and in the earnings or losses of a consolidated subsidiary is reflected as a noncontrolling interest in the Company's Consolidated Balance Sheets and Statements of Operations, which adjusts the Company's consolidated results of operations to reflect only the Company's share of the earnings or losses of the consolidated subsidiary. As of July 31, 2012, there was one noncontrolling interest, consisting of 11.8% of the Company's Australian subsidiary, Ocean Power Technologies (Australasia) Pty. Ltd.</w:t>
      </w:r>
    </w:p>
    <w:p>
      <w:pPr>
        <w:spacing w:after="0" w:line="24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addition, the Company evaluates its relationships with other entities to identify whether they are variable interest entities, and to assess whether it is the primary beneficiary of such entities. If the determination is made that the Company is the primary beneficiary, then that entity is included in the consolidated financial statements. As of July 31, 2012, there were no such entities.</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 10% investment in Iberdrola Energias Marinas de Cantabria, S.A. (Iberdrola Cantabria). During the fourth quarter of fiscal 2012, the Company evaluated the realizability of this investment and concluded that it was impaired. The Company recorded an impairment expense of $0.3 million representing 100% of the investment amount. In addition, outstanding receivables from Iberdrola Cantabria in the amount of $0.3 million as of April 2012 were fully reserved during the fourth quarter of fiscal 2012. The investment in Iberdrola Cantabria and net accounts receivable and unbilled receivables from Iberdrola Cantabria were $0 as of July 31, 2012 and April 30, 2012. See Note 9.</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7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the recoverability of the carrying amount of property and equipment and patents; valuation allowances for receivables and deferred income tax assets; and percentage of completion of customer contracts for purposes of revenue recognition. Actual results could differ from those estimates. The current economic environment, particularly the macroeconomic pressures in certain European countries, has increased the degree of uncertainty inherent in those estimates and assumptions.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Revenue Recognition</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contracts are either cost plus or fixed price contracts. Under cost plus contracts, customers are billed for actual expenses incurred plus an agreed-upon fee. Currently, the Company has two types of fixed price contracts, firm fixed price and cost-sharing. Under firm fixed price contracts, the Company receives an agreed-upon amount for providing products and services specified in the contract. Under cost-sharing contracts, the fixed amount agreed upon with the customer is only intended to fund a portion of the costs on a specific project.</w:t>
      </w: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Generally, the Company recognizes revenue using the percentage-of-completion method based on the ratio of costs incurred to total estimated costs at completion. In certain circumstances, revenue under contracts that have specified milestones or other performance criteria may be recognized only when the customer acknowledges that such criteria have been satisfied. In addition, recognition of revenue (and the related costs) may be deferred for fixed-price contracts until contract completion if the Company is unable to reasonably estimate the total costs of the project prior to completion. Because the Company has a small number of contracts, revisions to the percentage-of-completion determination or delays in meeting performance criteria or in completing projects may have a significant effect on revenue for the periods involved. Upon anticipating a loss on a contract, the Company recognizes the full amount of the anticipated loss in the current period.</w:t>
      </w:r>
    </w:p>
    <w:p>
      <w:pPr>
        <w:spacing w:after="0" w:line="2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cost plus and firm fixed price contracts there is a profit or loss on the project depending on whether actual costs are more or less than the agreed upon amount. Under cost sharing contracts, an amount corresponding to the revenue is recorded in cost of revenues, resulting in gross profit on these contracts of zero. The Company’s share of the costs is recorded as product development expense.</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Unbilled receivables represent expenditures on contracts, plus applicable profit margin, not yet billed. Unbilled receivables are normally billed and collected within one year. Billings made on contracts are recorded as a reduction of unbilled receivables, and to the extent that such billings and cash collections exceed costs incurred plus applicable profit margin, they are recorded as unearned revenues.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Cash and Cash Equivalents</w:t>
      </w:r>
    </w:p>
    <w:p>
      <w:pPr>
        <w:spacing w:after="0" w:line="2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Cash equivalents consist of investments in short-term financial instruments with initial maturities of three months or less from the date of purchase. Cash and cash equivalents include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July 31, 2012</w:t>
            </w:r>
          </w:p>
        </w:tc>
        <w:tc>
          <w:tcPr>
            <w:tcW w:w="1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30, 2012</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0FFFF"/>
          </w:tcPr>
          <w:p>
            <w:pPr>
              <w:spacing w:after="0"/>
              <w:rPr>
                <w:sz w:val="20"/>
                <w:szCs w:val="20"/>
                <w:color w:val="auto"/>
              </w:rPr>
            </w:pPr>
            <w:r>
              <w:rPr>
                <w:rFonts w:ascii="Arial" w:cs="Arial" w:eastAsia="Arial" w:hAnsi="Arial"/>
                <w:sz w:val="18"/>
                <w:szCs w:val="18"/>
                <w:color w:val="auto"/>
              </w:rPr>
              <w:t>Checking and savings accounts</w:t>
            </w:r>
          </w:p>
        </w:tc>
        <w:tc>
          <w:tcPr>
            <w:tcW w:w="156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2,545,662</w:t>
            </w:r>
          </w:p>
        </w:tc>
        <w:tc>
          <w:tcPr>
            <w:tcW w:w="1600" w:type="dxa"/>
            <w:vAlign w:val="bottom"/>
            <w:gridSpan w:val="3"/>
            <w:shd w:val="clear" w:color="auto" w:fill="C0FFFF"/>
          </w:tcPr>
          <w:p>
            <w:pPr>
              <w:jc w:val="right"/>
              <w:ind w:right="80"/>
              <w:spacing w:after="0"/>
              <w:rPr>
                <w:sz w:val="20"/>
                <w:szCs w:val="20"/>
                <w:color w:val="auto"/>
              </w:rPr>
            </w:pPr>
            <w:r>
              <w:rPr>
                <w:rFonts w:ascii="Arial" w:cs="Arial" w:eastAsia="Arial" w:hAnsi="Arial"/>
                <w:sz w:val="18"/>
                <w:szCs w:val="18"/>
                <w:color w:val="auto"/>
              </w:rPr>
              <w:t>2,051,918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Certificates of deposits and US Treasury obligations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1,404,662</w:t>
            </w:r>
          </w:p>
        </w:tc>
        <w:tc>
          <w:tcPr>
            <w:tcW w:w="1600" w:type="dxa"/>
            <w:vAlign w:val="bottom"/>
            <w:gridSpan w:val="3"/>
          </w:tcPr>
          <w:p>
            <w:pPr>
              <w:jc w:val="right"/>
              <w:ind w:right="80"/>
              <w:spacing w:after="0"/>
              <w:rPr>
                <w:sz w:val="20"/>
                <w:szCs w:val="20"/>
                <w:color w:val="auto"/>
              </w:rPr>
            </w:pPr>
            <w:r>
              <w:rPr>
                <w:rFonts w:ascii="Arial" w:cs="Arial" w:eastAsia="Arial" w:hAnsi="Arial"/>
                <w:sz w:val="18"/>
                <w:szCs w:val="18"/>
                <w:color w:val="auto"/>
              </w:rPr>
              <w:t>5,998,925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Money market funds</w:t>
            </w:r>
          </w:p>
        </w:tc>
        <w:tc>
          <w:tcPr>
            <w:tcW w:w="1420" w:type="dxa"/>
            <w:vAlign w:val="bottom"/>
            <w:tcBorders>
              <w:bottom w:val="single" w:sz="8" w:color="C0FFFF"/>
            </w:tcBorders>
            <w:shd w:val="clear" w:color="auto" w:fill="C0FFFF"/>
          </w:tcPr>
          <w:p>
            <w:pPr>
              <w:spacing w:after="0"/>
              <w:rPr>
                <w:sz w:val="19"/>
                <w:szCs w:val="19"/>
                <w:color w:val="auto"/>
              </w:rPr>
            </w:pPr>
          </w:p>
        </w:tc>
        <w:tc>
          <w:tcPr>
            <w:tcW w:w="140" w:type="dxa"/>
            <w:vAlign w:val="bottom"/>
            <w:tcBorders>
              <w:bottom w:val="single" w:sz="8" w:color="auto"/>
            </w:tcBorders>
            <w:shd w:val="clear" w:color="auto" w:fill="C0FFFF"/>
          </w:tcPr>
          <w:p>
            <w:pPr>
              <w:spacing w:after="0"/>
              <w:rPr>
                <w:sz w:val="19"/>
                <w:szCs w:val="19"/>
                <w:color w:val="auto"/>
              </w:rPr>
            </w:pPr>
          </w:p>
        </w:tc>
        <w:tc>
          <w:tcPr>
            <w:tcW w:w="12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1,139,333</w:t>
            </w:r>
          </w:p>
        </w:tc>
        <w:tc>
          <w:tcPr>
            <w:tcW w:w="160" w:type="dxa"/>
            <w:vAlign w:val="bottom"/>
            <w:tcBorders>
              <w:bottom w:val="single" w:sz="8" w:color="C0FFFF"/>
            </w:tcBorders>
            <w:shd w:val="clear" w:color="auto" w:fill="C0FFFF"/>
          </w:tcPr>
          <w:p>
            <w:pPr>
              <w:spacing w:after="0"/>
              <w:rPr>
                <w:sz w:val="19"/>
                <w:szCs w:val="19"/>
                <w:color w:val="auto"/>
              </w:rPr>
            </w:pPr>
          </w:p>
        </w:tc>
        <w:tc>
          <w:tcPr>
            <w:tcW w:w="13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1,302,617</w:t>
            </w:r>
          </w:p>
        </w:tc>
        <w:tc>
          <w:tcPr>
            <w:tcW w:w="80" w:type="dxa"/>
            <w:vAlign w:val="bottom"/>
            <w:tcBorders>
              <w:bottom w:val="single" w:sz="8" w:color="C0FFFF"/>
            </w:tcBorders>
            <w:shd w:val="clear" w:color="auto" w:fill="C0FFFF"/>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5,089,657</w:t>
            </w:r>
          </w:p>
        </w:tc>
        <w:tc>
          <w:tcPr>
            <w:tcW w:w="1600" w:type="dxa"/>
            <w:vAlign w:val="bottom"/>
            <w:gridSpan w:val="3"/>
          </w:tcPr>
          <w:p>
            <w:pPr>
              <w:jc w:val="right"/>
              <w:ind w:right="80"/>
              <w:spacing w:after="0"/>
              <w:rPr>
                <w:sz w:val="20"/>
                <w:szCs w:val="20"/>
                <w:color w:val="auto"/>
              </w:rPr>
            </w:pPr>
            <w:r>
              <w:rPr>
                <w:rFonts w:ascii="Arial" w:cs="Arial" w:eastAsia="Arial" w:hAnsi="Arial"/>
                <w:sz w:val="18"/>
                <w:szCs w:val="18"/>
                <w:color w:val="auto"/>
              </w:rPr>
              <w:t>9,353,460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20" w:type="dxa"/>
            <w:vAlign w:val="bottom"/>
            <w:vMerge w:val="restart"/>
          </w:tcPr>
          <w:p>
            <w:pPr>
              <w:jc w:val="right"/>
              <w:ind w:right="290"/>
              <w:spacing w:after="0"/>
              <w:rPr>
                <w:sz w:val="20"/>
                <w:szCs w:val="20"/>
                <w:color w:val="auto"/>
              </w:rPr>
            </w:pPr>
            <w:r>
              <w:rPr>
                <w:rFonts w:ascii="Arial" w:cs="Arial" w:eastAsia="Arial" w:hAnsi="Arial"/>
                <w:sz w:val="18"/>
                <w:szCs w:val="18"/>
                <w:color w:val="auto"/>
              </w:rPr>
              <w:t>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0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Restricted Cash and Credit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portion of the Company’s cash is restricted under the terms of two security agreements.</w:t>
      </w:r>
    </w:p>
    <w:p>
      <w:pPr>
        <w:spacing w:after="0" w:line="2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One agreement is between Ocean Power Technologies, Inc. and Barclays Bank. Under this agreement, the cash is on deposit at Barclays Bank and serves as security for letters of credit that are expected to be issued by Barclays Bank on behalf of Ocean Power Technologies Ltd., one of the Company's subsidiaries, under a €800,000 credit facility established by Barclays Bank for Ocean Power Technologies Ltd. The credit facility is for the issuance of letters of credit and bank guarantees and carries a fee of 1% per annum of the amount of any such obligations issued by Barclays Bank. As of July 31, 2012, there were €266,000 in letters of credit outstanding under this agreement. The credit facility does not have an expiration date, but is cancelable at the discretion of the bank.</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other agreement is between Ocean Power Technologies, Inc. and the New Jersey Board of Public Utilities (NJBPU). The Company received a $500,000 recoverable grant award from the NJBPU. Under this agreement, the Company is required to assign to the NJBPU a certificate of deposit in an amount equal to the outstanding grant balance. See Note 6.</w:t>
      </w:r>
    </w:p>
    <w:p>
      <w:pPr>
        <w:spacing w:after="0" w:line="2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Cash restricted under security agreements is as follows:</w:t>
      </w:r>
    </w:p>
    <w:p>
      <w:pPr>
        <w:spacing w:after="0" w:line="275"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8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July 31, 2012</w:t>
            </w:r>
          </w:p>
        </w:tc>
        <w:tc>
          <w:tcPr>
            <w:tcW w:w="1080" w:type="dxa"/>
            <w:vAlign w:val="bottom"/>
          </w:tcPr>
          <w:p>
            <w:pPr>
              <w:spacing w:after="0"/>
              <w:rPr>
                <w:sz w:val="20"/>
                <w:szCs w:val="20"/>
                <w:color w:val="auto"/>
              </w:rPr>
            </w:pPr>
          </w:p>
        </w:tc>
        <w:tc>
          <w:tcPr>
            <w:tcW w:w="2300" w:type="dxa"/>
            <w:vAlign w:val="bottom"/>
            <w:gridSpan w:val="2"/>
          </w:tcPr>
          <w:p>
            <w:pPr>
              <w:ind w:left="340"/>
              <w:spacing w:after="0"/>
              <w:rPr>
                <w:sz w:val="20"/>
                <w:szCs w:val="20"/>
                <w:color w:val="auto"/>
              </w:rPr>
            </w:pPr>
            <w:r>
              <w:rPr>
                <w:rFonts w:ascii="Arial" w:cs="Arial" w:eastAsia="Arial" w:hAnsi="Arial"/>
                <w:sz w:val="18"/>
                <w:szCs w:val="18"/>
                <w:b w:val="1"/>
                <w:bCs w:val="1"/>
                <w:color w:val="auto"/>
              </w:rPr>
              <w:t>April 30,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0FFFF"/>
          </w:tcPr>
          <w:p>
            <w:pPr>
              <w:spacing w:after="0"/>
              <w:rPr>
                <w:sz w:val="20"/>
                <w:szCs w:val="20"/>
                <w:color w:val="auto"/>
              </w:rPr>
            </w:pPr>
            <w:r>
              <w:rPr>
                <w:rFonts w:ascii="Arial" w:cs="Arial" w:eastAsia="Arial" w:hAnsi="Arial"/>
                <w:sz w:val="18"/>
                <w:szCs w:val="18"/>
                <w:color w:val="auto"/>
              </w:rPr>
              <w:t>Barclays Bank agreement</w:t>
            </w:r>
          </w:p>
        </w:tc>
        <w:tc>
          <w:tcPr>
            <w:tcW w:w="820" w:type="dxa"/>
            <w:vAlign w:val="bottom"/>
            <w:shd w:val="clear" w:color="auto" w:fill="C0FF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883,656</w:t>
            </w:r>
          </w:p>
        </w:tc>
        <w:tc>
          <w:tcPr>
            <w:tcW w:w="3380" w:type="dxa"/>
            <w:vAlign w:val="bottom"/>
            <w:gridSpan w:val="3"/>
            <w:shd w:val="clear" w:color="auto" w:fill="C0FFFF"/>
          </w:tcPr>
          <w:p>
            <w:pPr>
              <w:jc w:val="right"/>
              <w:ind w:right="540"/>
              <w:spacing w:after="0"/>
              <w:rPr>
                <w:sz w:val="20"/>
                <w:szCs w:val="20"/>
                <w:color w:val="auto"/>
              </w:rPr>
            </w:pPr>
            <w:r>
              <w:rPr>
                <w:rFonts w:ascii="Arial" w:cs="Arial" w:eastAsia="Arial" w:hAnsi="Arial"/>
                <w:sz w:val="18"/>
                <w:szCs w:val="18"/>
                <w:color w:val="auto"/>
              </w:rPr>
              <w:t>953,712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NJBPU agreement</w:t>
            </w:r>
          </w:p>
        </w:tc>
        <w:tc>
          <w:tcPr>
            <w:tcW w:w="8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425,000</w:t>
            </w:r>
          </w:p>
        </w:tc>
        <w:tc>
          <w:tcPr>
            <w:tcW w:w="10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tcBorders>
              <w:bottom w:val="single" w:sz="8" w:color="C0FFFF"/>
            </w:tcBorders>
            <w:shd w:val="clear" w:color="auto" w:fill="C0FFFF"/>
          </w:tcPr>
          <w:p>
            <w:pPr>
              <w:spacing w:after="0"/>
              <w:rPr>
                <w:sz w:val="22"/>
                <w:szCs w:val="22"/>
                <w:color w:val="auto"/>
              </w:rPr>
            </w:pPr>
          </w:p>
        </w:tc>
        <w:tc>
          <w:tcPr>
            <w:tcW w:w="820" w:type="dxa"/>
            <w:vAlign w:val="bottom"/>
            <w:tcBorders>
              <w:bottom w:val="single" w:sz="8" w:color="auto"/>
            </w:tcBorders>
            <w:shd w:val="clear" w:color="auto" w:fill="C0FF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1,308,656</w:t>
            </w:r>
          </w:p>
        </w:tc>
        <w:tc>
          <w:tcPr>
            <w:tcW w:w="1080" w:type="dxa"/>
            <w:vAlign w:val="bottom"/>
            <w:tcBorders>
              <w:bottom w:val="single" w:sz="8" w:color="C0FFFF"/>
            </w:tcBorders>
            <w:shd w:val="clear" w:color="auto" w:fill="C0FFFF"/>
          </w:tcPr>
          <w:p>
            <w:pPr>
              <w:spacing w:after="0"/>
              <w:rPr>
                <w:sz w:val="22"/>
                <w:szCs w:val="22"/>
                <w:color w:val="auto"/>
              </w:rPr>
            </w:pPr>
          </w:p>
        </w:tc>
        <w:tc>
          <w:tcPr>
            <w:tcW w:w="17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1,453,712</w:t>
            </w:r>
          </w:p>
        </w:tc>
        <w:tc>
          <w:tcPr>
            <w:tcW w:w="540" w:type="dxa"/>
            <w:vAlign w:val="bottom"/>
            <w:tcBorders>
              <w:bottom w:val="single" w:sz="8" w:color="C0FFFF"/>
            </w:tcBorders>
            <w:shd w:val="clear" w:color="auto" w:fill="C0FFFF"/>
          </w:tcPr>
          <w:p>
            <w:pPr>
              <w:spacing w:after="0"/>
              <w:rPr>
                <w:sz w:val="22"/>
                <w:szCs w:val="2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Foreign Exchange Gains and Losses</w:t>
      </w:r>
    </w:p>
    <w:p>
      <w:pPr>
        <w:spacing w:after="0" w:line="27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has invested in certain certificates of deposit and has maintained cash accounts that are denominated in British pounds sterling, Euros and Australian dollars. These amounts are included in cash, cash equivalents, restricted cash and marketable securities on the accompanying consolidated balance sheets. Such positions may result in realized and unrealized foreign exchange gains or losses from exchange rate fluctuations, which gains and losses are included in foreign exchange loss in the accompanying consolidated statements of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95"/>
              </w:rPr>
              <w:t>Three Months Ended July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860" w:type="dxa"/>
            <w:vAlign w:val="bottom"/>
            <w:shd w:val="clear" w:color="auto" w:fill="C0FFFF"/>
          </w:tcPr>
          <w:p>
            <w:pPr>
              <w:spacing w:after="0"/>
              <w:rPr>
                <w:sz w:val="20"/>
                <w:szCs w:val="20"/>
                <w:color w:val="auto"/>
              </w:rPr>
            </w:pPr>
            <w:r>
              <w:rPr>
                <w:rFonts w:ascii="Arial" w:cs="Arial" w:eastAsia="Arial" w:hAnsi="Arial"/>
                <w:sz w:val="18"/>
                <w:szCs w:val="18"/>
                <w:color w:val="auto"/>
              </w:rPr>
              <w:t>Foreign exchange loss</w:t>
            </w:r>
          </w:p>
        </w:tc>
        <w:tc>
          <w:tcPr>
            <w:tcW w:w="24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(108,323)</w:t>
            </w:r>
          </w:p>
        </w:tc>
        <w:tc>
          <w:tcPr>
            <w:tcW w:w="144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(9,041)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0FFFF"/>
            </w:tcBorders>
            <w:shd w:val="clear" w:color="auto" w:fill="C0FFFF"/>
          </w:tcPr>
          <w:p>
            <w:pPr>
              <w:spacing w:after="0" w:line="20" w:lineRule="exact"/>
              <w:rPr>
                <w:sz w:val="1"/>
                <w:szCs w:val="1"/>
                <w:color w:val="auto"/>
              </w:rPr>
            </w:pPr>
          </w:p>
        </w:tc>
        <w:tc>
          <w:tcPr>
            <w:tcW w:w="2260" w:type="dxa"/>
            <w:vAlign w:val="bottom"/>
            <w:tcBorders>
              <w:top w:val="single" w:sz="8" w:color="C0FFFF"/>
            </w:tcBorders>
            <w:shd w:val="clear" w:color="auto" w:fill="C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FFFF"/>
            </w:tcBorders>
            <w:shd w:val="clear" w:color="auto" w:fill="C0FFFF"/>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July 31, 2012</w:t>
            </w:r>
          </w:p>
        </w:tc>
        <w:tc>
          <w:tcPr>
            <w:tcW w:w="1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30,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620" w:type="dxa"/>
            <w:vAlign w:val="bottom"/>
            <w:shd w:val="clear" w:color="auto" w:fill="C0FFFF"/>
          </w:tcPr>
          <w:p>
            <w:pPr>
              <w:spacing w:after="0"/>
              <w:rPr>
                <w:sz w:val="20"/>
                <w:szCs w:val="20"/>
                <w:color w:val="auto"/>
              </w:rPr>
            </w:pPr>
            <w:r>
              <w:rPr>
                <w:rFonts w:ascii="Arial" w:cs="Arial" w:eastAsia="Arial" w:hAnsi="Arial"/>
                <w:sz w:val="18"/>
                <w:szCs w:val="18"/>
                <w:color w:val="auto"/>
                <w:w w:val="97"/>
              </w:rPr>
              <w:t>Foreign currency denominated certificates of deposit and cash accounts</w:t>
            </w:r>
          </w:p>
        </w:tc>
        <w:tc>
          <w:tcPr>
            <w:tcW w:w="64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2,906,000</w:t>
            </w:r>
          </w:p>
        </w:tc>
        <w:tc>
          <w:tcPr>
            <w:tcW w:w="1600" w:type="dxa"/>
            <w:vAlign w:val="bottom"/>
            <w:gridSpan w:val="3"/>
            <w:shd w:val="clear" w:color="auto" w:fill="C0FFFF"/>
          </w:tcPr>
          <w:p>
            <w:pPr>
              <w:jc w:val="right"/>
              <w:ind w:right="80"/>
              <w:spacing w:after="0"/>
              <w:rPr>
                <w:sz w:val="20"/>
                <w:szCs w:val="20"/>
                <w:color w:val="auto"/>
              </w:rPr>
            </w:pPr>
            <w:r>
              <w:rPr>
                <w:rFonts w:ascii="Arial" w:cs="Arial" w:eastAsia="Arial" w:hAnsi="Arial"/>
                <w:sz w:val="18"/>
                <w:szCs w:val="18"/>
                <w:color w:val="auto"/>
              </w:rPr>
              <w:t>2,826,000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Borders>
              <w:top w:val="single" w:sz="8" w:color="C0FFFF"/>
            </w:tcBorders>
            <w:shd w:val="clear" w:color="auto" w:fill="C0FFFF"/>
          </w:tcPr>
          <w:p>
            <w:pPr>
              <w:spacing w:after="0" w:line="20" w:lineRule="exact"/>
              <w:rPr>
                <w:sz w:val="1"/>
                <w:szCs w:val="1"/>
                <w:color w:val="auto"/>
              </w:rPr>
            </w:pPr>
          </w:p>
        </w:tc>
        <w:tc>
          <w:tcPr>
            <w:tcW w:w="500" w:type="dxa"/>
            <w:vAlign w:val="bottom"/>
            <w:tcBorders>
              <w:top w:val="single" w:sz="8" w:color="C0FFFF"/>
            </w:tcBorders>
            <w:shd w:val="clear" w:color="auto" w:fill="C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FFFF"/>
            </w:tcBorders>
            <w:shd w:val="clear" w:color="auto" w:fill="C0FFFF"/>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Long-Lived Assets</w:t>
      </w:r>
    </w:p>
    <w:p>
      <w:pPr>
        <w:spacing w:after="0" w:line="2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Long-lived assets, such as property and equipment and patents subject to amortization, are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 The Company reviewed its long-lived assets for impairment and determined there was no impairment for the three months ended July 31, 2012.</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Concentration of Credit Risk</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Financial instruments that potentially subject the Company to concentration of credit risk consist principally of cash balances, bank certificates of deposit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trade receivables. The Company invests its excess cash in highly liquid investments (principally, short-term bank deposits, Treasury bills, Treasury notes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money market funds) and does not believe that it is exposed to any significant risks related to its cash accounts, money market funds or certificates of deposit.</w:t>
      </w:r>
    </w:p>
    <w:p>
      <w:pPr>
        <w:spacing w:after="0" w:line="2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table below shows the percentage of the Company's revenues derived from customers whose revenues accounted for at least 10% of the Company's consolidated revenues for at least one of the periods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3100" w:type="dxa"/>
            <w:vAlign w:val="bottom"/>
            <w:gridSpan w:val="4"/>
          </w:tcPr>
          <w:p>
            <w:pPr>
              <w:ind w:left="360"/>
              <w:spacing w:after="0"/>
              <w:rPr>
                <w:sz w:val="20"/>
                <w:szCs w:val="20"/>
                <w:color w:val="auto"/>
              </w:rPr>
            </w:pPr>
            <w:r>
              <w:rPr>
                <w:rFonts w:ascii="Arial" w:cs="Arial" w:eastAsia="Arial" w:hAnsi="Arial"/>
                <w:sz w:val="18"/>
                <w:szCs w:val="18"/>
                <w:b w:val="1"/>
                <w:bCs w:val="1"/>
                <w:color w:val="auto"/>
              </w:rPr>
              <w:t>Three months ended July 31,</w:t>
            </w:r>
          </w:p>
        </w:tc>
        <w:tc>
          <w:tcPr>
            <w:tcW w:w="0" w:type="dxa"/>
            <w:vAlign w:val="bottom"/>
          </w:tcPr>
          <w:p>
            <w:pPr>
              <w:spacing w:after="0"/>
              <w:rPr>
                <w:sz w:val="1"/>
                <w:szCs w:val="1"/>
                <w:color w:val="auto"/>
              </w:rPr>
            </w:pPr>
          </w:p>
        </w:tc>
      </w:tr>
      <w:tr>
        <w:trPr>
          <w:trHeight w:val="176"/>
        </w:trPr>
        <w:tc>
          <w:tcPr>
            <w:tcW w:w="604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Customer</w:t>
            </w:r>
          </w:p>
        </w:tc>
        <w:tc>
          <w:tcPr>
            <w:tcW w:w="1340" w:type="dxa"/>
            <w:vAlign w:val="bottom"/>
            <w:tcBorders>
              <w:top w:val="single" w:sz="8" w:color="auto"/>
            </w:tcBorders>
          </w:tcPr>
          <w:p>
            <w:pPr>
              <w:jc w:val="right"/>
              <w:ind w:right="410"/>
              <w:spacing w:after="0" w:line="176" w:lineRule="exact"/>
              <w:rPr>
                <w:sz w:val="20"/>
                <w:szCs w:val="20"/>
                <w:color w:val="auto"/>
              </w:rPr>
            </w:pPr>
            <w:r>
              <w:rPr>
                <w:rFonts w:ascii="Arial" w:cs="Arial" w:eastAsia="Arial" w:hAnsi="Arial"/>
                <w:sz w:val="18"/>
                <w:szCs w:val="18"/>
                <w:b w:val="1"/>
                <w:bCs w:val="1"/>
                <w:color w:val="auto"/>
              </w:rPr>
              <w:t>2012</w:t>
            </w:r>
          </w:p>
        </w:tc>
        <w:tc>
          <w:tcPr>
            <w:tcW w:w="2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ind w:left="500"/>
              <w:spacing w:after="0" w:line="176" w:lineRule="exact"/>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52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US Department of Energy</w:t>
            </w:r>
          </w:p>
        </w:tc>
        <w:tc>
          <w:tcPr>
            <w:tcW w:w="158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63%</w:t>
            </w:r>
          </w:p>
        </w:tc>
        <w:tc>
          <w:tcPr>
            <w:tcW w:w="1520" w:type="dxa"/>
            <w:vAlign w:val="bottom"/>
            <w:gridSpan w:val="2"/>
            <w:shd w:val="clear" w:color="auto" w:fill="C0FFFF"/>
          </w:tcPr>
          <w:p>
            <w:pPr>
              <w:ind w:left="1180"/>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European Union (WavePort project)</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US Navy</w:t>
            </w:r>
          </w:p>
        </w:tc>
        <w:tc>
          <w:tcPr>
            <w:tcW w:w="158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6%</w:t>
            </w:r>
          </w:p>
        </w:tc>
        <w:tc>
          <w:tcPr>
            <w:tcW w:w="1520" w:type="dxa"/>
            <w:vAlign w:val="bottom"/>
            <w:gridSpan w:val="2"/>
            <w:shd w:val="clear" w:color="auto" w:fill="C0FFFF"/>
          </w:tcPr>
          <w:p>
            <w:pPr>
              <w:ind w:left="1180"/>
              <w:spacing w:after="0"/>
              <w:rPr>
                <w:sz w:val="20"/>
                <w:szCs w:val="20"/>
                <w:color w:val="auto"/>
              </w:rPr>
            </w:pPr>
            <w:r>
              <w:rPr>
                <w:rFonts w:ascii="Arial" w:cs="Arial" w:eastAsia="Arial" w:hAnsi="Arial"/>
                <w:sz w:val="18"/>
                <w:szCs w:val="18"/>
                <w:color w:val="auto"/>
                <w:w w:val="88"/>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UK Government's Technology Strategy Board</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w w:val="88"/>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Borders>
              <w:bottom w:val="single" w:sz="8" w:color="C0FFFF"/>
            </w:tcBorders>
            <w:shd w:val="clear" w:color="auto" w:fill="C0FFFF"/>
          </w:tcPr>
          <w:p>
            <w:pPr>
              <w:spacing w:after="0"/>
              <w:rPr>
                <w:sz w:val="19"/>
                <w:szCs w:val="19"/>
                <w:color w:val="auto"/>
              </w:rPr>
            </w:pPr>
          </w:p>
        </w:tc>
        <w:tc>
          <w:tcPr>
            <w:tcW w:w="5280" w:type="dxa"/>
            <w:vAlign w:val="bottom"/>
            <w:tcBorders>
              <w:bottom w:val="single" w:sz="8" w:color="C0FFFF"/>
            </w:tcBorders>
            <w:shd w:val="clear" w:color="auto" w:fill="C0FFFF"/>
          </w:tcPr>
          <w:p>
            <w:pPr>
              <w:spacing w:after="0"/>
              <w:rPr>
                <w:sz w:val="19"/>
                <w:szCs w:val="19"/>
                <w:color w:val="auto"/>
              </w:rPr>
            </w:pPr>
          </w:p>
        </w:tc>
        <w:tc>
          <w:tcPr>
            <w:tcW w:w="1340" w:type="dxa"/>
            <w:vAlign w:val="bottom"/>
            <w:tcBorders>
              <w:bottom w:val="single" w:sz="8" w:color="auto"/>
            </w:tcBorders>
            <w:shd w:val="clear" w:color="auto" w:fill="C0FFFF"/>
          </w:tcPr>
          <w:p>
            <w:pPr>
              <w:spacing w:after="0"/>
              <w:rPr>
                <w:sz w:val="19"/>
                <w:szCs w:val="19"/>
                <w:color w:val="auto"/>
              </w:rPr>
            </w:pPr>
          </w:p>
        </w:tc>
        <w:tc>
          <w:tcPr>
            <w:tcW w:w="240" w:type="dxa"/>
            <w:vAlign w:val="bottom"/>
            <w:tcBorders>
              <w:bottom w:val="single" w:sz="8" w:color="C0FFFF"/>
            </w:tcBorders>
            <w:shd w:val="clear" w:color="auto" w:fill="C0FFFF"/>
          </w:tcPr>
          <w:p>
            <w:pPr>
              <w:spacing w:after="0"/>
              <w:rPr>
                <w:sz w:val="19"/>
                <w:szCs w:val="19"/>
                <w:color w:val="auto"/>
              </w:rPr>
            </w:pPr>
          </w:p>
        </w:tc>
        <w:tc>
          <w:tcPr>
            <w:tcW w:w="1360" w:type="dxa"/>
            <w:vAlign w:val="bottom"/>
            <w:tcBorders>
              <w:bottom w:val="single" w:sz="8" w:color="auto"/>
            </w:tcBorders>
            <w:shd w:val="clear" w:color="auto" w:fill="C0FFFF"/>
          </w:tcPr>
          <w:p>
            <w:pPr>
              <w:spacing w:after="0"/>
              <w:rPr>
                <w:sz w:val="19"/>
                <w:szCs w:val="19"/>
                <w:color w:val="auto"/>
              </w:rPr>
            </w:pPr>
          </w:p>
        </w:tc>
        <w:tc>
          <w:tcPr>
            <w:tcW w:w="160" w:type="dxa"/>
            <w:vAlign w:val="bottom"/>
            <w:tcBorders>
              <w:bottom w:val="single" w:sz="8" w:color="C0FFFF"/>
            </w:tcBorders>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91%</w:t>
            </w: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w w:val="88"/>
              </w:rPr>
              <w:t>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loss of, or a significant reduction in revenues from, any of the current customers could significantly impact the Company's financial position or results of operations. The Company does not require its customers to post collateral.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Net Loss per Common Share</w:t>
      </w:r>
    </w:p>
    <w:p>
      <w:pPr>
        <w:spacing w:after="0" w:line="279"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Basic and diluted net loss per share for all periods presented is computed by dividing net loss by the weighted average number of shares of common stock outstanding during the period. Due to the Company's net losses, potentially dilutive securities, consisting of outstanding stock options and non-vested performance-based shares, were excluded from the diluted loss per share calculation due to their anti-dilutive effect.</w:t>
      </w:r>
    </w:p>
    <w:p>
      <w:pPr>
        <w:spacing w:after="0" w:line="22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computing diluted net loss per share, options to purchase shares of common stock and non-vested restricted stock issued to employees and non-employee directors, totaling 1,625,397 for the three months ended July 31, 2012, and 1,560,178 for the three months ended July 31, 2011, were excluded from the computations as the effect would be anti-dilutive due to the Company's losses.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Recently Issued Accounting Standards</w:t>
      </w:r>
    </w:p>
    <w:p>
      <w:pPr>
        <w:spacing w:after="0" w:line="2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quarter ended July 31, 2012, the Company adopted the Financial Accounting Standards Board (FASB) amendment to the disclosure requirements for presentation of comprehensive income. The amendment requires that all non-owner changes in stockholders’ equity be presented either in a single continuous statement of comprehensive income or in two separate but consecutive statements. This guidance became effective retrospectively for the interim periods and annual periods beginning after December 15, 2011; however, the FASB agreed to an indefinite deferral of the reclassification requirement. For the Consolidated Statements of Comprehensive Income see page 5.</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8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Marketable securities with initial maturities longer than three months but that mature within one year from the balance sheet date are classified as current assets and are summarized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July 31,</w:t>
            </w:r>
          </w:p>
        </w:tc>
        <w:tc>
          <w:tcPr>
            <w:tcW w:w="1440" w:type="dxa"/>
            <w:vAlign w:val="bottom"/>
            <w:gridSpan w:val="2"/>
          </w:tcPr>
          <w:p>
            <w:pPr>
              <w:ind w:left="340"/>
              <w:spacing w:after="0"/>
              <w:rPr>
                <w:sz w:val="20"/>
                <w:szCs w:val="20"/>
                <w:color w:val="auto"/>
              </w:rPr>
            </w:pPr>
            <w:r>
              <w:rPr>
                <w:rFonts w:ascii="Arial" w:cs="Arial" w:eastAsia="Arial" w:hAnsi="Arial"/>
                <w:sz w:val="18"/>
                <w:szCs w:val="18"/>
                <w:b w:val="1"/>
                <w:bCs w:val="1"/>
                <w:color w:val="auto"/>
              </w:rPr>
              <w:t>April 30,</w:t>
            </w:r>
          </w:p>
        </w:tc>
        <w:tc>
          <w:tcPr>
            <w:tcW w:w="228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0FFFF"/>
          </w:tcPr>
          <w:p>
            <w:pPr>
              <w:spacing w:after="0"/>
              <w:rPr>
                <w:sz w:val="20"/>
                <w:szCs w:val="20"/>
                <w:color w:val="auto"/>
              </w:rPr>
            </w:pPr>
            <w:r>
              <w:rPr>
                <w:rFonts w:ascii="Arial" w:cs="Arial" w:eastAsia="Arial" w:hAnsi="Arial"/>
                <w:sz w:val="18"/>
                <w:szCs w:val="18"/>
                <w:color w:val="auto"/>
              </w:rPr>
              <w:t>Certificates of deposit denominated in Australian dollars</w:t>
            </w:r>
          </w:p>
        </w:tc>
        <w:tc>
          <w:tcPr>
            <w:tcW w:w="15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356,634</w:t>
            </w:r>
          </w:p>
        </w:tc>
        <w:tc>
          <w:tcPr>
            <w:tcW w:w="14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556,437</w:t>
            </w:r>
          </w:p>
        </w:tc>
        <w:tc>
          <w:tcPr>
            <w:tcW w:w="2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Certificate of deposit denominated in US dollars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3,360,000</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3,806,808</w:t>
            </w:r>
          </w:p>
        </w:tc>
        <w:tc>
          <w:tcPr>
            <w:tcW w:w="22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40" w:type="dxa"/>
            <w:vAlign w:val="bottom"/>
            <w:shd w:val="clear" w:color="auto" w:fill="C0FFFF"/>
          </w:tcPr>
          <w:p>
            <w:pPr>
              <w:spacing w:after="0"/>
              <w:rPr>
                <w:sz w:val="20"/>
                <w:szCs w:val="20"/>
                <w:color w:val="auto"/>
              </w:rPr>
            </w:pPr>
            <w:r>
              <w:rPr>
                <w:rFonts w:ascii="Arial" w:cs="Arial" w:eastAsia="Arial" w:hAnsi="Arial"/>
                <w:sz w:val="18"/>
                <w:szCs w:val="18"/>
                <w:color w:val="auto"/>
              </w:rPr>
              <w:t>US Treasury obligations</w:t>
            </w:r>
          </w:p>
        </w:tc>
        <w:tc>
          <w:tcPr>
            <w:tcW w:w="1280" w:type="dxa"/>
            <w:vAlign w:val="bottom"/>
            <w:shd w:val="clear" w:color="auto" w:fill="C0FFFF"/>
          </w:tcPr>
          <w:p>
            <w:pPr>
              <w:spacing w:after="0"/>
              <w:rPr>
                <w:sz w:val="19"/>
                <w:szCs w:val="19"/>
                <w:color w:val="auto"/>
              </w:rPr>
            </w:pPr>
          </w:p>
        </w:tc>
        <w:tc>
          <w:tcPr>
            <w:tcW w:w="240" w:type="dxa"/>
            <w:vAlign w:val="bottom"/>
            <w:shd w:val="clear" w:color="auto" w:fill="C0FFFF"/>
          </w:tcPr>
          <w:p>
            <w:pPr>
              <w:spacing w:after="0"/>
              <w:rPr>
                <w:sz w:val="19"/>
                <w:szCs w:val="19"/>
                <w:color w:val="auto"/>
              </w:rPr>
            </w:pPr>
          </w:p>
        </w:tc>
        <w:tc>
          <w:tcPr>
            <w:tcW w:w="13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19,300,875</w:t>
            </w:r>
          </w:p>
        </w:tc>
        <w:tc>
          <w:tcPr>
            <w:tcW w:w="14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18,006,239</w:t>
            </w:r>
          </w:p>
        </w:tc>
        <w:tc>
          <w:tcPr>
            <w:tcW w:w="22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40" w:type="dxa"/>
            <w:vAlign w:val="bottom"/>
            <w:tcBorders>
              <w:top w:val="single" w:sz="8" w:color="C0FFFF"/>
            </w:tcBorders>
          </w:tcPr>
          <w:p>
            <w:pPr>
              <w:spacing w:after="0"/>
              <w:rPr>
                <w:sz w:val="18"/>
                <w:szCs w:val="18"/>
                <w:color w:val="auto"/>
              </w:rPr>
            </w:pPr>
          </w:p>
        </w:tc>
        <w:tc>
          <w:tcPr>
            <w:tcW w:w="1280" w:type="dxa"/>
            <w:vAlign w:val="bottom"/>
            <w:tcBorders>
              <w:top w:val="single" w:sz="8" w:color="C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0FFFF"/>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228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4840" w:type="dxa"/>
            <w:vAlign w:val="bottom"/>
            <w:shd w:val="clear" w:color="auto" w:fill="C0FFFF"/>
          </w:tcPr>
          <w:p>
            <w:pPr>
              <w:spacing w:after="0"/>
              <w:rPr>
                <w:sz w:val="22"/>
                <w:szCs w:val="22"/>
                <w:color w:val="auto"/>
              </w:rPr>
            </w:pPr>
          </w:p>
        </w:tc>
        <w:tc>
          <w:tcPr>
            <w:tcW w:w="15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23,017,509</w:t>
            </w:r>
          </w:p>
        </w:tc>
        <w:tc>
          <w:tcPr>
            <w:tcW w:w="14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22,369,484</w:t>
            </w:r>
          </w:p>
        </w:tc>
        <w:tc>
          <w:tcPr>
            <w:tcW w:w="2280" w:type="dxa"/>
            <w:vAlign w:val="bottom"/>
          </w:tcPr>
          <w:p>
            <w:pPr>
              <w:spacing w:after="0"/>
              <w:rPr>
                <w:sz w:val="22"/>
                <w:szCs w:val="22"/>
                <w:color w:val="auto"/>
              </w:rPr>
            </w:pPr>
          </w:p>
        </w:tc>
      </w:tr>
      <w:tr>
        <w:trPr>
          <w:trHeight w:val="655"/>
        </w:trPr>
        <w:tc>
          <w:tcPr>
            <w:tcW w:w="20" w:type="dxa"/>
            <w:vAlign w:val="bottom"/>
          </w:tcPr>
          <w:p>
            <w:pPr>
              <w:spacing w:after="0"/>
              <w:rPr>
                <w:sz w:val="24"/>
                <w:szCs w:val="24"/>
                <w:color w:val="auto"/>
              </w:rPr>
            </w:pPr>
          </w:p>
        </w:tc>
        <w:tc>
          <w:tcPr>
            <w:tcW w:w="4840" w:type="dxa"/>
            <w:vAlign w:val="bottom"/>
            <w:tcBorders>
              <w:top w:val="single" w:sz="8" w:color="C0FFFF"/>
            </w:tcBorders>
          </w:tcPr>
          <w:p>
            <w:pPr>
              <w:spacing w:after="0"/>
              <w:rPr>
                <w:sz w:val="24"/>
                <w:szCs w:val="24"/>
                <w:color w:val="auto"/>
              </w:rPr>
            </w:pPr>
          </w:p>
        </w:tc>
        <w:tc>
          <w:tcPr>
            <w:tcW w:w="1280" w:type="dxa"/>
            <w:vAlign w:val="bottom"/>
            <w:tcBorders>
              <w:top w:val="single" w:sz="8" w:color="C0FFFF"/>
            </w:tcBorders>
          </w:tcPr>
          <w:p>
            <w:pPr>
              <w:jc w:val="right"/>
              <w:ind w:right="250"/>
              <w:spacing w:after="0"/>
              <w:rPr>
                <w:sz w:val="20"/>
                <w:szCs w:val="20"/>
                <w:color w:val="auto"/>
              </w:rPr>
            </w:pPr>
            <w:r>
              <w:rPr>
                <w:rFonts w:ascii="Arial" w:cs="Arial" w:eastAsia="Arial" w:hAnsi="Arial"/>
                <w:sz w:val="18"/>
                <w:szCs w:val="18"/>
                <w:color w:val="auto"/>
              </w:rPr>
              <w:t>12</w:t>
            </w:r>
          </w:p>
        </w:tc>
        <w:tc>
          <w:tcPr>
            <w:tcW w:w="2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60" w:type="dxa"/>
            <w:vAlign w:val="bottom"/>
            <w:tcBorders>
              <w:top w:val="single" w:sz="8" w:color="C0FFFF"/>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80" w:type="dxa"/>
            <w:vAlign w:val="bottom"/>
            <w:tcBorders>
              <w:top w:val="single" w:sz="8" w:color="C0FFFF"/>
            </w:tcBorders>
          </w:tcPr>
          <w:p>
            <w:pPr>
              <w:spacing w:after="0"/>
              <w:rPr>
                <w:sz w:val="24"/>
                <w:szCs w:val="24"/>
                <w:color w:val="auto"/>
              </w:rPr>
            </w:pPr>
          </w:p>
        </w:tc>
        <w:tc>
          <w:tcPr>
            <w:tcW w:w="228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484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120" w:type="dxa"/>
            <w:vAlign w:val="bottom"/>
            <w:gridSpan w:val="4"/>
          </w:tcPr>
          <w:p>
            <w:pPr>
              <w:jc w:val="center"/>
              <w:ind w:left="7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120" w:type="dxa"/>
            <w:vAlign w:val="bottom"/>
            <w:gridSpan w:val="4"/>
          </w:tcPr>
          <w:p>
            <w:pPr>
              <w:jc w:val="center"/>
              <w:ind w:left="50"/>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700" w:type="dxa"/>
            <w:vAlign w:val="bottom"/>
            <w:gridSpan w:val="2"/>
          </w:tcPr>
          <w:p>
            <w:pPr>
              <w:jc w:val="center"/>
              <w:ind w:left="1470"/>
              <w:spacing w:after="0"/>
              <w:rPr>
                <w:sz w:val="20"/>
                <w:szCs w:val="20"/>
                <w:color w:val="auto"/>
              </w:rPr>
            </w:pPr>
            <w:r>
              <w:rPr>
                <w:rFonts w:ascii="Arial" w:cs="Arial" w:eastAsia="Arial" w:hAnsi="Arial"/>
                <w:sz w:val="18"/>
                <w:szCs w:val="18"/>
                <w:b w:val="1"/>
                <w:bCs w:val="1"/>
                <w:color w:val="auto"/>
                <w:w w:val="93"/>
              </w:rPr>
              <w:t>(Unaudited)</w:t>
            </w: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(4) Balance Sheet Detail</w:t>
            </w: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July 31, 2012</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April 30, 2012</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Accounts Receivable, net</w:t>
            </w:r>
          </w:p>
        </w:tc>
        <w:tc>
          <w:tcPr>
            <w:tcW w:w="25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26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6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1,452,053</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1,369,400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Allowance for doubtful accounts</w:t>
            </w:r>
          </w:p>
        </w:tc>
        <w:tc>
          <w:tcPr>
            <w:tcW w:w="25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(294,262)</w:t>
            </w:r>
          </w:p>
        </w:tc>
        <w:tc>
          <w:tcPr>
            <w:tcW w:w="144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(304,604)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60" w:type="dxa"/>
            <w:vAlign w:val="bottom"/>
            <w:shd w:val="clear" w:color="auto" w:fill="C0FFFF"/>
          </w:tcPr>
          <w:p>
            <w:pPr>
              <w:spacing w:after="0"/>
              <w:rPr>
                <w:sz w:val="2"/>
                <w:szCs w:val="2"/>
                <w:color w:val="auto"/>
              </w:rPr>
            </w:pPr>
          </w:p>
        </w:tc>
        <w:tc>
          <w:tcPr>
            <w:tcW w:w="2560" w:type="dxa"/>
            <w:vAlign w:val="bottom"/>
            <w:shd w:val="clear" w:color="auto" w:fill="C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1,157,791</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1,064,796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60" w:type="dxa"/>
            <w:vAlign w:val="bottom"/>
            <w:shd w:val="clear" w:color="auto" w:fill="C0FFFF"/>
          </w:tcPr>
          <w:p>
            <w:pPr>
              <w:spacing w:after="0"/>
              <w:rPr>
                <w:sz w:val="18"/>
                <w:szCs w:val="18"/>
                <w:color w:val="auto"/>
              </w:rPr>
            </w:pPr>
          </w:p>
        </w:tc>
        <w:tc>
          <w:tcPr>
            <w:tcW w:w="25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26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6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Property and Equipment</w:t>
            </w:r>
          </w:p>
        </w:tc>
        <w:tc>
          <w:tcPr>
            <w:tcW w:w="270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2,459,440</w:t>
            </w:r>
          </w:p>
        </w:tc>
        <w:tc>
          <w:tcPr>
            <w:tcW w:w="16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2,213,820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w w:val="97"/>
              </w:rPr>
              <w:t>Accumulated depreciation and amortization</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(1,579,422)</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(1,530,887)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560" w:type="dxa"/>
            <w:vAlign w:val="bottom"/>
            <w:shd w:val="clear" w:color="auto" w:fill="C0FFFF"/>
          </w:tcPr>
          <w:p>
            <w:pPr>
              <w:spacing w:after="0"/>
              <w:rPr>
                <w:sz w:val="22"/>
                <w:szCs w:val="22"/>
                <w:color w:val="auto"/>
              </w:rPr>
            </w:pPr>
          </w:p>
        </w:tc>
        <w:tc>
          <w:tcPr>
            <w:tcW w:w="270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880,018</w:t>
            </w:r>
          </w:p>
        </w:tc>
        <w:tc>
          <w:tcPr>
            <w:tcW w:w="14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682,933</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60" w:type="dxa"/>
            <w:vAlign w:val="bottom"/>
            <w:tcBorders>
              <w:top w:val="single" w:sz="8" w:color="C0FFFF"/>
            </w:tcBorders>
          </w:tcPr>
          <w:p>
            <w:pPr>
              <w:spacing w:after="0"/>
              <w:rPr>
                <w:sz w:val="18"/>
                <w:szCs w:val="18"/>
                <w:color w:val="auto"/>
              </w:rPr>
            </w:pPr>
          </w:p>
        </w:tc>
        <w:tc>
          <w:tcPr>
            <w:tcW w:w="2560" w:type="dxa"/>
            <w:vAlign w:val="bottom"/>
            <w:tcBorders>
              <w:top w:val="single" w:sz="8" w:color="C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Borders>
              <w:top w:val="single" w:sz="8" w:color="C0FFFF"/>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Patents</w:t>
            </w:r>
          </w:p>
        </w:tc>
        <w:tc>
          <w:tcPr>
            <w:tcW w:w="25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26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6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Patents</w:t>
            </w:r>
          </w:p>
        </w:tc>
        <w:tc>
          <w:tcPr>
            <w:tcW w:w="2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1,574,044</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1,574,044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Accumulated amortization</w:t>
            </w:r>
          </w:p>
        </w:tc>
        <w:tc>
          <w:tcPr>
            <w:tcW w:w="25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(358,796)</w:t>
            </w:r>
          </w:p>
        </w:tc>
        <w:tc>
          <w:tcPr>
            <w:tcW w:w="144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(304,587)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60" w:type="dxa"/>
            <w:vAlign w:val="bottom"/>
            <w:shd w:val="clear" w:color="auto" w:fill="C0FFFF"/>
          </w:tcPr>
          <w:p>
            <w:pPr>
              <w:spacing w:after="0"/>
              <w:rPr>
                <w:sz w:val="2"/>
                <w:szCs w:val="2"/>
                <w:color w:val="auto"/>
              </w:rPr>
            </w:pPr>
          </w:p>
        </w:tc>
        <w:tc>
          <w:tcPr>
            <w:tcW w:w="2560" w:type="dxa"/>
            <w:vAlign w:val="bottom"/>
            <w:shd w:val="clear" w:color="auto" w:fill="C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1,215,248</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1,269,457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0FFFF"/>
          </w:tcPr>
          <w:p>
            <w:pPr>
              <w:spacing w:after="0"/>
              <w:rPr>
                <w:sz w:val="18"/>
                <w:szCs w:val="18"/>
                <w:color w:val="auto"/>
              </w:rPr>
            </w:pPr>
          </w:p>
        </w:tc>
        <w:tc>
          <w:tcPr>
            <w:tcW w:w="25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26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6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Accrued Expenses</w:t>
            </w:r>
          </w:p>
        </w:tc>
        <w:tc>
          <w:tcPr>
            <w:tcW w:w="25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26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6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Project costs</w:t>
            </w:r>
          </w:p>
        </w:tc>
        <w:tc>
          <w:tcPr>
            <w:tcW w:w="2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1,025,521</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244,892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Contract loss reserves</w:t>
            </w:r>
          </w:p>
        </w:tc>
        <w:tc>
          <w:tcPr>
            <w:tcW w:w="25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785,000</w:t>
            </w:r>
          </w:p>
        </w:tc>
        <w:tc>
          <w:tcPr>
            <w:tcW w:w="14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785,000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Employee incentive payments</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165,083</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661,328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Other</w:t>
            </w:r>
          </w:p>
        </w:tc>
        <w:tc>
          <w:tcPr>
            <w:tcW w:w="25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224,277</w:t>
            </w:r>
          </w:p>
        </w:tc>
        <w:tc>
          <w:tcPr>
            <w:tcW w:w="14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185,320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Employee-related costs</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439,840</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354,966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Payroll tax withholdings</w:t>
            </w:r>
          </w:p>
        </w:tc>
        <w:tc>
          <w:tcPr>
            <w:tcW w:w="25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156,626</w:t>
            </w:r>
          </w:p>
        </w:tc>
        <w:tc>
          <w:tcPr>
            <w:tcW w:w="14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166,092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Investment in joint venture</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163,216</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176,110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Legal and accounting fees</w:t>
            </w:r>
          </w:p>
        </w:tc>
        <w:tc>
          <w:tcPr>
            <w:tcW w:w="25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209,678</w:t>
            </w:r>
          </w:p>
        </w:tc>
        <w:tc>
          <w:tcPr>
            <w:tcW w:w="14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193,720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Value-added tax</w:t>
            </w:r>
          </w:p>
        </w:tc>
        <w:tc>
          <w:tcPr>
            <w:tcW w:w="2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7,590</w:t>
            </w:r>
          </w:p>
        </w:tc>
        <w:tc>
          <w:tcPr>
            <w:tcW w:w="16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2,666</w:t>
            </w:r>
          </w:p>
        </w:tc>
        <w:tc>
          <w:tcPr>
            <w:tcW w:w="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60" w:type="dxa"/>
            <w:vAlign w:val="bottom"/>
            <w:shd w:val="clear" w:color="auto" w:fill="C0FFFF"/>
          </w:tcPr>
          <w:p>
            <w:pPr>
              <w:spacing w:after="0"/>
              <w:rPr>
                <w:sz w:val="22"/>
                <w:szCs w:val="22"/>
                <w:color w:val="auto"/>
              </w:rPr>
            </w:pPr>
          </w:p>
        </w:tc>
        <w:tc>
          <w:tcPr>
            <w:tcW w:w="270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3,176,831</w:t>
            </w:r>
          </w:p>
        </w:tc>
        <w:tc>
          <w:tcPr>
            <w:tcW w:w="160" w:type="dxa"/>
            <w:vAlign w:val="bottom"/>
            <w:shd w:val="clear" w:color="auto" w:fill="C0FFFF"/>
          </w:tcPr>
          <w:p>
            <w:pPr>
              <w:spacing w:after="0"/>
              <w:rPr>
                <w:sz w:val="22"/>
                <w:szCs w:val="22"/>
                <w:color w:val="auto"/>
              </w:rPr>
            </w:pPr>
          </w:p>
        </w:tc>
        <w:tc>
          <w:tcPr>
            <w:tcW w:w="14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2,770,094</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3560" w:type="dxa"/>
            <w:vAlign w:val="bottom"/>
            <w:tcBorders>
              <w:top w:val="single" w:sz="8" w:color="C0FFFF"/>
            </w:tcBorders>
          </w:tcPr>
          <w:p>
            <w:pPr>
              <w:spacing w:after="0"/>
              <w:rPr>
                <w:sz w:val="24"/>
                <w:szCs w:val="24"/>
                <w:color w:val="auto"/>
              </w:rPr>
            </w:pPr>
          </w:p>
        </w:tc>
        <w:tc>
          <w:tcPr>
            <w:tcW w:w="2560" w:type="dxa"/>
            <w:vAlign w:val="bottom"/>
            <w:tcBorders>
              <w:top w:val="single" w:sz="8" w:color="C0FFFF"/>
            </w:tcBorders>
          </w:tcPr>
          <w:p>
            <w:pPr>
              <w:jc w:val="center"/>
              <w:ind w:left="1610"/>
              <w:spacing w:after="0"/>
              <w:rPr>
                <w:sz w:val="20"/>
                <w:szCs w:val="20"/>
                <w:color w:val="auto"/>
              </w:rPr>
            </w:pPr>
            <w:r>
              <w:rPr>
                <w:rFonts w:ascii="Arial" w:cs="Arial" w:eastAsia="Arial" w:hAnsi="Arial"/>
                <w:sz w:val="18"/>
                <w:szCs w:val="18"/>
                <w:color w:val="auto"/>
                <w:w w:val="89"/>
              </w:rPr>
              <w:t>13</w:t>
            </w:r>
          </w:p>
        </w:tc>
        <w:tc>
          <w:tcPr>
            <w:tcW w:w="1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60" w:type="dxa"/>
            <w:vAlign w:val="bottom"/>
            <w:tcBorders>
              <w:top w:val="single" w:sz="8" w:color="C0FFFF"/>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80" w:type="dxa"/>
            <w:vAlign w:val="bottom"/>
            <w:tcBorders>
              <w:top w:val="single" w:sz="8" w:color="C0FFFF"/>
            </w:tcBorders>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6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14" w:name="page15"/>
    <w:bookmarkEnd w:id="14"/>
    <w:p>
      <w:pPr>
        <w:jc w:val="center"/>
        <w:ind w:right="-59"/>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 Party Transactions</w:t>
      </w:r>
    </w:p>
    <w:p>
      <w:pPr>
        <w:spacing w:after="0" w:line="283"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In August 1999, the Company entered into a consulting agreement with an individual for the provision of marketing services. Currently, this agreement provides for fees at a rate of $950 per day of services provided. The individual became a member of the board of directors in June 2006. In addition, this individual is also the chief executive officer of a company that provides engineering and technical services to the Company. The Company also provides services to the company where this individual is the chief executive officer.</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 July 31,</w:t>
            </w: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0FFFF"/>
          </w:tcPr>
          <w:p>
            <w:pPr>
              <w:spacing w:after="0"/>
              <w:rPr>
                <w:sz w:val="20"/>
                <w:szCs w:val="20"/>
                <w:color w:val="auto"/>
              </w:rPr>
            </w:pPr>
            <w:r>
              <w:rPr>
                <w:rFonts w:ascii="Arial" w:cs="Arial" w:eastAsia="Arial" w:hAnsi="Arial"/>
                <w:sz w:val="18"/>
                <w:szCs w:val="18"/>
                <w:color w:val="auto"/>
              </w:rPr>
              <w:t>Related party consulting expense</w:t>
            </w:r>
          </w:p>
        </w:tc>
        <w:tc>
          <w:tcPr>
            <w:tcW w:w="1880" w:type="dxa"/>
            <w:vAlign w:val="bottom"/>
            <w:gridSpan w:val="2"/>
            <w:shd w:val="clear" w:color="auto" w:fill="C0FFFF"/>
          </w:tcPr>
          <w:p>
            <w:pPr>
              <w:jc w:val="right"/>
              <w:ind w:right="71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w w:val="90"/>
              </w:rPr>
              <w:t>21,000</w:t>
            </w:r>
          </w:p>
        </w:tc>
        <w:tc>
          <w:tcPr>
            <w:tcW w:w="14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21,000</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Expenses for services provided by related party company</w:t>
            </w: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22,000</w:t>
            </w:r>
          </w:p>
        </w:tc>
      </w:tr>
      <w:tr>
        <w:trPr>
          <w:trHeight w:val="216"/>
        </w:trPr>
        <w:tc>
          <w:tcPr>
            <w:tcW w:w="20" w:type="dxa"/>
            <w:vAlign w:val="bottom"/>
          </w:tcPr>
          <w:p>
            <w:pPr>
              <w:spacing w:after="0"/>
              <w:rPr>
                <w:sz w:val="18"/>
                <w:szCs w:val="18"/>
                <w:color w:val="auto"/>
              </w:rPr>
            </w:pPr>
          </w:p>
        </w:tc>
        <w:tc>
          <w:tcPr>
            <w:tcW w:w="5120" w:type="dxa"/>
            <w:vAlign w:val="bottom"/>
            <w:shd w:val="clear" w:color="auto" w:fill="C0FFFF"/>
          </w:tcPr>
          <w:p>
            <w:pPr>
              <w:spacing w:after="0"/>
              <w:rPr>
                <w:sz w:val="20"/>
                <w:szCs w:val="20"/>
                <w:color w:val="auto"/>
              </w:rPr>
            </w:pPr>
            <w:r>
              <w:rPr>
                <w:rFonts w:ascii="Arial" w:cs="Arial" w:eastAsia="Arial" w:hAnsi="Arial"/>
                <w:sz w:val="18"/>
                <w:szCs w:val="18"/>
                <w:color w:val="auto"/>
              </w:rPr>
              <w:t>Revenue for services provided to related party company</w:t>
            </w:r>
          </w:p>
        </w:tc>
        <w:tc>
          <w:tcPr>
            <w:tcW w:w="1000" w:type="dxa"/>
            <w:vAlign w:val="bottom"/>
            <w:shd w:val="clear" w:color="auto" w:fill="C0FFFF"/>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6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w w:val="90"/>
              </w:rPr>
              <w:t>17,000</w:t>
            </w:r>
          </w:p>
        </w:tc>
        <w:tc>
          <w:tcPr>
            <w:tcW w:w="14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16,000</w:t>
            </w: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July 31, 2012</w:t>
            </w: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30,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0FFFF"/>
          </w:tcPr>
          <w:p>
            <w:pPr>
              <w:spacing w:after="0"/>
              <w:rPr>
                <w:sz w:val="20"/>
                <w:szCs w:val="20"/>
                <w:color w:val="auto"/>
              </w:rPr>
            </w:pPr>
            <w:r>
              <w:rPr>
                <w:rFonts w:ascii="Arial" w:cs="Arial" w:eastAsia="Arial" w:hAnsi="Arial"/>
                <w:sz w:val="18"/>
                <w:szCs w:val="18"/>
                <w:color w:val="auto"/>
              </w:rPr>
              <w:t>Consulting fees payable to related party</w:t>
            </w:r>
          </w:p>
        </w:tc>
        <w:tc>
          <w:tcPr>
            <w:tcW w:w="178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7,000</w:t>
            </w:r>
          </w:p>
        </w:tc>
        <w:tc>
          <w:tcPr>
            <w:tcW w:w="14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Payable to related party company</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0FFFF"/>
          </w:tcPr>
          <w:p>
            <w:pPr>
              <w:spacing w:after="0"/>
              <w:rPr>
                <w:sz w:val="20"/>
                <w:szCs w:val="20"/>
                <w:color w:val="auto"/>
              </w:rPr>
            </w:pPr>
            <w:r>
              <w:rPr>
                <w:rFonts w:ascii="Arial" w:cs="Arial" w:eastAsia="Arial" w:hAnsi="Arial"/>
                <w:sz w:val="18"/>
                <w:szCs w:val="18"/>
                <w:color w:val="auto"/>
              </w:rPr>
              <w:t>Receivable from related party company</w:t>
            </w:r>
          </w:p>
        </w:tc>
        <w:tc>
          <w:tcPr>
            <w:tcW w:w="16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13,000</w:t>
            </w:r>
          </w:p>
        </w:tc>
        <w:tc>
          <w:tcPr>
            <w:tcW w:w="14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6"/>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(6) Debt</w:t>
            </w: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was awarded a recoverable grant totaling $500,000 from the NJBPU under the Renewable Energy Business Venture Assistance Program. Under the terms of this agreement, the amount to be repaid is a fixed monthly amount of principal only, repayable over a five-year period beginning in November 2011. As of both July 31, 2012 and April 30, 2012, $100,000 was included in the current portion of long-term debt on the accompanying consolidated balance sheets. The terms also required the Company to assign to the NJBPU a certificate of deposit in an amount equal to the outstanding grant balance. See Note 2(c).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Deferred Credits Payable and Deferred Credits</w:t>
      </w:r>
    </w:p>
    <w:p>
      <w:pPr>
        <w:spacing w:after="0" w:line="28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During the year ended April 30, 2001, in connection with the sale of common stock to an investor, the Company received $600,000 from the investor in exchange for an option to purchase up to 500,000 metric tons of carbon emissions credits generated by the Company during the years 2008 through 2012, at a 30% discount from the then-prevailing market rate. This amount has been recorded as deferred credits payable in the accompanying consolidated balance sheets as of July 31, 2012 and April 30, 2012, respectively. If the Company does not become entitled under applicable laws to the full amount of emission credits covered by the option by December 31, 2012, the Company is obligated to return the option fee of $600,000, less the aggregate discount on any emission credits sold to the investor prior to such date. If the Company receives emission credits under applicable laws and fails to sell to the investor the credits up to the full amount of emission credits covered by the option, the investor is entitled to liquidated damages equal to 30% of the aggregate market value of the shortfall in emission credits (subject to a limit on the market price of emission credits). As of July 31, 2012, the Company has not generated any emissions credits eligible for purchase under the agreement and the Company does not expect to generate any eligible emissions credits before December 31, 2012. Accordingly, this amount has been classified as a current liability as of July 31, 2012 and April 30, 2012.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8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Costs resulting from all stock-based payment transactions are recognized in the consolidated financial statements at their fair values. Compensation cost for the portion of the awards for which the requisite service had not been rendered that were outstanding as of May 1, 2006 is being recognized in the consolidated statements of operations over the remaining service period after such date based on the award's original estimated fair value. The aggregate stock-based compensation expense related to all stock-based transactions recorded in the consolidated statements of operations was approximately $387,000 and $371,000 for the three months ended July 31, 2012 and 2011, respectively.</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67" w:right="27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Stock Options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Assumptions for Options Granted During the Three Months Ended July 31, 2012 and 2011</w:t>
      </w:r>
    </w:p>
    <w:p>
      <w:pPr>
        <w:spacing w:after="0" w:line="28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The fair value of each stock option granted, for both service-based and performance-based vesting requirements, during the three months ended July 31, 2012 and 2011 was estimated at the date of grant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was estimated using the "simplified" method as permitted by the SEC's Staff Accounting Bulletin No. 107,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Expected volatility was based on historical volatility for a peer group of companies for a period equal to the stock option's expected life, calculated on a daily basis.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310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Three Months Ended July 31,</w:t>
            </w: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0FFFF"/>
          </w:tcPr>
          <w:p>
            <w:pPr>
              <w:spacing w:after="0"/>
              <w:rPr>
                <w:sz w:val="20"/>
                <w:szCs w:val="20"/>
                <w:color w:val="auto"/>
              </w:rPr>
            </w:pPr>
            <w:r>
              <w:rPr>
                <w:rFonts w:ascii="Arial" w:cs="Arial" w:eastAsia="Arial" w:hAnsi="Arial"/>
                <w:sz w:val="18"/>
                <w:szCs w:val="18"/>
                <w:color w:val="auto"/>
              </w:rPr>
              <w:t>Risk-free interest rate</w:t>
            </w:r>
          </w:p>
        </w:tc>
        <w:tc>
          <w:tcPr>
            <w:tcW w:w="158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0.9%</w:t>
            </w:r>
          </w:p>
        </w:tc>
        <w:tc>
          <w:tcPr>
            <w:tcW w:w="152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20" w:type="dxa"/>
            <w:vAlign w:val="bottom"/>
          </w:tcPr>
          <w:p>
            <w:pPr>
              <w:spacing w:after="0"/>
              <w:rPr>
                <w:sz w:val="18"/>
                <w:szCs w:val="18"/>
                <w:color w:val="auto"/>
              </w:rPr>
            </w:pPr>
          </w:p>
        </w:tc>
        <w:tc>
          <w:tcPr>
            <w:tcW w:w="6020" w:type="dxa"/>
            <w:vAlign w:val="bottom"/>
            <w:shd w:val="clear" w:color="auto" w:fill="C0FFFF"/>
          </w:tcPr>
          <w:p>
            <w:pPr>
              <w:spacing w:after="0"/>
              <w:rPr>
                <w:sz w:val="20"/>
                <w:szCs w:val="20"/>
                <w:color w:val="auto"/>
              </w:rPr>
            </w:pPr>
            <w:r>
              <w:rPr>
                <w:rFonts w:ascii="Arial" w:cs="Arial" w:eastAsia="Arial" w:hAnsi="Arial"/>
                <w:sz w:val="18"/>
                <w:szCs w:val="18"/>
                <w:color w:val="auto"/>
              </w:rPr>
              <w:t>Expected life</w:t>
            </w:r>
          </w:p>
        </w:tc>
        <w:tc>
          <w:tcPr>
            <w:tcW w:w="158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6.3 years</w:t>
            </w:r>
          </w:p>
        </w:tc>
        <w:tc>
          <w:tcPr>
            <w:tcW w:w="15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6.3 years</w:t>
            </w:r>
          </w:p>
        </w:tc>
      </w:tr>
      <w:tr>
        <w:trPr>
          <w:trHeight w:val="230"/>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Expected volatility</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86.15%</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r>
    </w:tbl>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above assumptions were used to determine the weighted average per share fair value of $1.46 and $3.15 for stock options granted during the three months ended July 31, 2012 and 2011, respectively.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A summary of stock options under the plans is as follows:</w:t>
            </w: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68"/>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Weighted</w:t>
            </w:r>
          </w:p>
        </w:tc>
        <w:tc>
          <w:tcPr>
            <w:tcW w:w="14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w:t>
            </w:r>
          </w:p>
        </w:tc>
        <w:tc>
          <w:tcPr>
            <w:tcW w:w="24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Average</w:t>
            </w:r>
          </w:p>
        </w:tc>
        <w:tc>
          <w:tcPr>
            <w:tcW w:w="14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Contractual</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Underlying</w:t>
            </w:r>
          </w:p>
        </w:tc>
        <w:tc>
          <w:tcPr>
            <w:tcW w:w="24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Exercise</w:t>
            </w:r>
          </w:p>
        </w:tc>
        <w:tc>
          <w:tcPr>
            <w:tcW w:w="14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Term</w:t>
            </w:r>
          </w:p>
        </w:tc>
      </w:t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Price</w:t>
            </w:r>
          </w:p>
        </w:tc>
        <w:tc>
          <w:tcPr>
            <w:tcW w:w="16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 Years)</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0FFFF"/>
          </w:tcPr>
          <w:p>
            <w:pPr>
              <w:spacing w:after="0"/>
              <w:rPr>
                <w:sz w:val="20"/>
                <w:szCs w:val="20"/>
                <w:color w:val="auto"/>
              </w:rPr>
            </w:pPr>
            <w:r>
              <w:rPr>
                <w:rFonts w:ascii="Arial" w:cs="Arial" w:eastAsia="Arial" w:hAnsi="Arial"/>
                <w:sz w:val="18"/>
                <w:szCs w:val="18"/>
                <w:color w:val="auto"/>
              </w:rPr>
              <w:t>Outstanding as of April 30, 2012</w:t>
            </w:r>
          </w:p>
        </w:tc>
        <w:tc>
          <w:tcPr>
            <w:tcW w:w="13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1,353,473</w:t>
            </w:r>
          </w:p>
        </w:tc>
        <w:tc>
          <w:tcPr>
            <w:tcW w:w="180" w:type="dxa"/>
            <w:vAlign w:val="bottom"/>
            <w:shd w:val="clear" w:color="auto" w:fill="C0FFFF"/>
          </w:tcPr>
          <w:p>
            <w:pPr>
              <w:spacing w:after="0"/>
              <w:rPr>
                <w:sz w:val="18"/>
                <w:szCs w:val="18"/>
                <w:color w:val="auto"/>
              </w:rPr>
            </w:pPr>
          </w:p>
        </w:tc>
        <w:tc>
          <w:tcPr>
            <w:tcW w:w="24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8.92</w:t>
            </w:r>
          </w:p>
        </w:tc>
        <w:tc>
          <w:tcPr>
            <w:tcW w:w="136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Forfeited</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(38,813)</w:t>
            </w: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6.85</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0FFFF"/>
          </w:tcPr>
          <w:p>
            <w:pPr>
              <w:spacing w:after="0"/>
              <w:rPr>
                <w:sz w:val="20"/>
                <w:szCs w:val="20"/>
                <w:color w:val="auto"/>
              </w:rPr>
            </w:pPr>
            <w:r>
              <w:rPr>
                <w:rFonts w:ascii="Arial" w:cs="Arial" w:eastAsia="Arial" w:hAnsi="Arial"/>
                <w:sz w:val="18"/>
                <w:szCs w:val="18"/>
                <w:color w:val="auto"/>
              </w:rPr>
              <w:t>Exercised</w:t>
            </w:r>
          </w:p>
        </w:tc>
        <w:tc>
          <w:tcPr>
            <w:tcW w:w="156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0FFFF"/>
          </w:tcPr>
          <w:p>
            <w:pPr>
              <w:spacing w:after="0"/>
              <w:rPr>
                <w:sz w:val="18"/>
                <w:szCs w:val="18"/>
                <w:color w:val="auto"/>
              </w:rPr>
            </w:pPr>
          </w:p>
        </w:tc>
        <w:tc>
          <w:tcPr>
            <w:tcW w:w="13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233,896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1.79</w:t>
            </w: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56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Outstanding as of July 31, 2012</w:t>
            </w:r>
          </w:p>
        </w:tc>
        <w:tc>
          <w:tcPr>
            <w:tcW w:w="13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1,548,556</w:t>
            </w:r>
          </w:p>
        </w:tc>
        <w:tc>
          <w:tcPr>
            <w:tcW w:w="180" w:type="dxa"/>
            <w:vAlign w:val="bottom"/>
            <w:tcBorders>
              <w:bottom w:val="single" w:sz="8" w:color="C0FFFF"/>
            </w:tcBorders>
            <w:shd w:val="clear" w:color="auto" w:fill="C0FFFF"/>
          </w:tcPr>
          <w:p>
            <w:pPr>
              <w:spacing w:after="0"/>
              <w:rPr>
                <w:sz w:val="22"/>
                <w:szCs w:val="22"/>
                <w:color w:val="auto"/>
              </w:rPr>
            </w:pPr>
          </w:p>
        </w:tc>
        <w:tc>
          <w:tcPr>
            <w:tcW w:w="240" w:type="dxa"/>
            <w:vAlign w:val="bottom"/>
            <w:tcBorders>
              <w:bottom w:val="single" w:sz="8" w:color="C0FFFF"/>
            </w:tcBorders>
            <w:shd w:val="clear" w:color="auto" w:fill="C0FFFF"/>
          </w:tcPr>
          <w:p>
            <w:pPr>
              <w:spacing w:after="0"/>
              <w:rPr>
                <w:sz w:val="22"/>
                <w:szCs w:val="22"/>
                <w:color w:val="auto"/>
              </w:rPr>
            </w:pPr>
          </w:p>
        </w:tc>
        <w:tc>
          <w:tcPr>
            <w:tcW w:w="1320" w:type="dxa"/>
            <w:vAlign w:val="bottom"/>
            <w:tcBorders>
              <w:bottom w:val="single" w:sz="8" w:color="C0FFFF"/>
            </w:tcBorders>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7.89</w:t>
            </w:r>
          </w:p>
        </w:tc>
        <w:tc>
          <w:tcPr>
            <w:tcW w:w="1440" w:type="dxa"/>
            <w:vAlign w:val="bottom"/>
            <w:tcBorders>
              <w:bottom w:val="single" w:sz="8" w:color="C0FFFF"/>
            </w:tcBorders>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6.4</w:t>
            </w: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Exercisable as of July 31, 2012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930,251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10.50</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r>
      <w:tr>
        <w:trPr>
          <w:trHeight w:val="21"/>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total intrinsic value of outstanding and exercisable options as of July 31, 2012 was approximately $144,000. As of July 31, 2012, approximately 618,000 additional options are expected to vest in the future, which options had approximately $144,000 of intrinsic value and a weighted average remaining contractual term of 8.7 years. There was approximately $372,000 and $316,000 of total recognized compensation cost related to stock options for the three months ended July 31, 2012 and 2011, respectively. As of July 31, 2012, there was approximately $1,461,000 of total unrecognized compensation cost related to non-vested stock options granted under the plans. This cost is expected to be recognized over a weighted-average period of 3.0 years. The Company normally issues new shares to satisfy option exercises under these plans. During the three months ended July 31, 2012, stock options granted included 25,128 stock options which are subject to performance-based vesting requirements. Stock options outstanding as of July 31, 2012 included 38,894 stock options subject to performance-based vesting requirements.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Restricted Stock</w:t>
      </w:r>
    </w:p>
    <w:p>
      <w:pPr>
        <w:spacing w:after="0" w:line="27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Compensation expense for non-vested restricted stock was historically recorded based on its market value on the date of grant and recognized over the associated service and performance period. During the three months ended July 31, 2012, there were 18,000 shares of non-vested restricted stock granted to employees with performance-based vesting requirements. During the three months ended July 31, 2012, 19,950 shares of non-vested restricted stock subject to performance-based vesting requirements were forfeited in accordance with performance objectives. Restricted stock issued and unvested at July 31, 2012 included 52,000 shares of non-vested restricted stock subject to performance-based vesting requirements.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rPr>
              <w:t>A summary of non-vested restricted stock under the plans is as follows:</w:t>
            </w: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Price per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of Shares</w:t>
            </w:r>
          </w:p>
        </w:tc>
        <w:tc>
          <w:tcPr>
            <w:tcW w:w="20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Share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0FFFF"/>
          </w:tcPr>
          <w:p>
            <w:pPr>
              <w:spacing w:after="0"/>
              <w:rPr>
                <w:sz w:val="20"/>
                <w:szCs w:val="20"/>
                <w:color w:val="auto"/>
              </w:rPr>
            </w:pPr>
            <w:r>
              <w:rPr>
                <w:rFonts w:ascii="Arial" w:cs="Arial" w:eastAsia="Arial" w:hAnsi="Arial"/>
                <w:sz w:val="18"/>
                <w:szCs w:val="18"/>
                <w:color w:val="auto"/>
              </w:rPr>
              <w:t>Issued and unvested at April 30, 2012</w:t>
            </w:r>
          </w:p>
        </w:tc>
        <w:tc>
          <w:tcPr>
            <w:tcW w:w="156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93,840</w:t>
            </w:r>
          </w:p>
        </w:tc>
        <w:tc>
          <w:tcPr>
            <w:tcW w:w="200" w:type="dxa"/>
            <w:vAlign w:val="bottom"/>
            <w:shd w:val="clear" w:color="auto" w:fill="C0FFFF"/>
          </w:tcPr>
          <w:p>
            <w:pPr>
              <w:jc w:val="right"/>
              <w:ind w:right="4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18,000</w:t>
            </w:r>
          </w:p>
        </w:tc>
        <w:tc>
          <w:tcPr>
            <w:tcW w:w="2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0FFFF"/>
          </w:tcPr>
          <w:p>
            <w:pPr>
              <w:spacing w:after="0"/>
              <w:rPr>
                <w:sz w:val="20"/>
                <w:szCs w:val="20"/>
                <w:color w:val="auto"/>
              </w:rPr>
            </w:pPr>
            <w:r>
              <w:rPr>
                <w:rFonts w:ascii="Arial" w:cs="Arial" w:eastAsia="Arial" w:hAnsi="Arial"/>
                <w:sz w:val="18"/>
                <w:szCs w:val="18"/>
                <w:color w:val="auto"/>
              </w:rPr>
              <w:t>Forfeited</w:t>
            </w:r>
          </w:p>
        </w:tc>
        <w:tc>
          <w:tcPr>
            <w:tcW w:w="15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(19,950)</w:t>
            </w:r>
          </w:p>
        </w:tc>
        <w:tc>
          <w:tcPr>
            <w:tcW w:w="200" w:type="dxa"/>
            <w:vAlign w:val="bottom"/>
            <w:shd w:val="clear" w:color="auto" w:fill="C0FFFF"/>
          </w:tcPr>
          <w:p>
            <w:pPr>
              <w:spacing w:after="0"/>
              <w:rPr>
                <w:sz w:val="18"/>
                <w:szCs w:val="18"/>
                <w:color w:val="auto"/>
              </w:rPr>
            </w:pPr>
          </w:p>
        </w:tc>
        <w:tc>
          <w:tcPr>
            <w:tcW w:w="12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Vested</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(15,049)</w:t>
            </w:r>
          </w:p>
        </w:tc>
        <w:tc>
          <w:tcPr>
            <w:tcW w:w="2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12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Issued and unvested at July 31, 2012</w:t>
            </w:r>
          </w:p>
        </w:tc>
        <w:tc>
          <w:tcPr>
            <w:tcW w:w="1380" w:type="dxa"/>
            <w:vAlign w:val="bottom"/>
            <w:tcBorders>
              <w:top w:val="single" w:sz="8" w:color="auto"/>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76,841</w:t>
            </w:r>
          </w:p>
        </w:tc>
        <w:tc>
          <w:tcPr>
            <w:tcW w:w="180" w:type="dxa"/>
            <w:vAlign w:val="bottom"/>
            <w:tcBorders>
              <w:bottom w:val="single" w:sz="8" w:color="C0FFFF"/>
            </w:tcBorders>
            <w:shd w:val="clear" w:color="auto" w:fill="C0FFFF"/>
          </w:tcPr>
          <w:p>
            <w:pPr>
              <w:spacing w:after="0"/>
              <w:rPr>
                <w:sz w:val="22"/>
                <w:szCs w:val="22"/>
                <w:color w:val="auto"/>
              </w:rPr>
            </w:pPr>
          </w:p>
        </w:tc>
        <w:tc>
          <w:tcPr>
            <w:tcW w:w="200" w:type="dxa"/>
            <w:vAlign w:val="bottom"/>
            <w:tcBorders>
              <w:bottom w:val="single" w:sz="8" w:color="C0FFFF"/>
            </w:tcBorders>
            <w:shd w:val="clear" w:color="auto" w:fill="C0FFFF"/>
          </w:tcPr>
          <w:p>
            <w:pPr>
              <w:spacing w:after="0"/>
              <w:rPr>
                <w:sz w:val="22"/>
                <w:szCs w:val="22"/>
                <w:color w:val="auto"/>
              </w:rPr>
            </w:pPr>
          </w:p>
        </w:tc>
        <w:tc>
          <w:tcPr>
            <w:tcW w:w="1240" w:type="dxa"/>
            <w:vAlign w:val="bottom"/>
            <w:tcBorders>
              <w:bottom w:val="single" w:sz="8" w:color="C0FFFF"/>
            </w:tcBorders>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There was approximately $15,000 and $54,000 of total recognized compensation cost related to restricted stock for the three months ended July 31, 2012 and 2011, respectively. As of July 31, 2012, there was approximately $65,000 of total unrecognized compensation cost related to non-vested restricted stock granted under the plans. This cost is expected to be recognized over a weighted average period of 2.8 years.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(c)Treasury Stock</w:t>
      </w:r>
    </w:p>
    <w:p>
      <w:pPr>
        <w:spacing w:after="0" w:line="27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During the three months ended July 31, 2012 and 2011, 4,274 and 5,800 shares, respectively, of common stock were purchased by the Company from employees to pay taxes related to the vesting of restricted stock.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is involved from time to time in certain legal actions arising in the ordinary course of business. Management believes that the outcome of such actions will not have a material adverse effect on the Company's financial position or 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Spain Construction Agreement</w:t>
      </w:r>
    </w:p>
    <w:p>
      <w:pPr>
        <w:spacing w:after="0" w:line="2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is currently engaged with Iberdrola Cantabria in discussions regarding modifications to its agreement for the first phase of the construction of a wave power project off the coast of Spain. This first phase was due to be completed by December 31, 2009. If no modification is agreed to by the parties, the customer may, subject to certain conditions in the agreement, terminate the agreement and would not be obligated to make any more milestone payments. The agreement also provides that the customer may seek reimbursement for direct damages only, limited to amounts specified in the agreement, if the Company is in default of its obligations under the agreement. As of July 31, 2012, the Company does not believe that the outcome of this matter will have a material adverse effect on the Company's financial position or results of operations. See Note 1.</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67" w:right="2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8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Company did not recognize any consolidated income tax benefit (expense) for the three month periods ended July 31, 2012 and 2011. The Company has recorded a valuation allowance to reduce its net deferred tax asset to an amount that is more likely than not to be realized in future years. Accordingly, the benefit of the net operating loss that would have been recognized was offset by changes in the valuation allowance.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July 31, 2012, the Company had no material changes in uncertain tax positions.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Operating Segments and Geographic Information</w:t>
      </w:r>
    </w:p>
    <w:p>
      <w:pPr>
        <w:spacing w:after="0" w:line="2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views its business as one segment, which is the development and sale of its PowerBuoy product for wave energy applications. The Company operates on a worldwide basis with one operating company in the US, one operating subsidiary in the UK and one operating subsidiary in Australia, which are categorized below as North America, Europe, and Asia and Australia, respectively. Revenues are generally attributed to the operating unit that bills the customers.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gridSpan w:val="6"/>
          </w:tcPr>
          <w:p>
            <w:pPr>
              <w:spacing w:after="0"/>
              <w:rPr>
                <w:sz w:val="20"/>
                <w:szCs w:val="20"/>
                <w:color w:val="auto"/>
              </w:rPr>
            </w:pPr>
            <w:r>
              <w:rPr>
                <w:rFonts w:ascii="Arial" w:cs="Arial" w:eastAsia="Arial" w:hAnsi="Arial"/>
                <w:sz w:val="18"/>
                <w:szCs w:val="18"/>
                <w:color w:val="auto"/>
              </w:rPr>
              <w:t>Geographic information is as follows: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6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Asia and</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5"/>
              </w:rPr>
              <w:t>North America</w:t>
            </w:r>
          </w:p>
        </w:tc>
        <w:tc>
          <w:tcPr>
            <w:tcW w:w="14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Europe</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Australia</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c>
          <w:tcPr>
            <w:tcW w:w="11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620" w:type="dxa"/>
            <w:vAlign w:val="bottom"/>
            <w:tcBorders>
              <w:bottom w:val="single" w:sz="8" w:color="auto"/>
            </w:tcBorders>
            <w:gridSpan w:val="4"/>
            <w:shd w:val="clear" w:color="auto" w:fill="C0FFFF"/>
          </w:tcPr>
          <w:p>
            <w:pPr>
              <w:spacing w:after="0" w:line="202" w:lineRule="exact"/>
              <w:rPr>
                <w:sz w:val="20"/>
                <w:szCs w:val="20"/>
                <w:color w:val="auto"/>
              </w:rPr>
            </w:pPr>
            <w:r>
              <w:rPr>
                <w:rFonts w:ascii="Arial" w:cs="Arial" w:eastAsia="Arial" w:hAnsi="Arial"/>
                <w:sz w:val="18"/>
                <w:szCs w:val="18"/>
                <w:b w:val="1"/>
                <w:bCs w:val="1"/>
                <w:color w:val="auto"/>
                <w:w w:val="88"/>
              </w:rPr>
              <w:t>Three months ended July 31, 2012</w:t>
            </w:r>
          </w:p>
        </w:tc>
        <w:tc>
          <w:tcPr>
            <w:tcW w:w="2000" w:type="dxa"/>
            <w:vAlign w:val="bottom"/>
            <w:tcBorders>
              <w:bottom w:val="single" w:sz="8" w:color="C0FFFF"/>
            </w:tcBorders>
            <w:shd w:val="clear" w:color="auto" w:fill="C0FFFF"/>
          </w:tcPr>
          <w:p>
            <w:pPr>
              <w:spacing w:after="0"/>
              <w:rPr>
                <w:sz w:val="19"/>
                <w:szCs w:val="19"/>
                <w:color w:val="auto"/>
              </w:rPr>
            </w:pPr>
          </w:p>
        </w:tc>
        <w:tc>
          <w:tcPr>
            <w:tcW w:w="260" w:type="dxa"/>
            <w:vAlign w:val="bottom"/>
            <w:tcBorders>
              <w:top w:val="single" w:sz="8" w:color="auto"/>
              <w:bottom w:val="single" w:sz="8" w:color="C0FFFF"/>
            </w:tcBorders>
            <w:shd w:val="clear" w:color="auto" w:fill="C0FFFF"/>
          </w:tcPr>
          <w:p>
            <w:pPr>
              <w:spacing w:after="0"/>
              <w:rPr>
                <w:sz w:val="19"/>
                <w:szCs w:val="19"/>
                <w:color w:val="auto"/>
              </w:rPr>
            </w:pPr>
          </w:p>
        </w:tc>
        <w:tc>
          <w:tcPr>
            <w:tcW w:w="980" w:type="dxa"/>
            <w:vAlign w:val="bottom"/>
            <w:tcBorders>
              <w:top w:val="single" w:sz="8" w:color="auto"/>
              <w:bottom w:val="single" w:sz="8" w:color="C0FFFF"/>
            </w:tcBorders>
            <w:shd w:val="clear" w:color="auto" w:fill="C0FFFF"/>
          </w:tcPr>
          <w:p>
            <w:pPr>
              <w:spacing w:after="0"/>
              <w:rPr>
                <w:sz w:val="19"/>
                <w:szCs w:val="19"/>
                <w:color w:val="auto"/>
              </w:rPr>
            </w:pPr>
          </w:p>
        </w:tc>
        <w:tc>
          <w:tcPr>
            <w:tcW w:w="220" w:type="dxa"/>
            <w:vAlign w:val="bottom"/>
            <w:tcBorders>
              <w:bottom w:val="single" w:sz="8" w:color="C0FFFF"/>
            </w:tcBorders>
            <w:shd w:val="clear" w:color="auto" w:fill="C0FFFF"/>
          </w:tcPr>
          <w:p>
            <w:pPr>
              <w:spacing w:after="0"/>
              <w:rPr>
                <w:sz w:val="19"/>
                <w:szCs w:val="19"/>
                <w:color w:val="auto"/>
              </w:rPr>
            </w:pPr>
          </w:p>
        </w:tc>
        <w:tc>
          <w:tcPr>
            <w:tcW w:w="1240" w:type="dxa"/>
            <w:vAlign w:val="bottom"/>
            <w:tcBorders>
              <w:top w:val="single" w:sz="8" w:color="auto"/>
              <w:bottom w:val="single" w:sz="8" w:color="C0FFFF"/>
            </w:tcBorders>
            <w:shd w:val="clear" w:color="auto" w:fill="C0FFFF"/>
          </w:tcPr>
          <w:p>
            <w:pPr>
              <w:spacing w:after="0"/>
              <w:rPr>
                <w:sz w:val="19"/>
                <w:szCs w:val="19"/>
                <w:color w:val="auto"/>
              </w:rPr>
            </w:pPr>
          </w:p>
        </w:tc>
        <w:tc>
          <w:tcPr>
            <w:tcW w:w="220" w:type="dxa"/>
            <w:vAlign w:val="bottom"/>
            <w:tcBorders>
              <w:bottom w:val="single" w:sz="8" w:color="C0FFFF"/>
            </w:tcBorders>
            <w:shd w:val="clear" w:color="auto" w:fill="C0FFFF"/>
          </w:tcPr>
          <w:p>
            <w:pPr>
              <w:spacing w:after="0"/>
              <w:rPr>
                <w:sz w:val="19"/>
                <w:szCs w:val="19"/>
                <w:color w:val="auto"/>
              </w:rPr>
            </w:pPr>
          </w:p>
        </w:tc>
        <w:tc>
          <w:tcPr>
            <w:tcW w:w="1220" w:type="dxa"/>
            <w:vAlign w:val="bottom"/>
            <w:tcBorders>
              <w:top w:val="single" w:sz="8" w:color="auto"/>
              <w:bottom w:val="single" w:sz="8" w:color="C0FFFF"/>
            </w:tcBorders>
            <w:shd w:val="clear" w:color="auto" w:fill="C0FFFF"/>
          </w:tcPr>
          <w:p>
            <w:pPr>
              <w:spacing w:after="0"/>
              <w:rPr>
                <w:sz w:val="19"/>
                <w:szCs w:val="19"/>
                <w:color w:val="auto"/>
              </w:rPr>
            </w:pPr>
          </w:p>
        </w:tc>
        <w:tc>
          <w:tcPr>
            <w:tcW w:w="180" w:type="dxa"/>
            <w:vAlign w:val="bottom"/>
            <w:tcBorders>
              <w:bottom w:val="single" w:sz="8" w:color="C0FFFF"/>
            </w:tcBorders>
            <w:shd w:val="clear" w:color="auto" w:fill="C0FFFF"/>
          </w:tcPr>
          <w:p>
            <w:pPr>
              <w:spacing w:after="0"/>
              <w:rPr>
                <w:sz w:val="19"/>
                <w:szCs w:val="19"/>
                <w:color w:val="auto"/>
              </w:rPr>
            </w:pPr>
          </w:p>
        </w:tc>
        <w:tc>
          <w:tcPr>
            <w:tcW w:w="1220" w:type="dxa"/>
            <w:vAlign w:val="bottom"/>
            <w:tcBorders>
              <w:top w:val="single" w:sz="8" w:color="auto"/>
              <w:bottom w:val="single" w:sz="8" w:color="C0FFFF"/>
            </w:tcBorders>
            <w:shd w:val="clear" w:color="auto" w:fill="C0FFFF"/>
          </w:tcPr>
          <w:p>
            <w:pPr>
              <w:spacing w:after="0"/>
              <w:rPr>
                <w:sz w:val="19"/>
                <w:szCs w:val="19"/>
                <w:color w:val="auto"/>
              </w:rPr>
            </w:pPr>
          </w:p>
        </w:tc>
        <w:tc>
          <w:tcPr>
            <w:tcW w:w="100" w:type="dxa"/>
            <w:vAlign w:val="bottom"/>
            <w:tcBorders>
              <w:bottom w:val="single" w:sz="8" w:color="C0FFFF"/>
            </w:tcBorders>
            <w:shd w:val="clear" w:color="auto" w:fill="C0FFFF"/>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20" w:type="dxa"/>
            <w:vAlign w:val="bottom"/>
            <w:gridSpan w:val="5"/>
          </w:tcPr>
          <w:p>
            <w:pPr>
              <w:spacing w:after="0"/>
              <w:rPr>
                <w:sz w:val="20"/>
                <w:szCs w:val="20"/>
                <w:color w:val="auto"/>
              </w:rPr>
            </w:pPr>
            <w:r>
              <w:rPr>
                <w:rFonts w:ascii="Arial" w:cs="Arial" w:eastAsia="Arial" w:hAnsi="Arial"/>
                <w:sz w:val="18"/>
                <w:szCs w:val="18"/>
                <w:color w:val="auto"/>
              </w:rPr>
              <w:t>Revenues from external customers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930,903</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51,493</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982,396</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gridSpan w:val="5"/>
            <w:shd w:val="clear" w:color="auto" w:fill="C0FFFF"/>
          </w:tcPr>
          <w:p>
            <w:pPr>
              <w:spacing w:after="0"/>
              <w:rPr>
                <w:sz w:val="20"/>
                <w:szCs w:val="20"/>
                <w:color w:val="auto"/>
              </w:rPr>
            </w:pPr>
            <w:r>
              <w:rPr>
                <w:rFonts w:ascii="Arial" w:cs="Arial" w:eastAsia="Arial" w:hAnsi="Arial"/>
                <w:sz w:val="18"/>
                <w:szCs w:val="18"/>
                <w:color w:val="auto"/>
              </w:rPr>
              <w:t>Operating loss</w:t>
            </w:r>
          </w:p>
        </w:tc>
        <w:tc>
          <w:tcPr>
            <w:tcW w:w="26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(3,851,720)</w:t>
            </w:r>
          </w:p>
        </w:tc>
        <w:tc>
          <w:tcPr>
            <w:tcW w:w="14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(234,974)</w:t>
            </w:r>
          </w:p>
        </w:tc>
        <w:tc>
          <w:tcPr>
            <w:tcW w:w="14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(222,535)</w:t>
            </w:r>
          </w:p>
        </w:tc>
        <w:tc>
          <w:tcPr>
            <w:tcW w:w="132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(4,309,229)</w:t>
            </w:r>
          </w:p>
        </w:tc>
        <w:tc>
          <w:tcPr>
            <w:tcW w:w="1140" w:type="dxa"/>
            <w:vAlign w:val="bottom"/>
          </w:tcPr>
          <w:p>
            <w:pPr>
              <w:spacing w:after="0"/>
              <w:rPr>
                <w:sz w:val="18"/>
                <w:szCs w:val="18"/>
                <w:color w:val="auto"/>
              </w:rPr>
            </w:pPr>
          </w:p>
        </w:tc>
      </w:tr>
      <w:tr>
        <w:trPr>
          <w:trHeight w:val="216"/>
        </w:trPr>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20" w:type="dxa"/>
            <w:vAlign w:val="bottom"/>
            <w:gridSpan w:val="5"/>
            <w:shd w:val="clear" w:color="auto" w:fill="C0FFFF"/>
          </w:tcPr>
          <w:p>
            <w:pPr>
              <w:spacing w:after="0" w:line="202" w:lineRule="exact"/>
              <w:rPr>
                <w:sz w:val="20"/>
                <w:szCs w:val="20"/>
                <w:color w:val="auto"/>
              </w:rPr>
            </w:pPr>
            <w:r>
              <w:rPr>
                <w:rFonts w:ascii="Arial" w:cs="Arial" w:eastAsia="Arial" w:hAnsi="Arial"/>
                <w:sz w:val="18"/>
                <w:szCs w:val="18"/>
                <w:b w:val="1"/>
                <w:bCs w:val="1"/>
                <w:color w:val="auto"/>
              </w:rPr>
              <w:t>Three months ended July 31, 2011</w:t>
            </w:r>
          </w:p>
        </w:tc>
        <w:tc>
          <w:tcPr>
            <w:tcW w:w="260" w:type="dxa"/>
            <w:vAlign w:val="bottom"/>
            <w:shd w:val="clear" w:color="auto" w:fill="C0FFFF"/>
          </w:tcPr>
          <w:p>
            <w:pPr>
              <w:spacing w:after="0"/>
              <w:rPr>
                <w:sz w:val="19"/>
                <w:szCs w:val="19"/>
                <w:color w:val="auto"/>
              </w:rPr>
            </w:pPr>
          </w:p>
        </w:tc>
        <w:tc>
          <w:tcPr>
            <w:tcW w:w="980" w:type="dxa"/>
            <w:vAlign w:val="bottom"/>
            <w:shd w:val="clear" w:color="auto" w:fill="C0FFFF"/>
          </w:tcPr>
          <w:p>
            <w:pPr>
              <w:spacing w:after="0"/>
              <w:rPr>
                <w:sz w:val="19"/>
                <w:szCs w:val="19"/>
                <w:color w:val="auto"/>
              </w:rPr>
            </w:pPr>
          </w:p>
        </w:tc>
        <w:tc>
          <w:tcPr>
            <w:tcW w:w="220" w:type="dxa"/>
            <w:vAlign w:val="bottom"/>
            <w:shd w:val="clear" w:color="auto" w:fill="C0FFFF"/>
          </w:tcPr>
          <w:p>
            <w:pPr>
              <w:spacing w:after="0"/>
              <w:rPr>
                <w:sz w:val="19"/>
                <w:szCs w:val="19"/>
                <w:color w:val="auto"/>
              </w:rPr>
            </w:pPr>
          </w:p>
        </w:tc>
        <w:tc>
          <w:tcPr>
            <w:tcW w:w="1240" w:type="dxa"/>
            <w:vAlign w:val="bottom"/>
            <w:shd w:val="clear" w:color="auto" w:fill="C0FFFF"/>
          </w:tcPr>
          <w:p>
            <w:pPr>
              <w:spacing w:after="0"/>
              <w:rPr>
                <w:sz w:val="19"/>
                <w:szCs w:val="19"/>
                <w:color w:val="auto"/>
              </w:rPr>
            </w:pPr>
          </w:p>
        </w:tc>
        <w:tc>
          <w:tcPr>
            <w:tcW w:w="220" w:type="dxa"/>
            <w:vAlign w:val="bottom"/>
            <w:shd w:val="clear" w:color="auto" w:fill="C0FFFF"/>
          </w:tcPr>
          <w:p>
            <w:pPr>
              <w:spacing w:after="0"/>
              <w:rPr>
                <w:sz w:val="19"/>
                <w:szCs w:val="19"/>
                <w:color w:val="auto"/>
              </w:rPr>
            </w:pPr>
          </w:p>
        </w:tc>
        <w:tc>
          <w:tcPr>
            <w:tcW w:w="1220" w:type="dxa"/>
            <w:vAlign w:val="bottom"/>
            <w:shd w:val="clear" w:color="auto" w:fill="C0FFFF"/>
          </w:tcPr>
          <w:p>
            <w:pPr>
              <w:spacing w:after="0"/>
              <w:rPr>
                <w:sz w:val="19"/>
                <w:szCs w:val="19"/>
                <w:color w:val="auto"/>
              </w:rPr>
            </w:pPr>
          </w:p>
        </w:tc>
        <w:tc>
          <w:tcPr>
            <w:tcW w:w="180" w:type="dxa"/>
            <w:vAlign w:val="bottom"/>
            <w:shd w:val="clear" w:color="auto" w:fill="C0FFFF"/>
          </w:tcPr>
          <w:p>
            <w:pPr>
              <w:spacing w:after="0"/>
              <w:rPr>
                <w:sz w:val="19"/>
                <w:szCs w:val="19"/>
                <w:color w:val="auto"/>
              </w:rPr>
            </w:pPr>
          </w:p>
        </w:tc>
        <w:tc>
          <w:tcPr>
            <w:tcW w:w="1220" w:type="dxa"/>
            <w:vAlign w:val="bottom"/>
            <w:shd w:val="clear" w:color="auto" w:fill="C0FFFF"/>
          </w:tcPr>
          <w:p>
            <w:pPr>
              <w:spacing w:after="0"/>
              <w:rPr>
                <w:sz w:val="19"/>
                <w:szCs w:val="19"/>
                <w:color w:val="auto"/>
              </w:rPr>
            </w:pPr>
          </w:p>
        </w:tc>
        <w:tc>
          <w:tcPr>
            <w:tcW w:w="100" w:type="dxa"/>
            <w:vAlign w:val="bottom"/>
            <w:shd w:val="clear" w:color="auto" w:fill="C0FFFF"/>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6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2"/>
              </w:rPr>
              <w:t>Revenues from external customers</w:t>
            </w:r>
          </w:p>
        </w:tc>
        <w:tc>
          <w:tcPr>
            <w:tcW w:w="2020" w:type="dxa"/>
            <w:vAlign w:val="bottom"/>
            <w:tcBorders>
              <w:top w:val="single" w:sz="8" w:color="C0FFFF"/>
            </w:tcBorders>
            <w:gridSpan w:val="2"/>
          </w:tcPr>
          <w:p>
            <w:pPr>
              <w:spacing w:after="0"/>
              <w:rPr>
                <w:sz w:val="18"/>
                <w:szCs w:val="18"/>
                <w:color w:val="auto"/>
              </w:rPr>
            </w:pPr>
          </w:p>
        </w:tc>
        <w:tc>
          <w:tcPr>
            <w:tcW w:w="260" w:type="dxa"/>
            <w:vAlign w:val="bottom"/>
            <w:tcBorders>
              <w:top w:val="single" w:sz="8" w:color="C0FFFF"/>
            </w:tcBorders>
          </w:tcPr>
          <w:p>
            <w:pPr>
              <w:spacing w:after="0"/>
              <w:rPr>
                <w:sz w:val="18"/>
                <w:szCs w:val="18"/>
                <w:color w:val="auto"/>
              </w:rPr>
            </w:pPr>
          </w:p>
        </w:tc>
        <w:tc>
          <w:tcPr>
            <w:tcW w:w="980" w:type="dxa"/>
            <w:vAlign w:val="bottom"/>
            <w:tcBorders>
              <w:top w:val="single" w:sz="8" w:color="C0FFFF"/>
            </w:tcBorders>
          </w:tcPr>
          <w:p>
            <w:pPr>
              <w:jc w:val="right"/>
              <w:spacing w:after="0"/>
              <w:rPr>
                <w:sz w:val="20"/>
                <w:szCs w:val="20"/>
                <w:color w:val="auto"/>
              </w:rPr>
            </w:pPr>
            <w:r>
              <w:rPr>
                <w:rFonts w:ascii="Arial" w:cs="Arial" w:eastAsia="Arial" w:hAnsi="Arial"/>
                <w:sz w:val="18"/>
                <w:szCs w:val="18"/>
                <w:color w:val="auto"/>
              </w:rPr>
              <w:t>1,688,551</w:t>
            </w:r>
          </w:p>
        </w:tc>
        <w:tc>
          <w:tcPr>
            <w:tcW w:w="220" w:type="dxa"/>
            <w:vAlign w:val="bottom"/>
            <w:tcBorders>
              <w:top w:val="single" w:sz="8" w:color="C0FFFF"/>
            </w:tcBorders>
          </w:tcPr>
          <w:p>
            <w:pPr>
              <w:spacing w:after="0"/>
              <w:rPr>
                <w:sz w:val="18"/>
                <w:szCs w:val="18"/>
                <w:color w:val="auto"/>
              </w:rPr>
            </w:pPr>
          </w:p>
        </w:tc>
        <w:tc>
          <w:tcPr>
            <w:tcW w:w="1460" w:type="dxa"/>
            <w:vAlign w:val="bottom"/>
            <w:tcBorders>
              <w:top w:val="single" w:sz="8" w:color="C0FFFF"/>
            </w:tcBorders>
            <w:gridSpan w:val="2"/>
          </w:tcPr>
          <w:p>
            <w:pPr>
              <w:jc w:val="right"/>
              <w:ind w:right="220"/>
              <w:spacing w:after="0"/>
              <w:rPr>
                <w:sz w:val="20"/>
                <w:szCs w:val="20"/>
                <w:color w:val="auto"/>
              </w:rPr>
            </w:pPr>
            <w:r>
              <w:rPr>
                <w:rFonts w:ascii="Arial" w:cs="Arial" w:eastAsia="Arial" w:hAnsi="Arial"/>
                <w:sz w:val="18"/>
                <w:szCs w:val="18"/>
                <w:color w:val="auto"/>
              </w:rPr>
              <w:t>222,301</w:t>
            </w:r>
          </w:p>
        </w:tc>
        <w:tc>
          <w:tcPr>
            <w:tcW w:w="1400" w:type="dxa"/>
            <w:vAlign w:val="bottom"/>
            <w:tcBorders>
              <w:top w:val="single" w:sz="8" w:color="C0FF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C0FFFF"/>
            </w:tcBorders>
          </w:tcPr>
          <w:p>
            <w:pPr>
              <w:jc w:val="right"/>
              <w:spacing w:after="0"/>
              <w:rPr>
                <w:sz w:val="20"/>
                <w:szCs w:val="20"/>
                <w:color w:val="auto"/>
              </w:rPr>
            </w:pPr>
            <w:r>
              <w:rPr>
                <w:rFonts w:ascii="Arial" w:cs="Arial" w:eastAsia="Arial" w:hAnsi="Arial"/>
                <w:sz w:val="18"/>
                <w:szCs w:val="18"/>
                <w:color w:val="auto"/>
              </w:rPr>
              <w:t>1,910,852</w:t>
            </w:r>
          </w:p>
        </w:tc>
        <w:tc>
          <w:tcPr>
            <w:tcW w:w="100" w:type="dxa"/>
            <w:vAlign w:val="bottom"/>
            <w:tcBorders>
              <w:top w:val="single" w:sz="8" w:color="C0FFFF"/>
            </w:tcBorders>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gridSpan w:val="5"/>
            <w:shd w:val="clear" w:color="auto" w:fill="C0FFFF"/>
          </w:tcPr>
          <w:p>
            <w:pPr>
              <w:spacing w:after="0"/>
              <w:rPr>
                <w:sz w:val="20"/>
                <w:szCs w:val="20"/>
                <w:color w:val="auto"/>
              </w:rPr>
            </w:pPr>
            <w:r>
              <w:rPr>
                <w:rFonts w:ascii="Arial" w:cs="Arial" w:eastAsia="Arial" w:hAnsi="Arial"/>
                <w:sz w:val="18"/>
                <w:szCs w:val="18"/>
                <w:color w:val="auto"/>
              </w:rPr>
              <w:t>Operating loss</w:t>
            </w:r>
          </w:p>
        </w:tc>
        <w:tc>
          <w:tcPr>
            <w:tcW w:w="26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(4,647,691)</w:t>
            </w:r>
          </w:p>
        </w:tc>
        <w:tc>
          <w:tcPr>
            <w:tcW w:w="14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(413,622)</w:t>
            </w:r>
          </w:p>
        </w:tc>
        <w:tc>
          <w:tcPr>
            <w:tcW w:w="14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(50,066)</w:t>
            </w:r>
          </w:p>
        </w:tc>
        <w:tc>
          <w:tcPr>
            <w:tcW w:w="132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(5,111,379)</w:t>
            </w:r>
          </w:p>
        </w:tc>
        <w:tc>
          <w:tcPr>
            <w:tcW w:w="1140" w:type="dxa"/>
            <w:vAlign w:val="bottom"/>
          </w:tcPr>
          <w:p>
            <w:pPr>
              <w:spacing w:after="0"/>
              <w:rPr>
                <w:sz w:val="18"/>
                <w:szCs w:val="18"/>
                <w:color w:val="auto"/>
              </w:rPr>
            </w:pPr>
          </w:p>
        </w:tc>
      </w:tr>
      <w:tr>
        <w:trPr>
          <w:trHeight w:val="216"/>
        </w:trPr>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00" w:type="dxa"/>
            <w:vAlign w:val="bottom"/>
            <w:tcBorders>
              <w:bottom w:val="single" w:sz="8" w:color="auto"/>
            </w:tcBorders>
            <w:shd w:val="clear" w:color="auto" w:fill="C0FFFF"/>
          </w:tcPr>
          <w:p>
            <w:pPr>
              <w:spacing w:after="0" w:line="202" w:lineRule="exact"/>
              <w:rPr>
                <w:sz w:val="20"/>
                <w:szCs w:val="20"/>
                <w:color w:val="auto"/>
              </w:rPr>
            </w:pPr>
            <w:r>
              <w:rPr>
                <w:rFonts w:ascii="Arial" w:cs="Arial" w:eastAsia="Arial" w:hAnsi="Arial"/>
                <w:sz w:val="18"/>
                <w:szCs w:val="18"/>
                <w:b w:val="1"/>
                <w:bCs w:val="1"/>
                <w:color w:val="auto"/>
                <w:w w:val="88"/>
              </w:rPr>
              <w:t>July 31, 2012</w:t>
            </w:r>
          </w:p>
        </w:tc>
        <w:tc>
          <w:tcPr>
            <w:tcW w:w="3620" w:type="dxa"/>
            <w:vAlign w:val="bottom"/>
            <w:tcBorders>
              <w:bottom w:val="single" w:sz="8" w:color="C0FFFF"/>
            </w:tcBorders>
            <w:gridSpan w:val="4"/>
            <w:shd w:val="clear" w:color="auto" w:fill="C0FFFF"/>
          </w:tcPr>
          <w:p>
            <w:pPr>
              <w:spacing w:after="0"/>
              <w:rPr>
                <w:sz w:val="19"/>
                <w:szCs w:val="19"/>
                <w:color w:val="auto"/>
              </w:rPr>
            </w:pPr>
          </w:p>
        </w:tc>
        <w:tc>
          <w:tcPr>
            <w:tcW w:w="260" w:type="dxa"/>
            <w:vAlign w:val="bottom"/>
            <w:tcBorders>
              <w:bottom w:val="single" w:sz="8" w:color="C0FFFF"/>
            </w:tcBorders>
            <w:shd w:val="clear" w:color="auto" w:fill="C0FFFF"/>
          </w:tcPr>
          <w:p>
            <w:pPr>
              <w:spacing w:after="0"/>
              <w:rPr>
                <w:sz w:val="19"/>
                <w:szCs w:val="19"/>
                <w:color w:val="auto"/>
              </w:rPr>
            </w:pPr>
          </w:p>
        </w:tc>
        <w:tc>
          <w:tcPr>
            <w:tcW w:w="980" w:type="dxa"/>
            <w:vAlign w:val="bottom"/>
            <w:tcBorders>
              <w:bottom w:val="single" w:sz="8" w:color="C0FFFF"/>
            </w:tcBorders>
            <w:shd w:val="clear" w:color="auto" w:fill="C0FFFF"/>
          </w:tcPr>
          <w:p>
            <w:pPr>
              <w:spacing w:after="0"/>
              <w:rPr>
                <w:sz w:val="19"/>
                <w:szCs w:val="19"/>
                <w:color w:val="auto"/>
              </w:rPr>
            </w:pPr>
          </w:p>
        </w:tc>
        <w:tc>
          <w:tcPr>
            <w:tcW w:w="220" w:type="dxa"/>
            <w:vAlign w:val="bottom"/>
            <w:tcBorders>
              <w:bottom w:val="single" w:sz="8" w:color="C0FFFF"/>
            </w:tcBorders>
            <w:shd w:val="clear" w:color="auto" w:fill="C0FFFF"/>
          </w:tcPr>
          <w:p>
            <w:pPr>
              <w:spacing w:after="0"/>
              <w:rPr>
                <w:sz w:val="19"/>
                <w:szCs w:val="19"/>
                <w:color w:val="auto"/>
              </w:rPr>
            </w:pPr>
          </w:p>
        </w:tc>
        <w:tc>
          <w:tcPr>
            <w:tcW w:w="1240" w:type="dxa"/>
            <w:vAlign w:val="bottom"/>
            <w:tcBorders>
              <w:bottom w:val="single" w:sz="8" w:color="C0FFFF"/>
            </w:tcBorders>
            <w:shd w:val="clear" w:color="auto" w:fill="C0FFFF"/>
          </w:tcPr>
          <w:p>
            <w:pPr>
              <w:spacing w:after="0"/>
              <w:rPr>
                <w:sz w:val="19"/>
                <w:szCs w:val="19"/>
                <w:color w:val="auto"/>
              </w:rPr>
            </w:pPr>
          </w:p>
        </w:tc>
        <w:tc>
          <w:tcPr>
            <w:tcW w:w="220" w:type="dxa"/>
            <w:vAlign w:val="bottom"/>
            <w:tcBorders>
              <w:bottom w:val="single" w:sz="8" w:color="C0FFFF"/>
            </w:tcBorders>
            <w:shd w:val="clear" w:color="auto" w:fill="C0FFFF"/>
          </w:tcPr>
          <w:p>
            <w:pPr>
              <w:spacing w:after="0"/>
              <w:rPr>
                <w:sz w:val="19"/>
                <w:szCs w:val="19"/>
                <w:color w:val="auto"/>
              </w:rPr>
            </w:pPr>
          </w:p>
        </w:tc>
        <w:tc>
          <w:tcPr>
            <w:tcW w:w="1220" w:type="dxa"/>
            <w:vAlign w:val="bottom"/>
            <w:tcBorders>
              <w:bottom w:val="single" w:sz="8" w:color="C0FFFF"/>
            </w:tcBorders>
            <w:shd w:val="clear" w:color="auto" w:fill="C0FFFF"/>
          </w:tcPr>
          <w:p>
            <w:pPr>
              <w:spacing w:after="0"/>
              <w:rPr>
                <w:sz w:val="19"/>
                <w:szCs w:val="19"/>
                <w:color w:val="auto"/>
              </w:rPr>
            </w:pPr>
          </w:p>
        </w:tc>
        <w:tc>
          <w:tcPr>
            <w:tcW w:w="180" w:type="dxa"/>
            <w:vAlign w:val="bottom"/>
            <w:tcBorders>
              <w:bottom w:val="single" w:sz="8" w:color="C0FFFF"/>
            </w:tcBorders>
            <w:shd w:val="clear" w:color="auto" w:fill="C0FFFF"/>
          </w:tcPr>
          <w:p>
            <w:pPr>
              <w:spacing w:after="0"/>
              <w:rPr>
                <w:sz w:val="19"/>
                <w:szCs w:val="19"/>
                <w:color w:val="auto"/>
              </w:rPr>
            </w:pPr>
          </w:p>
        </w:tc>
        <w:tc>
          <w:tcPr>
            <w:tcW w:w="1220" w:type="dxa"/>
            <w:vAlign w:val="bottom"/>
            <w:tcBorders>
              <w:bottom w:val="single" w:sz="8" w:color="C0FFFF"/>
            </w:tcBorders>
            <w:shd w:val="clear" w:color="auto" w:fill="C0FFFF"/>
          </w:tcPr>
          <w:p>
            <w:pPr>
              <w:spacing w:after="0"/>
              <w:rPr>
                <w:sz w:val="19"/>
                <w:szCs w:val="19"/>
                <w:color w:val="auto"/>
              </w:rPr>
            </w:pPr>
          </w:p>
        </w:tc>
        <w:tc>
          <w:tcPr>
            <w:tcW w:w="100" w:type="dxa"/>
            <w:vAlign w:val="bottom"/>
            <w:tcBorders>
              <w:bottom w:val="single" w:sz="8" w:color="C0FFFF"/>
            </w:tcBorders>
            <w:shd w:val="clear" w:color="auto" w:fill="C0FFFF"/>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20" w:type="dxa"/>
            <w:vAlign w:val="bottom"/>
            <w:gridSpan w:val="5"/>
          </w:tcPr>
          <w:p>
            <w:pPr>
              <w:spacing w:after="0"/>
              <w:rPr>
                <w:sz w:val="20"/>
                <w:szCs w:val="20"/>
                <w:color w:val="auto"/>
              </w:rPr>
            </w:pPr>
            <w:r>
              <w:rPr>
                <w:rFonts w:ascii="Arial" w:cs="Arial" w:eastAsia="Arial" w:hAnsi="Arial"/>
                <w:sz w:val="18"/>
                <w:szCs w:val="18"/>
                <w:color w:val="auto"/>
              </w:rPr>
              <w:t>Long-lived assets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791,939</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88,079</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880,018</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gridSpan w:val="5"/>
            <w:shd w:val="clear" w:color="auto" w:fill="C0FFFF"/>
          </w:tcPr>
          <w:p>
            <w:pPr>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32,010,213</w:t>
            </w:r>
          </w:p>
        </w:tc>
        <w:tc>
          <w:tcPr>
            <w:tcW w:w="14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1,295,258</w:t>
            </w:r>
          </w:p>
        </w:tc>
        <w:tc>
          <w:tcPr>
            <w:tcW w:w="140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511,789</w:t>
            </w:r>
          </w:p>
        </w:tc>
        <w:tc>
          <w:tcPr>
            <w:tcW w:w="13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33,817,260</w:t>
            </w:r>
          </w:p>
        </w:tc>
        <w:tc>
          <w:tcPr>
            <w:tcW w:w="1140" w:type="dxa"/>
            <w:vAlign w:val="bottom"/>
          </w:tcPr>
          <w:p>
            <w:pPr>
              <w:spacing w:after="0"/>
              <w:rPr>
                <w:sz w:val="18"/>
                <w:szCs w:val="18"/>
                <w:color w:val="auto"/>
              </w:rPr>
            </w:pPr>
          </w:p>
        </w:tc>
      </w:tr>
      <w:tr>
        <w:trPr>
          <w:trHeight w:val="216"/>
        </w:trPr>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80" w:type="dxa"/>
            <w:vAlign w:val="bottom"/>
            <w:tcBorders>
              <w:bottom w:val="single" w:sz="8" w:color="auto"/>
            </w:tcBorders>
            <w:gridSpan w:val="2"/>
            <w:shd w:val="clear" w:color="auto" w:fill="C0FFFF"/>
          </w:tcPr>
          <w:p>
            <w:pPr>
              <w:spacing w:after="0" w:line="202" w:lineRule="exact"/>
              <w:rPr>
                <w:sz w:val="20"/>
                <w:szCs w:val="20"/>
                <w:color w:val="auto"/>
              </w:rPr>
            </w:pPr>
            <w:r>
              <w:rPr>
                <w:rFonts w:ascii="Arial" w:cs="Arial" w:eastAsia="Arial" w:hAnsi="Arial"/>
                <w:sz w:val="18"/>
                <w:szCs w:val="18"/>
                <w:b w:val="1"/>
                <w:bCs w:val="1"/>
                <w:color w:val="auto"/>
                <w:w w:val="91"/>
              </w:rPr>
              <w:t>April 30, 2012</w:t>
            </w:r>
          </w:p>
        </w:tc>
        <w:tc>
          <w:tcPr>
            <w:tcW w:w="3540" w:type="dxa"/>
            <w:vAlign w:val="bottom"/>
            <w:tcBorders>
              <w:bottom w:val="single" w:sz="8" w:color="C0FFFF"/>
            </w:tcBorders>
            <w:gridSpan w:val="3"/>
            <w:shd w:val="clear" w:color="auto" w:fill="C0FFFF"/>
          </w:tcPr>
          <w:p>
            <w:pPr>
              <w:spacing w:after="0"/>
              <w:rPr>
                <w:sz w:val="19"/>
                <w:szCs w:val="19"/>
                <w:color w:val="auto"/>
              </w:rPr>
            </w:pPr>
          </w:p>
        </w:tc>
        <w:tc>
          <w:tcPr>
            <w:tcW w:w="260" w:type="dxa"/>
            <w:vAlign w:val="bottom"/>
            <w:tcBorders>
              <w:bottom w:val="single" w:sz="8" w:color="C0FFFF"/>
            </w:tcBorders>
            <w:shd w:val="clear" w:color="auto" w:fill="C0FFFF"/>
          </w:tcPr>
          <w:p>
            <w:pPr>
              <w:spacing w:after="0"/>
              <w:rPr>
                <w:sz w:val="19"/>
                <w:szCs w:val="19"/>
                <w:color w:val="auto"/>
              </w:rPr>
            </w:pPr>
          </w:p>
        </w:tc>
        <w:tc>
          <w:tcPr>
            <w:tcW w:w="980" w:type="dxa"/>
            <w:vAlign w:val="bottom"/>
            <w:tcBorders>
              <w:bottom w:val="single" w:sz="8" w:color="C0FFFF"/>
            </w:tcBorders>
            <w:shd w:val="clear" w:color="auto" w:fill="C0FFFF"/>
          </w:tcPr>
          <w:p>
            <w:pPr>
              <w:spacing w:after="0"/>
              <w:rPr>
                <w:sz w:val="19"/>
                <w:szCs w:val="19"/>
                <w:color w:val="auto"/>
              </w:rPr>
            </w:pPr>
          </w:p>
        </w:tc>
        <w:tc>
          <w:tcPr>
            <w:tcW w:w="220" w:type="dxa"/>
            <w:vAlign w:val="bottom"/>
            <w:tcBorders>
              <w:bottom w:val="single" w:sz="8" w:color="C0FFFF"/>
            </w:tcBorders>
            <w:shd w:val="clear" w:color="auto" w:fill="C0FFFF"/>
          </w:tcPr>
          <w:p>
            <w:pPr>
              <w:spacing w:after="0"/>
              <w:rPr>
                <w:sz w:val="19"/>
                <w:szCs w:val="19"/>
                <w:color w:val="auto"/>
              </w:rPr>
            </w:pPr>
          </w:p>
        </w:tc>
        <w:tc>
          <w:tcPr>
            <w:tcW w:w="1240" w:type="dxa"/>
            <w:vAlign w:val="bottom"/>
            <w:tcBorders>
              <w:bottom w:val="single" w:sz="8" w:color="C0FFFF"/>
            </w:tcBorders>
            <w:shd w:val="clear" w:color="auto" w:fill="C0FFFF"/>
          </w:tcPr>
          <w:p>
            <w:pPr>
              <w:spacing w:after="0"/>
              <w:rPr>
                <w:sz w:val="19"/>
                <w:szCs w:val="19"/>
                <w:color w:val="auto"/>
              </w:rPr>
            </w:pPr>
          </w:p>
        </w:tc>
        <w:tc>
          <w:tcPr>
            <w:tcW w:w="220" w:type="dxa"/>
            <w:vAlign w:val="bottom"/>
            <w:tcBorders>
              <w:bottom w:val="single" w:sz="8" w:color="C0FFFF"/>
            </w:tcBorders>
            <w:shd w:val="clear" w:color="auto" w:fill="C0FFFF"/>
          </w:tcPr>
          <w:p>
            <w:pPr>
              <w:spacing w:after="0"/>
              <w:rPr>
                <w:sz w:val="19"/>
                <w:szCs w:val="19"/>
                <w:color w:val="auto"/>
              </w:rPr>
            </w:pPr>
          </w:p>
        </w:tc>
        <w:tc>
          <w:tcPr>
            <w:tcW w:w="1220" w:type="dxa"/>
            <w:vAlign w:val="bottom"/>
            <w:tcBorders>
              <w:bottom w:val="single" w:sz="8" w:color="C0FFFF"/>
            </w:tcBorders>
            <w:shd w:val="clear" w:color="auto" w:fill="C0FFFF"/>
          </w:tcPr>
          <w:p>
            <w:pPr>
              <w:spacing w:after="0"/>
              <w:rPr>
                <w:sz w:val="19"/>
                <w:szCs w:val="19"/>
                <w:color w:val="auto"/>
              </w:rPr>
            </w:pPr>
          </w:p>
        </w:tc>
        <w:tc>
          <w:tcPr>
            <w:tcW w:w="180" w:type="dxa"/>
            <w:vAlign w:val="bottom"/>
            <w:tcBorders>
              <w:bottom w:val="single" w:sz="8" w:color="C0FFFF"/>
            </w:tcBorders>
            <w:shd w:val="clear" w:color="auto" w:fill="C0FFFF"/>
          </w:tcPr>
          <w:p>
            <w:pPr>
              <w:spacing w:after="0"/>
              <w:rPr>
                <w:sz w:val="19"/>
                <w:szCs w:val="19"/>
                <w:color w:val="auto"/>
              </w:rPr>
            </w:pPr>
          </w:p>
        </w:tc>
        <w:tc>
          <w:tcPr>
            <w:tcW w:w="1220" w:type="dxa"/>
            <w:vAlign w:val="bottom"/>
            <w:tcBorders>
              <w:bottom w:val="single" w:sz="8" w:color="C0FFFF"/>
            </w:tcBorders>
            <w:shd w:val="clear" w:color="auto" w:fill="C0FFFF"/>
          </w:tcPr>
          <w:p>
            <w:pPr>
              <w:spacing w:after="0"/>
              <w:rPr>
                <w:sz w:val="19"/>
                <w:szCs w:val="19"/>
                <w:color w:val="auto"/>
              </w:rPr>
            </w:pPr>
          </w:p>
        </w:tc>
        <w:tc>
          <w:tcPr>
            <w:tcW w:w="100" w:type="dxa"/>
            <w:vAlign w:val="bottom"/>
            <w:tcBorders>
              <w:bottom w:val="single" w:sz="8" w:color="C0FFFF"/>
            </w:tcBorders>
            <w:shd w:val="clear" w:color="auto" w:fill="C0FFFF"/>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20" w:type="dxa"/>
            <w:vAlign w:val="bottom"/>
            <w:gridSpan w:val="5"/>
          </w:tcPr>
          <w:p>
            <w:pPr>
              <w:spacing w:after="0"/>
              <w:rPr>
                <w:sz w:val="20"/>
                <w:szCs w:val="20"/>
                <w:color w:val="auto"/>
              </w:rPr>
            </w:pPr>
            <w:r>
              <w:rPr>
                <w:rFonts w:ascii="Arial" w:cs="Arial" w:eastAsia="Arial" w:hAnsi="Arial"/>
                <w:sz w:val="18"/>
                <w:szCs w:val="18"/>
                <w:color w:val="auto"/>
              </w:rPr>
              <w:t>Long-lived assets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585,818</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97,115</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682,933</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gridSpan w:val="5"/>
            <w:shd w:val="clear" w:color="auto" w:fill="C0FFFF"/>
          </w:tcPr>
          <w:p>
            <w:pPr>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0FF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35,181,637</w:t>
            </w:r>
          </w:p>
        </w:tc>
        <w:tc>
          <w:tcPr>
            <w:tcW w:w="14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1,619,973</w:t>
            </w:r>
          </w:p>
        </w:tc>
        <w:tc>
          <w:tcPr>
            <w:tcW w:w="140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640,027</w:t>
            </w:r>
          </w:p>
        </w:tc>
        <w:tc>
          <w:tcPr>
            <w:tcW w:w="13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37,441,637</w:t>
            </w:r>
          </w:p>
        </w:tc>
        <w:tc>
          <w:tcPr>
            <w:tcW w:w="1140" w:type="dxa"/>
            <w:vAlign w:val="bottom"/>
          </w:tcPr>
          <w:p>
            <w:pPr>
              <w:spacing w:after="0"/>
              <w:rPr>
                <w:sz w:val="18"/>
                <w:szCs w:val="18"/>
                <w:color w:val="auto"/>
              </w:rPr>
            </w:pPr>
          </w:p>
        </w:tc>
      </w:tr>
      <w:tr>
        <w:trPr>
          <w:trHeight w:val="635"/>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18" w:name="page19"/>
    <w:bookmarkEnd w:id="18"/>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283"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following discussion and analysis should be read in conjunction with the accompanying unaudited consolidated financial statements and related notes included in this Quarterly Report on Form 10-Q. Some of the information contained in this discussion and analysis or set forth elsewhere in this Form 10-Q, including information with respect to our plans and strategy for our business, includes forward-looking statements that involve risks and uncertainties. You should review the "Risk Factors" section of our Annual Report on Form 10-K for fiscal 2012 for a discussion of important factors that could cause actual results to differ materially from the results described in or implied by the forward-looking statements contained in the following discussion and analysis. References to a fiscal year in this Form 10-Q refer to the year ended April 30 of that year (e.g., fiscal 2012 refers to the year ended April 30,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develop and are seeking to commercialize proprietary systems that generate electricity by harnessing the renewable energy of ocean waves. Our PowerBuoy® systems use proprietary technologies to convert the mechanical energy created by the rising and falling of ocean waves into electricity. We currently offer two PowerBuoy products, which consist of our utility PowerBuoy system and our autonomous PowerBuoy system. We also offer our customers operations and maintenance services for our PowerBuoy systems. In addition, we market our undersea substation pod product and undersea power connection infrastructure services to other companies in the marine energy sector. Since fiscal 2002, the US Navy and other government agencies have accounted for a significant portion of our revenues. These revenues were largely for the support of our product development efforts. Our goal, over time, is to generate revenues from utilities and other non-government commercial customers and to have such revenues represent a greater portion of our total revenues. In addition, our goal is that an increased portion of our revenues be from the sale of products and maintenance services, as compared to revenue to support our product development efforts. As we continue to advance our proprietary technologies, we expect to have a net decrease in cash from operating activities unless or until we achieve positive cash flow from the planned commercialization of our products and services.</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market our utility PowerBuoy system, which is designed to supply electricity to a local or regional power grid, to utilities and other electrical power producers seeking to add electricity generated by wave energy to their existing electricity supply. We market our autonomous PowerBuoy system, which is designed to generate power for use independent of the power grid, to customers that require electricity in remote locations. We believe there are a variety of potential applications for our autonomous PowerBuoy system, including sonar and radar surveillance, tsunami warning, oceanographic data collection, offshore platforms and offshore aquaculture.</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were incorporated in New Jersey in April 1984, began business operations in 1994, and were re-incorporated in Delaware in 2007. We currently have three wholly-owned subsidiaries, Ocean Power Technologies Ltd., Reedsport OPT Wave Park LLC, and Oregon Wave Energy Partners I, LLC, and we own approximately 88% of the ordinary shares of Ocean Power Technologies (Australasia) Pty Ltd (OPTA). In March 2012, OPTA acquired 100% ownership of Victorian Wave Partners Pty Ltd.</w:t>
      </w:r>
    </w:p>
    <w:p>
      <w:pPr>
        <w:spacing w:after="0" w:line="24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development of our technology has been funded by capital we raised and by development engineering contracts we received starting in fiscal 1995. In fiscal 1996, we received the first of several research contracts with the US Navy to study the feasibility of wave energy. As a result of those research contracts, we entered into our first development and construction contract with the US Navy in fiscal 2002 under a project for the development and testing of our wave power systems at the US Marine Corps Base in Oahu, Hawaii. This project included the grid-connection of one of our utility-grade PowerBuoys at the Marine Corps Base. We generated our first revenue relating to our autonomous PowerBuoy system from contracts with Lockheed Martin Corporation, or Lockheed Martin, in fiscal 2003, and we entered into our first development and construction contract with Lockheed Martin in fiscal 2004 for the development and construction of a prototype demonstration autonomous PowerBuoy system. Subsequently, we received a contract from the US Navy to test our autonomous PowerBuoy system as a power source for the Navy’s Deep Water Active Detection System (DWADS). In 2011, an autonomous PowerBuoy was deployed for ocean trials off the coast of New Jersey under a contract from the US Navy under its Littoral Expeditionary Autonomous PowerBuoy (LEAP) program. The LEAP PowerBuoy, incorporating a unique power take-off and on-board storage system, is significantly smaller and more compact than our standard utility PowerBuoy. It is designed to provide persistent, off-grid clean energy in remote ocean locations for a wide variety of maritime security, monitoring and other commercial applications. Also in 2011, ocean trials of our first 150kW PowerBuoy were conducted. These ocean trials were conducted at a site approximately 33 nautical miles from Invergordon, off Scotland’s northeast coast. During the ocean trials, our 150kW- rated PowerBuoy produced power in excess of our expectations of performance. Our utility scale PB150 structure and mooring system achieved independent certification from Lloyd’s Register. This certification from Lloyd’s Register confirms that the PB150 design complies with the requirements of Lloyd’s 1999 Rules and Regulations for the Classification of Floating Offshore Installations at Fixed Locations.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9" w:name="page20"/>
    <w:bookmarkEnd w:id="19"/>
    <w:p>
      <w:pPr>
        <w:ind w:right="40"/>
        <w:spacing w:after="0" w:line="272" w:lineRule="auto"/>
        <w:rPr>
          <w:sz w:val="20"/>
          <w:szCs w:val="20"/>
          <w:color w:val="auto"/>
        </w:rPr>
      </w:pPr>
      <w:r>
        <w:rPr>
          <w:rFonts w:ascii="Arial" w:cs="Arial" w:eastAsia="Arial" w:hAnsi="Arial"/>
          <w:sz w:val="17"/>
          <w:szCs w:val="17"/>
          <w:color w:val="auto"/>
        </w:rPr>
        <w:t>At July 31, 2012, our total negotiated backlog was $5.8 million compared with $7.1 million at July 31, 2011. We anticipate that a majority of our backlog will be recognized as revenue over the next 12 months. Most of our backlog at July 31, 2012 and 2011 consisted of cost-sharing contracts as described in the Financial Operations Overview section of this Management’s Discussion and Analysis. Our backlog includes both funded amounts, which are unfilled firm orders for our products and services for which funding has been both authorized and appropriated by the customer (Congress, in the case of US Government agencies) and unfunded amounts, which are unfilled firm orders from the US Department of Energy (DOE) for which funding has not been appropriated. If any of our contracts were to be terminated, our backlog would be reduced by the expected value of the remaining terms of such contracts. Funded backlog was $5.0 million and $5.1 million at July 31, 2012 and 2011, respectively.</w:t>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months ended July 31, 2012, we generated revenues of $1.0 million and incurred a net loss attributable to Ocean Power Technologies, Inc. of $4.3 million, compared to revenues of $1.9 million and a net loss attributable to Ocean Power Technologies, Inc. of $5.0 million for the three months ended July 31, 2011. As of July 31, 2012, our accumulated deficit was $130.3 million. We have not been profitable since inception, and we do not know whether or when we will become profitable because of the significant uncertainties with respect to our ability to successfully commercialize our PowerBuoy systems in the emerging renewable energy market.</w:t>
      </w:r>
    </w:p>
    <w:p>
      <w:pPr>
        <w:spacing w:after="0" w:line="24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recent global economic uncertainty may have a negative effect on our business, financial condition and results of operations. Currently, the cost of electricity generated from wave energy, without the benefit of subsidies or other economic incentives, substantially exceeds the price of electricity in many significant markets in the world. As a result, the near-term growth of the market opportunity for our utility PowerBuoy systems, which are designed to feed electricity into a local or regional power grid, depends significantly on the availability and size of government incentives and subsidies for wave energy. Federal, state and local governmental bodies in many countries have provided subsidies in the form of tariff subsidies, rebates, tax credits and other incentives to utilities, power generators and distributors using renewable energy. However, these incentives and subsidies generally decline over time, and many incentive and subsidy programs have specific expiration dates. The timing, scope and size of new government programs for renewable energy is uncertain, and there can be no assurances that we or our customers will be successful in obtaining any additional government funding. We do not believe the recent global economic uncertainty will have a material negative impact on our sources of supply, as our products incorporate what are substantially non-custom, standard parts found in many regions of the world.</w:t>
      </w:r>
    </w:p>
    <w:p>
      <w:pPr>
        <w:spacing w:after="0" w:line="23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According to the International Energy Agency, $3.4 trillion is expected to be spent for new renewable energy generation equipment in the period from 2007 to 2030. This equates to annual global expenditures of approximately $150 billion. We plan to take advantage of these global drivers of demand for renewable energy as we continue to refine and expand our proprietary technology.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certain line items in our consolidated statements of operations and some of the factors that affect our operating results.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7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our customer acknowledges that such criteria have been satisfied. In addition, recognition of revenue (and the related costs) may be deferred for fixed-price contracts until contract completion if we are unable to reasonably estimate the total costs of the project prior to completion. Because we have a small number of contracts, revisions to the percentage-of-completion determination or delays in meeting performance criteria or in completing projects may have a significant effect on our revenue for the periods involved. Upon anticipating a loss on a contract, we recognize the full amount of the anticipated loss in the current period.</w:t>
      </w:r>
    </w:p>
    <w:p>
      <w:pPr>
        <w:spacing w:after="0" w:line="21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Generally our contracts are either cost plus or fixed price contracts. Under cost plus contracts, we bill the customer for actual expenses incurred plus an agreed-upon fee. Revenue is typically recorded using the percentage-of-completion method based on the maximum awarded contract amount. In certain cases, we may choose to incur costs in excess of the maximum awarded contract amounts resulting in a loss on the contract. Currently, we have two types of fixed price contracts, firm fixed price and cost-sharing. Under firm fixed price contracts, we receive an agreed-upon amount for providing products and services that are specified in the contract. Revenue is typically recorded using the percentage-of-completion method based on the contract amount. Depending on whether actual costs are more or less than the agreed-upon amount, there is a profit or loss on the project. Under cost-sharing contracts, the fixed amount agreed upon with the customer is only intended to fund a portion of the costs on a specific project. We fund the remainder of the costs as part of our product development efforts. Revenue is typically recorded using the percentage-of-completion method based on the amount agreed upon with the customer. An amount corresponding to the revenue is recorded in cost of revenues resulting in gross profit on these contracts of zero. Our share of the costs is recorded as product development expense. Most of our revenue in the three months ended July 31, 2012 and 2011 was from cost-sharing contracts.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regarding the breakdown of our revenues by customer for the three months ended July 31, 2012 and 2011:</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gridSpan w:val="3"/>
          </w:tcPr>
          <w:p>
            <w:pPr>
              <w:spacing w:after="0"/>
              <w:rPr>
                <w:sz w:val="20"/>
                <w:szCs w:val="20"/>
                <w:color w:val="auto"/>
              </w:rPr>
            </w:pPr>
            <w:r>
              <w:rPr>
                <w:rFonts w:ascii="Arial" w:cs="Arial" w:eastAsia="Arial" w:hAnsi="Arial"/>
                <w:sz w:val="18"/>
                <w:szCs w:val="18"/>
                <w:b w:val="1"/>
                <w:bCs w:val="1"/>
                <w:color w:val="auto"/>
              </w:rPr>
              <w:t>Customer</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 July 31,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4480" w:type="dxa"/>
            <w:vAlign w:val="bottom"/>
            <w:gridSpan w:val="3"/>
            <w:vMerge w:val="restart"/>
          </w:tcPr>
          <w:p>
            <w:pPr>
              <w:spacing w:after="0"/>
              <w:rPr>
                <w:sz w:val="20"/>
                <w:szCs w:val="20"/>
                <w:color w:val="auto"/>
              </w:rPr>
            </w:pPr>
            <w:r>
              <w:rPr>
                <w:rFonts w:ascii="Arial" w:cs="Arial" w:eastAsia="Arial" w:hAnsi="Arial"/>
                <w:sz w:val="18"/>
                <w:szCs w:val="18"/>
                <w:color w:val="auto"/>
              </w:rPr>
              <w:t>($ millions)</w:t>
            </w:r>
          </w:p>
        </w:tc>
        <w:tc>
          <w:tcPr>
            <w:tcW w:w="1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80" w:type="dxa"/>
            <w:vAlign w:val="bottom"/>
            <w:gridSpan w:val="3"/>
            <w:vMerge w:val="continue"/>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US Department of Energy</w:t>
            </w:r>
          </w:p>
        </w:tc>
        <w:tc>
          <w:tcPr>
            <w:tcW w:w="18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0FFFF"/>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0.5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European Union (WavePort project)</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US Navy</w:t>
            </w:r>
          </w:p>
        </w:tc>
        <w:tc>
          <w:tcPr>
            <w:tcW w:w="16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34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0FFFF"/>
          </w:tcPr>
          <w:p>
            <w:pPr>
              <w:spacing w:after="0"/>
              <w:rPr>
                <w:sz w:val="18"/>
                <w:szCs w:val="18"/>
                <w:color w:val="auto"/>
              </w:rPr>
            </w:pPr>
          </w:p>
        </w:tc>
        <w:tc>
          <w:tcPr>
            <w:tcW w:w="11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1.1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UK Government's Technology Strategy Board</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Borders>
              <w:bottom w:val="single" w:sz="8" w:color="C0FFFF"/>
            </w:tcBorders>
            <w:gridSpan w:val="2"/>
            <w:shd w:val="clear" w:color="auto" w:fill="C0FFFF"/>
          </w:tcPr>
          <w:p>
            <w:pPr>
              <w:spacing w:after="0"/>
              <w:rPr>
                <w:sz w:val="20"/>
                <w:szCs w:val="20"/>
                <w:color w:val="auto"/>
              </w:rPr>
            </w:pPr>
            <w:r>
              <w:rPr>
                <w:rFonts w:ascii="Arial" w:cs="Arial" w:eastAsia="Arial" w:hAnsi="Arial"/>
                <w:sz w:val="18"/>
                <w:szCs w:val="18"/>
                <w:color w:val="auto"/>
              </w:rPr>
              <w:t>Other</w:t>
            </w:r>
          </w:p>
        </w:tc>
        <w:tc>
          <w:tcPr>
            <w:tcW w:w="1660" w:type="dxa"/>
            <w:vAlign w:val="bottom"/>
            <w:tcBorders>
              <w:bottom w:val="single" w:sz="8" w:color="C0FFFF"/>
            </w:tcBorders>
            <w:shd w:val="clear" w:color="auto" w:fill="C0FFFF"/>
          </w:tcPr>
          <w:p>
            <w:pPr>
              <w:spacing w:after="0"/>
              <w:rPr>
                <w:sz w:val="19"/>
                <w:szCs w:val="19"/>
                <w:color w:val="auto"/>
              </w:rPr>
            </w:pPr>
          </w:p>
        </w:tc>
        <w:tc>
          <w:tcPr>
            <w:tcW w:w="220" w:type="dxa"/>
            <w:vAlign w:val="bottom"/>
            <w:tcBorders>
              <w:bottom w:val="single" w:sz="8" w:color="auto"/>
            </w:tcBorders>
            <w:shd w:val="clear" w:color="auto" w:fill="C0FFFF"/>
          </w:tcPr>
          <w:p>
            <w:pPr>
              <w:spacing w:after="0"/>
              <w:rPr>
                <w:sz w:val="19"/>
                <w:szCs w:val="19"/>
                <w:color w:val="auto"/>
              </w:rPr>
            </w:pPr>
          </w:p>
        </w:tc>
        <w:tc>
          <w:tcPr>
            <w:tcW w:w="11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C0FFFF"/>
            </w:tcBorders>
            <w:shd w:val="clear" w:color="auto" w:fill="C0FFFF"/>
          </w:tcPr>
          <w:p>
            <w:pPr>
              <w:spacing w:after="0"/>
              <w:rPr>
                <w:sz w:val="19"/>
                <w:szCs w:val="19"/>
                <w:color w:val="auto"/>
              </w:rPr>
            </w:pPr>
          </w:p>
        </w:tc>
        <w:tc>
          <w:tcPr>
            <w:tcW w:w="300" w:type="dxa"/>
            <w:vAlign w:val="bottom"/>
            <w:tcBorders>
              <w:bottom w:val="single" w:sz="8" w:color="auto"/>
            </w:tcBorders>
            <w:shd w:val="clear" w:color="auto" w:fill="C0FFFF"/>
          </w:tcPr>
          <w:p>
            <w:pPr>
              <w:spacing w:after="0"/>
              <w:rPr>
                <w:sz w:val="19"/>
                <w:szCs w:val="19"/>
                <w:color w:val="auto"/>
              </w:rPr>
            </w:pPr>
          </w:p>
        </w:tc>
        <w:tc>
          <w:tcPr>
            <w:tcW w:w="10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0FFFF"/>
            </w:tcBorders>
            <w:shd w:val="clear" w:color="auto" w:fill="C0FFFF"/>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60" w:type="dxa"/>
            <w:vAlign w:val="bottom"/>
            <w:vMerge w:val="restart"/>
          </w:tcPr>
          <w:p>
            <w:pPr>
              <w:jc w:val="right"/>
              <w:ind w:right="250"/>
              <w:spacing w:after="0"/>
              <w:rPr>
                <w:sz w:val="20"/>
                <w:szCs w:val="20"/>
                <w:color w:val="auto"/>
              </w:rPr>
            </w:pPr>
            <w:r>
              <w:rPr>
                <w:rFonts w:ascii="Arial" w:cs="Arial" w:eastAsia="Arial" w:hAnsi="Arial"/>
                <w:sz w:val="18"/>
                <w:szCs w:val="18"/>
                <w:color w:val="auto"/>
              </w:rPr>
              <w:t>20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72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 w:name="page22"/>
    <w:bookmarkEnd w:id="21"/>
    <w:p>
      <w:pPr>
        <w:ind w:right="700"/>
        <w:spacing w:after="0" w:line="342" w:lineRule="auto"/>
        <w:rPr>
          <w:sz w:val="20"/>
          <w:szCs w:val="20"/>
          <w:color w:val="auto"/>
        </w:rPr>
      </w:pPr>
      <w:r>
        <w:rPr>
          <w:rFonts w:ascii="Arial" w:cs="Arial" w:eastAsia="Arial" w:hAnsi="Arial"/>
          <w:sz w:val="16"/>
          <w:szCs w:val="16"/>
          <w:color w:val="auto"/>
        </w:rPr>
        <w:t>We currently focus our sales and marketing efforts on North America, the west coast of Europe, Australia and Japan. The following table provides information regarding the breakdown of our revenues by geographical location of our customers for the three months ended July 31, 2012 and 2011: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10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rPr>
              <w:t>Three months ended July 31,</w:t>
            </w:r>
          </w:p>
        </w:tc>
        <w:tc>
          <w:tcPr>
            <w:tcW w:w="0" w:type="dxa"/>
            <w:vAlign w:val="bottom"/>
          </w:tcPr>
          <w:p>
            <w:pPr>
              <w:spacing w:after="0"/>
              <w:rPr>
                <w:sz w:val="1"/>
                <w:szCs w:val="1"/>
                <w:color w:val="auto"/>
              </w:rPr>
            </w:pPr>
          </w:p>
        </w:tc>
      </w:tr>
      <w:tr>
        <w:trPr>
          <w:trHeight w:val="176"/>
        </w:trPr>
        <w:tc>
          <w:tcPr>
            <w:tcW w:w="604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Customer Location</w:t>
            </w:r>
          </w:p>
        </w:tc>
        <w:tc>
          <w:tcPr>
            <w:tcW w:w="1340" w:type="dxa"/>
            <w:vAlign w:val="bottom"/>
            <w:tcBorders>
              <w:top w:val="single" w:sz="8" w:color="auto"/>
            </w:tcBorders>
          </w:tcPr>
          <w:p>
            <w:pPr>
              <w:jc w:val="right"/>
              <w:ind w:right="410"/>
              <w:spacing w:after="0" w:line="176" w:lineRule="exact"/>
              <w:rPr>
                <w:sz w:val="20"/>
                <w:szCs w:val="20"/>
                <w:color w:val="auto"/>
              </w:rPr>
            </w:pPr>
            <w:r>
              <w:rPr>
                <w:rFonts w:ascii="Arial" w:cs="Arial" w:eastAsia="Arial" w:hAnsi="Arial"/>
                <w:sz w:val="18"/>
                <w:szCs w:val="18"/>
                <w:b w:val="1"/>
                <w:bCs w:val="1"/>
                <w:color w:val="auto"/>
              </w:rPr>
              <w:t>2012</w:t>
            </w:r>
          </w:p>
        </w:tc>
        <w:tc>
          <w:tcPr>
            <w:tcW w:w="2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410"/>
              <w:spacing w:after="0" w:line="176" w:lineRule="exact"/>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45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United States</w:t>
            </w:r>
          </w:p>
        </w:tc>
        <w:tc>
          <w:tcPr>
            <w:tcW w:w="158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72%</w:t>
            </w:r>
          </w:p>
        </w:tc>
        <w:tc>
          <w:tcPr>
            <w:tcW w:w="152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Asia and Australia</w:t>
            </w:r>
          </w:p>
        </w:tc>
        <w:tc>
          <w:tcPr>
            <w:tcW w:w="158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6%</w:t>
            </w:r>
          </w:p>
        </w:tc>
        <w:tc>
          <w:tcPr>
            <w:tcW w:w="15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80" w:type="dxa"/>
            <w:vAlign w:val="bottom"/>
            <w:shd w:val="clear" w:color="auto" w:fill="C0FFFF"/>
          </w:tcPr>
          <w:p>
            <w:pPr>
              <w:spacing w:after="0"/>
              <w:rPr>
                <w:sz w:val="20"/>
                <w:szCs w:val="20"/>
                <w:color w:val="auto"/>
              </w:rPr>
            </w:pPr>
          </w:p>
        </w:tc>
        <w:tc>
          <w:tcPr>
            <w:tcW w:w="4540" w:type="dxa"/>
            <w:vAlign w:val="bottom"/>
            <w:shd w:val="clear" w:color="auto" w:fill="C0FFFF"/>
          </w:tcPr>
          <w:p>
            <w:pPr>
              <w:spacing w:after="0"/>
              <w:rPr>
                <w:sz w:val="20"/>
                <w:szCs w:val="20"/>
                <w:color w:val="auto"/>
              </w:rPr>
            </w:pPr>
          </w:p>
        </w:tc>
        <w:tc>
          <w:tcPr>
            <w:tcW w:w="158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100%</w:t>
            </w:r>
          </w:p>
        </w:tc>
        <w:tc>
          <w:tcPr>
            <w:tcW w:w="152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C0FFFF"/>
            </w:tcBorders>
            <w:shd w:val="clear" w:color="auto" w:fill="C0FFFF"/>
          </w:tcPr>
          <w:p>
            <w:pPr>
              <w:spacing w:after="0" w:line="20" w:lineRule="exact"/>
              <w:rPr>
                <w:sz w:val="1"/>
                <w:szCs w:val="1"/>
                <w:color w:val="auto"/>
              </w:rPr>
            </w:pPr>
          </w:p>
        </w:tc>
        <w:tc>
          <w:tcPr>
            <w:tcW w:w="4540" w:type="dxa"/>
            <w:vAlign w:val="bottom"/>
            <w:tcBorders>
              <w:top w:val="single" w:sz="8" w:color="C0FFFF"/>
            </w:tcBorders>
            <w:shd w:val="clear" w:color="auto" w:fill="C0FFFF"/>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0FFFF"/>
            </w:tcBorders>
            <w:shd w:val="clear" w:color="auto" w:fill="C0FFFF"/>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7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Our cost of revenues consists primarily of incurred material, labor and manufacturing overhead expenses, such as engineering expense, equipment depreciation and maintenance and facility related expenses, and includes the cost of PowerBuoy parts and services supplied by third-party suppliers. Cost of revenues also includes PowerBuoy system delivery and deployment expenses and anticipated losses at completion on certain contracts.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costs</w:t>
      </w:r>
    </w:p>
    <w:p>
      <w:pPr>
        <w:spacing w:after="0" w:line="27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Our product development costs consist of salaries and other personnel-related costs and the costs of products, materials and outside services used in our product development and unfunded research activities. Our product development costs relate primarily to our efforts to increase the output and reliability of our utility PowerBuoy system, including the 150kW PowerBuoy system, and to our research and development of new products, product applications and complementary technologies. We expense all of our product development costs as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7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Our selling, general and administrative costs consist primarily of professional fees, salaries and other personnel-related costs for employees and consultants engaged in sales and marketing and support of our PowerBuoy systems and costs for executive, accounting and administrative personnel, professional fees and other general corporate expenses.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Interest income consists of interest received on cash and cash equivalents, investments in commercial bank-issued certificates of deposit and US Treasury bills and notes. Total cash, cash equivalents, restricted cash, and marketable securities were $29.4 million as of July 31, 2012, compared to $43.1 million as of July 31, 2011. Interest income in the three months ended July 31, 2012 decreased compared to the three months ended July 31, 2011 due to a decline in interest rates and a decline in cash, cash equivalents and marketable securities.</w:t>
      </w:r>
    </w:p>
    <w:p>
      <w:pPr>
        <w:spacing w:after="0" w:line="24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anticipate that our interest income reported in fiscal 2012 will continue to be lower than the comparable periods of the prior fiscal year as a result of the decrease in invested cash.</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Foreign exchange gain (loss)</w:t>
      </w:r>
    </w:p>
    <w:p>
      <w:pPr>
        <w:spacing w:after="0" w:line="27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 Due to the macroeconomic pressures in certain European countries, foreign exchange rates may become more volatile in the future.</w:t>
      </w:r>
    </w:p>
    <w:p>
      <w:pPr>
        <w:spacing w:after="0" w:line="22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invest in certificates of deposit and maintain cash accounts that are denominated in British pounds sterling, Euros and Australian dollars. These foreign-denominated certificates of deposit and cash accounts had a balance of $2.9 million as of July 31, 2012 and $5.2 million as of July 31, 2011, compared to our total cash, cash equivalents, restricted cash, and marketable securities balances of $29.4 million as of July 31, 2012 and $43.1 million as of July 31, 2011. These foreign currency balances are translated at each month end to our functional currency, the US dollar, and any resulting gain or loss is recognized in our results of operations.</w:t>
      </w:r>
    </w:p>
    <w:p>
      <w:pPr>
        <w:spacing w:after="0" w:line="24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 All of our international revenues for the three months ended July 31, 2012 and 2011 were recorded in Euros, British pounds sterling, Australian dollars or Japanese yen.</w:t>
      </w:r>
    </w:p>
    <w:p>
      <w:pPr>
        <w:spacing w:after="0" w:line="2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cash equivalents and marketable securities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July 31, 2012 Compared to Three Months Ended July 31, 2011</w:t>
      </w:r>
    </w:p>
    <w:p>
      <w:pPr>
        <w:spacing w:after="0" w:line="2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three months ended July 31, 2012 and 2011: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w w:val="95"/>
              </w:rPr>
              <w:t>Three Months Ended</w:t>
            </w:r>
          </w:p>
        </w:tc>
        <w:tc>
          <w:tcPr>
            <w:tcW w:w="120" w:type="dxa"/>
            <w:vAlign w:val="bottom"/>
          </w:tcPr>
          <w:p>
            <w:pPr>
              <w:spacing w:after="0"/>
              <w:rPr>
                <w:sz w:val="18"/>
                <w:szCs w:val="18"/>
                <w:color w:val="auto"/>
              </w:rPr>
            </w:pPr>
          </w:p>
        </w:tc>
        <w:tc>
          <w:tcPr>
            <w:tcW w:w="228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w w:val="95"/>
              </w:rPr>
              <w:t>Three Months Ended</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July 31, 2012</w:t>
            </w:r>
          </w:p>
        </w:tc>
        <w:tc>
          <w:tcPr>
            <w:tcW w:w="120" w:type="dxa"/>
            <w:vAlign w:val="bottom"/>
          </w:tcPr>
          <w:p>
            <w:pPr>
              <w:spacing w:after="0"/>
              <w:rPr>
                <w:sz w:val="20"/>
                <w:szCs w:val="20"/>
                <w:color w:val="auto"/>
              </w:rPr>
            </w:pPr>
          </w:p>
        </w:tc>
        <w:tc>
          <w:tcPr>
            <w:tcW w:w="228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July 31, 2011</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As a</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As a</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 of</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Period to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ind w:left="4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9"/>
              </w:rPr>
              <w:t>Revenues (1)</w:t>
            </w:r>
          </w:p>
        </w:tc>
        <w:tc>
          <w:tcPr>
            <w:tcW w:w="12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Amount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9"/>
              </w:rPr>
              <w:t>Revenues (1)</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2011 Period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Borders>
              <w:right w:val="single" w:sz="8" w:color="C0FFFF"/>
            </w:tcBorders>
            <w:shd w:val="clear" w:color="auto" w:fill="C0FF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982,396</w:t>
            </w:r>
          </w:p>
        </w:tc>
        <w:tc>
          <w:tcPr>
            <w:tcW w:w="1260" w:type="dxa"/>
            <w:vAlign w:val="bottom"/>
            <w:tcBorders>
              <w:right w:val="single" w:sz="8" w:color="C0FFFF"/>
            </w:tcBorders>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w w:val="97"/>
              </w:rPr>
              <w:t>1,910,852</w:t>
            </w:r>
          </w:p>
        </w:tc>
        <w:tc>
          <w:tcPr>
            <w:tcW w:w="12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100%</w:t>
            </w:r>
          </w:p>
        </w:tc>
        <w:tc>
          <w:tcPr>
            <w:tcW w:w="116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979,860</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1,901,902</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100</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right w:val="single" w:sz="8" w:color="C0FFFF"/>
            </w:tcBorders>
            <w:shd w:val="clear" w:color="auto" w:fill="C0FFFF"/>
          </w:tcPr>
          <w:p>
            <w:pPr>
              <w:ind w:left="48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0FFFF"/>
          </w:tcPr>
          <w:p>
            <w:pPr>
              <w:spacing w:after="0"/>
              <w:rPr>
                <w:sz w:val="19"/>
                <w:szCs w:val="19"/>
                <w:color w:val="auto"/>
              </w:rPr>
            </w:pPr>
          </w:p>
        </w:tc>
        <w:tc>
          <w:tcPr>
            <w:tcW w:w="10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2,536</w:t>
            </w:r>
          </w:p>
        </w:tc>
        <w:tc>
          <w:tcPr>
            <w:tcW w:w="1260" w:type="dxa"/>
            <w:vAlign w:val="bottom"/>
            <w:tcBorders>
              <w:right w:val="single" w:sz="8" w:color="C0FFFF"/>
            </w:tcBorders>
            <w:gridSpan w:val="2"/>
            <w:shd w:val="clear" w:color="auto" w:fill="C0FF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0FFFF"/>
          </w:tcPr>
          <w:p>
            <w:pPr>
              <w:spacing w:after="0"/>
              <w:rPr>
                <w:sz w:val="19"/>
                <w:szCs w:val="19"/>
                <w:color w:val="auto"/>
              </w:rPr>
            </w:pPr>
          </w:p>
        </w:tc>
        <w:tc>
          <w:tcPr>
            <w:tcW w:w="100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8,950</w:t>
            </w:r>
          </w:p>
        </w:tc>
        <w:tc>
          <w:tcPr>
            <w:tcW w:w="1280" w:type="dxa"/>
            <w:vAlign w:val="bottom"/>
            <w:gridSpan w:val="2"/>
            <w:shd w:val="clear" w:color="auto" w:fill="C0FF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top w:val="single" w:sz="8" w:color="C0FFFF"/>
            </w:tcBorders>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60" w:type="dxa"/>
            <w:vAlign w:val="bottom"/>
            <w:tcBorders>
              <w:top w:val="single" w:sz="8" w:color="C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0FF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60" w:type="dxa"/>
            <w:vAlign w:val="bottom"/>
            <w:tcBorders>
              <w:top w:val="single" w:sz="8" w:color="C0FFFF"/>
            </w:tcBorders>
          </w:tcPr>
          <w:p>
            <w:pPr>
              <w:spacing w:after="0"/>
              <w:rPr>
                <w:sz w:val="18"/>
                <w:szCs w:val="18"/>
                <w:color w:val="auto"/>
              </w:rPr>
            </w:pPr>
          </w:p>
        </w:tc>
        <w:tc>
          <w:tcPr>
            <w:tcW w:w="900" w:type="dxa"/>
            <w:vAlign w:val="bottom"/>
            <w:tcBorders>
              <w:top w:val="single" w:sz="8" w:color="C0FFFF"/>
            </w:tcBorders>
          </w:tcPr>
          <w:p>
            <w:pPr>
              <w:spacing w:after="0"/>
              <w:rPr>
                <w:sz w:val="18"/>
                <w:szCs w:val="18"/>
                <w:color w:val="auto"/>
              </w:rPr>
            </w:pPr>
          </w:p>
        </w:tc>
        <w:tc>
          <w:tcPr>
            <w:tcW w:w="26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right w:val="single" w:sz="8" w:color="C0FFFF"/>
            </w:tcBorders>
            <w:shd w:val="clear" w:color="auto" w:fill="C0FFFF"/>
          </w:tcPr>
          <w:p>
            <w:pPr>
              <w:ind w:left="160"/>
              <w:spacing w:after="0"/>
              <w:rPr>
                <w:sz w:val="20"/>
                <w:szCs w:val="20"/>
                <w:color w:val="auto"/>
              </w:rPr>
            </w:pPr>
            <w:r>
              <w:rPr>
                <w:rFonts w:ascii="Arial" w:cs="Arial" w:eastAsia="Arial" w:hAnsi="Arial"/>
                <w:sz w:val="18"/>
                <w:szCs w:val="18"/>
                <w:color w:val="auto"/>
              </w:rPr>
              <w:t>Product development costs</w:t>
            </w:r>
          </w:p>
        </w:tc>
        <w:tc>
          <w:tcPr>
            <w:tcW w:w="100" w:type="dxa"/>
            <w:vAlign w:val="bottom"/>
            <w:shd w:val="clear" w:color="auto" w:fill="C0FFFF"/>
          </w:tcPr>
          <w:p>
            <w:pPr>
              <w:spacing w:after="0"/>
              <w:rPr>
                <w:sz w:val="18"/>
                <w:szCs w:val="18"/>
                <w:color w:val="auto"/>
              </w:rPr>
            </w:pPr>
          </w:p>
        </w:tc>
        <w:tc>
          <w:tcPr>
            <w:tcW w:w="10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w w:val="97"/>
              </w:rPr>
              <w:t>1,927,427</w:t>
            </w:r>
          </w:p>
        </w:tc>
        <w:tc>
          <w:tcPr>
            <w:tcW w:w="1260" w:type="dxa"/>
            <w:vAlign w:val="bottom"/>
            <w:tcBorders>
              <w:right w:val="single" w:sz="8" w:color="C0FFFF"/>
            </w:tcBorders>
            <w:gridSpan w:val="2"/>
            <w:shd w:val="clear" w:color="auto" w:fill="C0FFFF"/>
          </w:tcPr>
          <w:p>
            <w:pPr>
              <w:jc w:val="right"/>
              <w:ind w:right="360"/>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w w:val="97"/>
              </w:rPr>
              <w:t>3,100,587</w:t>
            </w:r>
          </w:p>
        </w:tc>
        <w:tc>
          <w:tcPr>
            <w:tcW w:w="1280" w:type="dxa"/>
            <w:vAlign w:val="bottom"/>
            <w:gridSpan w:val="2"/>
            <w:shd w:val="clear" w:color="auto" w:fill="C0FFFF"/>
          </w:tcPr>
          <w:p>
            <w:pPr>
              <w:jc w:val="right"/>
              <w:ind w:right="360"/>
              <w:spacing w:after="0"/>
              <w:rPr>
                <w:sz w:val="20"/>
                <w:szCs w:val="20"/>
                <w:color w:val="auto"/>
              </w:rPr>
            </w:pPr>
            <w:r>
              <w:rPr>
                <w:rFonts w:ascii="Arial" w:cs="Arial" w:eastAsia="Arial" w:hAnsi="Arial"/>
                <w:sz w:val="18"/>
                <w:szCs w:val="18"/>
                <w:color w:val="auto"/>
              </w:rPr>
              <w:t>162</w:t>
            </w:r>
          </w:p>
        </w:tc>
        <w:tc>
          <w:tcPr>
            <w:tcW w:w="116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2,384,338</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2,019,742</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106</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right w:val="single" w:sz="8" w:color="C0FFFF"/>
            </w:tcBorders>
            <w:shd w:val="clear" w:color="auto" w:fill="C0FFFF"/>
          </w:tcPr>
          <w:p>
            <w:pPr>
              <w:ind w:left="48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0FFFF"/>
          </w:tcPr>
          <w:p>
            <w:pPr>
              <w:spacing w:after="0"/>
              <w:rPr>
                <w:sz w:val="18"/>
                <w:szCs w:val="18"/>
                <w:color w:val="auto"/>
              </w:rPr>
            </w:pPr>
          </w:p>
        </w:tc>
        <w:tc>
          <w:tcPr>
            <w:tcW w:w="10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w w:val="97"/>
              </w:rPr>
              <w:t>4,311,765</w:t>
            </w:r>
          </w:p>
        </w:tc>
        <w:tc>
          <w:tcPr>
            <w:tcW w:w="1260" w:type="dxa"/>
            <w:vAlign w:val="bottom"/>
            <w:tcBorders>
              <w:right w:val="single" w:sz="8" w:color="C0FFFF"/>
            </w:tcBorders>
            <w:gridSpan w:val="2"/>
            <w:shd w:val="clear" w:color="auto" w:fill="C0FFFF"/>
          </w:tcPr>
          <w:p>
            <w:pPr>
              <w:jc w:val="right"/>
              <w:ind w:right="360"/>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w w:val="97"/>
              </w:rPr>
              <w:t>5,120,329</w:t>
            </w:r>
          </w:p>
        </w:tc>
        <w:tc>
          <w:tcPr>
            <w:tcW w:w="1280" w:type="dxa"/>
            <w:vAlign w:val="bottom"/>
            <w:gridSpan w:val="2"/>
            <w:shd w:val="clear" w:color="auto" w:fill="C0FFFF"/>
          </w:tcPr>
          <w:p>
            <w:pPr>
              <w:jc w:val="right"/>
              <w:ind w:right="360"/>
              <w:spacing w:after="0"/>
              <w:rPr>
                <w:sz w:val="20"/>
                <w:szCs w:val="20"/>
                <w:color w:val="auto"/>
              </w:rPr>
            </w:pPr>
            <w:r>
              <w:rPr>
                <w:rFonts w:ascii="Arial" w:cs="Arial" w:eastAsia="Arial" w:hAnsi="Arial"/>
                <w:sz w:val="18"/>
                <w:szCs w:val="18"/>
                <w:color w:val="auto"/>
              </w:rPr>
              <w:t>268</w:t>
            </w:r>
          </w:p>
        </w:tc>
        <w:tc>
          <w:tcPr>
            <w:tcW w:w="116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Borders>
              <w:right w:val="single" w:sz="8" w:color="C0FFFF"/>
            </w:tcBorders>
            <w:shd w:val="clear" w:color="auto" w:fill="C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Borders>
              <w:right w:val="single" w:sz="8" w:color="C0FFFF"/>
            </w:tcBorders>
            <w:shd w:val="clear" w:color="auto" w:fill="C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0FF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shd w:val="clear" w:color="auto" w:fill="C0FFFF"/>
          </w:tcPr>
          <w:p>
            <w:pPr>
              <w:spacing w:after="0"/>
              <w:rPr>
                <w:sz w:val="2"/>
                <w:szCs w:val="2"/>
                <w:color w:val="auto"/>
              </w:rPr>
            </w:pPr>
          </w:p>
        </w:tc>
        <w:tc>
          <w:tcPr>
            <w:tcW w:w="900" w:type="dxa"/>
            <w:vAlign w:val="bottom"/>
            <w:shd w:val="clear" w:color="auto" w:fill="C0FFFF"/>
          </w:tcPr>
          <w:p>
            <w:pPr>
              <w:spacing w:after="0"/>
              <w:rPr>
                <w:sz w:val="2"/>
                <w:szCs w:val="2"/>
                <w:color w:val="auto"/>
              </w:rPr>
            </w:pPr>
          </w:p>
        </w:tc>
        <w:tc>
          <w:tcPr>
            <w:tcW w:w="26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(4,309,229)</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(5,111,379)</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(267)</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right w:val="single" w:sz="8" w:color="C0FFFF"/>
            </w:tcBorders>
            <w:shd w:val="clear" w:color="auto" w:fill="C0FFFF"/>
          </w:tcPr>
          <w:p>
            <w:pPr>
              <w:spacing w:after="0"/>
              <w:rPr>
                <w:sz w:val="20"/>
                <w:szCs w:val="20"/>
                <w:color w:val="auto"/>
              </w:rPr>
            </w:pPr>
            <w:r>
              <w:rPr>
                <w:rFonts w:ascii="Arial" w:cs="Arial" w:eastAsia="Arial" w:hAnsi="Arial"/>
                <w:sz w:val="18"/>
                <w:szCs w:val="18"/>
                <w:color w:val="auto"/>
              </w:rPr>
              <w:t>Interest income, net</w:t>
            </w:r>
          </w:p>
        </w:tc>
        <w:tc>
          <w:tcPr>
            <w:tcW w:w="100" w:type="dxa"/>
            <w:vAlign w:val="bottom"/>
            <w:shd w:val="clear" w:color="auto" w:fill="C0FFFF"/>
          </w:tcPr>
          <w:p>
            <w:pPr>
              <w:spacing w:after="0"/>
              <w:rPr>
                <w:sz w:val="18"/>
                <w:szCs w:val="18"/>
                <w:color w:val="auto"/>
              </w:rPr>
            </w:pPr>
          </w:p>
        </w:tc>
        <w:tc>
          <w:tcPr>
            <w:tcW w:w="10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55,424</w:t>
            </w:r>
          </w:p>
        </w:tc>
        <w:tc>
          <w:tcPr>
            <w:tcW w:w="1260" w:type="dxa"/>
            <w:vAlign w:val="bottom"/>
            <w:tcBorders>
              <w:right w:val="single" w:sz="8" w:color="C0FFFF"/>
            </w:tcBorders>
            <w:gridSpan w:val="2"/>
            <w:shd w:val="clear" w:color="auto" w:fill="C0FFFF"/>
          </w:tcPr>
          <w:p>
            <w:pPr>
              <w:jc w:val="right"/>
              <w:ind w:right="36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120,768</w:t>
            </w:r>
          </w:p>
        </w:tc>
        <w:tc>
          <w:tcPr>
            <w:tcW w:w="1280" w:type="dxa"/>
            <w:vAlign w:val="bottom"/>
            <w:gridSpan w:val="2"/>
            <w:shd w:val="clear" w:color="auto" w:fill="C0FFFF"/>
          </w:tcPr>
          <w:p>
            <w:pPr>
              <w:jc w:val="right"/>
              <w:ind w:right="360"/>
              <w:spacing w:after="0"/>
              <w:rPr>
                <w:sz w:val="20"/>
                <w:szCs w:val="20"/>
                <w:color w:val="auto"/>
              </w:rPr>
            </w:pPr>
            <w:r>
              <w:rPr>
                <w:rFonts w:ascii="Arial" w:cs="Arial" w:eastAsia="Arial" w:hAnsi="Arial"/>
                <w:sz w:val="18"/>
                <w:szCs w:val="18"/>
                <w:color w:val="auto"/>
              </w:rPr>
              <w:t>6</w:t>
            </w:r>
          </w:p>
        </w:tc>
        <w:tc>
          <w:tcPr>
            <w:tcW w:w="116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Foreign exchange loss</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(108,323)</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(9,041)</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Borders>
              <w:right w:val="single" w:sz="8" w:color="C0FFFF"/>
            </w:tcBorders>
            <w:shd w:val="clear" w:color="auto" w:fill="C0FF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0FFFF"/>
          </w:tcPr>
          <w:p>
            <w:pPr>
              <w:spacing w:after="0"/>
              <w:rPr>
                <w:sz w:val="18"/>
                <w:szCs w:val="18"/>
                <w:color w:val="auto"/>
              </w:rPr>
            </w:pPr>
          </w:p>
        </w:tc>
        <w:tc>
          <w:tcPr>
            <w:tcW w:w="10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w w:val="91"/>
              </w:rPr>
              <w:t>(4,362,128)</w:t>
            </w:r>
          </w:p>
        </w:tc>
        <w:tc>
          <w:tcPr>
            <w:tcW w:w="1260" w:type="dxa"/>
            <w:vAlign w:val="bottom"/>
            <w:tcBorders>
              <w:right w:val="single" w:sz="8" w:color="C0FFFF"/>
            </w:tcBorders>
            <w:gridSpan w:val="2"/>
            <w:shd w:val="clear" w:color="auto" w:fill="C0FFFF"/>
          </w:tcPr>
          <w:p>
            <w:pPr>
              <w:jc w:val="right"/>
              <w:ind w:right="300"/>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w w:val="91"/>
              </w:rPr>
              <w:t>(4,999,652)</w:t>
            </w:r>
          </w:p>
        </w:tc>
        <w:tc>
          <w:tcPr>
            <w:tcW w:w="1280" w:type="dxa"/>
            <w:vAlign w:val="bottom"/>
            <w:gridSpan w:val="2"/>
            <w:shd w:val="clear" w:color="auto" w:fill="C0FFFF"/>
          </w:tcPr>
          <w:p>
            <w:pPr>
              <w:jc w:val="right"/>
              <w:ind w:right="300"/>
              <w:spacing w:after="0"/>
              <w:rPr>
                <w:sz w:val="20"/>
                <w:szCs w:val="20"/>
                <w:color w:val="auto"/>
              </w:rPr>
            </w:pPr>
            <w:r>
              <w:rPr>
                <w:rFonts w:ascii="Arial" w:cs="Arial" w:eastAsia="Arial" w:hAnsi="Arial"/>
                <w:sz w:val="18"/>
                <w:szCs w:val="18"/>
                <w:color w:val="auto"/>
              </w:rPr>
              <w:t>(262)</w:t>
            </w:r>
          </w:p>
        </w:tc>
        <w:tc>
          <w:tcPr>
            <w:tcW w:w="116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60" w:type="dxa"/>
            <w:vAlign w:val="bottom"/>
          </w:tcPr>
          <w:p>
            <w:pPr>
              <w:ind w:left="160"/>
              <w:spacing w:after="0" w:line="201" w:lineRule="exact"/>
              <w:rPr>
                <w:sz w:val="20"/>
                <w:szCs w:val="20"/>
                <w:color w:val="auto"/>
              </w:rPr>
            </w:pPr>
            <w:r>
              <w:rPr>
                <w:rFonts w:ascii="Arial" w:cs="Arial" w:eastAsia="Arial" w:hAnsi="Arial"/>
                <w:sz w:val="18"/>
                <w:szCs w:val="18"/>
                <w:color w:val="auto"/>
                <w:w w:val="92"/>
              </w:rPr>
              <w:t>Less: Net loss attributable to the noncontrolling interest in Ocean Power</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Pr>
          <w:p>
            <w:pPr>
              <w:ind w:left="320"/>
              <w:spacing w:after="0"/>
              <w:rPr>
                <w:sz w:val="20"/>
                <w:szCs w:val="20"/>
                <w:color w:val="auto"/>
              </w:rPr>
            </w:pPr>
            <w:r>
              <w:rPr>
                <w:rFonts w:ascii="Arial" w:cs="Arial" w:eastAsia="Arial" w:hAnsi="Arial"/>
                <w:sz w:val="18"/>
                <w:szCs w:val="18"/>
                <w:color w:val="auto"/>
              </w:rPr>
              <w:t>Technologies (Australasia) Pty Ltd.</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26,075</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4,588</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60" w:type="dxa"/>
            <w:vAlign w:val="bottom"/>
            <w:tcBorders>
              <w:right w:val="single" w:sz="8" w:color="C0FFFF"/>
            </w:tcBorders>
            <w:shd w:val="clear" w:color="auto" w:fill="C0FFFF"/>
          </w:tcPr>
          <w:p>
            <w:pPr>
              <w:spacing w:after="0"/>
              <w:rPr>
                <w:sz w:val="20"/>
                <w:szCs w:val="20"/>
                <w:color w:val="auto"/>
              </w:rPr>
            </w:pPr>
            <w:r>
              <w:rPr>
                <w:rFonts w:ascii="Arial" w:cs="Arial" w:eastAsia="Arial" w:hAnsi="Arial"/>
                <w:sz w:val="18"/>
                <w:szCs w:val="18"/>
                <w:color w:val="auto"/>
              </w:rPr>
              <w:t>Net loss attributable to Ocean Power Technologies, Inc.</w:t>
            </w:r>
          </w:p>
        </w:tc>
        <w:tc>
          <w:tcPr>
            <w:tcW w:w="10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w w:val="91"/>
              </w:rPr>
              <w:t>(4,336,053)</w:t>
            </w:r>
          </w:p>
        </w:tc>
        <w:tc>
          <w:tcPr>
            <w:tcW w:w="1260" w:type="dxa"/>
            <w:vAlign w:val="bottom"/>
            <w:tcBorders>
              <w:right w:val="single" w:sz="8" w:color="C0FFFF"/>
            </w:tcBorders>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(441) %</w:t>
            </w:r>
          </w:p>
        </w:tc>
        <w:tc>
          <w:tcPr>
            <w:tcW w:w="12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w w:val="91"/>
              </w:rPr>
              <w:t>(4,995,064)</w:t>
            </w:r>
          </w:p>
        </w:tc>
        <w:tc>
          <w:tcPr>
            <w:tcW w:w="12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(261) %</w:t>
            </w:r>
          </w:p>
        </w:tc>
        <w:tc>
          <w:tcPr>
            <w:tcW w:w="11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C0FFFF"/>
              <w:right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0FFFF"/>
              <w:right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0FFFF"/>
            </w:tcBorders>
            <w:shd w:val="clear" w:color="auto" w:fill="C0FFFF"/>
          </w:tcPr>
          <w:p>
            <w:pPr>
              <w:spacing w:after="0" w:line="20" w:lineRule="exact"/>
              <w:rPr>
                <w:sz w:val="1"/>
                <w:szCs w:val="1"/>
                <w:color w:val="auto"/>
              </w:rPr>
            </w:pPr>
          </w:p>
        </w:tc>
        <w:tc>
          <w:tcPr>
            <w:tcW w:w="900" w:type="dxa"/>
            <w:vAlign w:val="bottom"/>
            <w:tcBorders>
              <w:top w:val="single" w:sz="8" w:color="C0FFFF"/>
            </w:tcBorders>
            <w:shd w:val="clear" w:color="auto" w:fill="C0FFFF"/>
          </w:tcPr>
          <w:p>
            <w:pPr>
              <w:spacing w:after="0" w:line="20" w:lineRule="exact"/>
              <w:rPr>
                <w:sz w:val="1"/>
                <w:szCs w:val="1"/>
                <w:color w:val="auto"/>
              </w:rPr>
            </w:pPr>
          </w:p>
        </w:tc>
        <w:tc>
          <w:tcPr>
            <w:tcW w:w="26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 Certain subtotals may not add due to rounding.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Revenues decreased by $0.9 million, or 49%, to $1.0 million in the three months ended July 31, 2012, as compared to $1.9 million in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July 31, 2011. The change in revenues was attributable to the following factors:</w:t>
      </w:r>
    </w:p>
    <w:p>
      <w:pPr>
        <w:spacing w:after="0" w:line="265" w:lineRule="exact"/>
        <w:rPr>
          <w:sz w:val="20"/>
          <w:szCs w:val="20"/>
          <w:color w:val="auto"/>
        </w:rPr>
      </w:pPr>
    </w:p>
    <w:p>
      <w:pPr>
        <w:ind w:left="460" w:right="100" w:hanging="452"/>
        <w:spacing w:after="0" w:line="277" w:lineRule="auto"/>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Revenues relating to our utility PowerBuoy system increased by $0.2 million due primarily to an increase in billable work on our WavePort project off the coast of Spain.</w:t>
      </w:r>
    </w:p>
    <w:p>
      <w:pPr>
        <w:spacing w:after="0" w:line="170" w:lineRule="exact"/>
        <w:rPr>
          <w:rFonts w:ascii="Arial" w:cs="Arial" w:eastAsia="Arial" w:hAnsi="Arial"/>
          <w:sz w:val="18"/>
          <w:szCs w:val="18"/>
          <w:b w:val="1"/>
          <w:bCs w:val="1"/>
          <w:color w:val="auto"/>
        </w:rPr>
      </w:pPr>
    </w:p>
    <w:p>
      <w:pPr>
        <w:ind w:left="460" w:right="140" w:hanging="452"/>
        <w:spacing w:after="0" w:line="264" w:lineRule="auto"/>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Revenues relating to our autonomous PowerBuoy system decreased by $1.1 million primarily as a result of a decrease in billable work on our projects to provide our PowerBuoy technology to the US Navy's Littoral Expeditionary Autonomous PowerBuoy (“LEAP”) program. The LEAP project was completed during fiscal 2012.</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7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Cost of revenues decreased by $0.9 million, or 48%, to $1.0 million in the three months ended July 31, 2012, as compared to $1.9 million in the three months ended July 31, 2011. This decrease in the cost of revenues reflected the decreased activity related to our LEAP project with the US Navy. This was partially offset by the increased activity on our WavePort project off the coast of Spain.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4" w:name="page25"/>
    <w:bookmarkEnd w:id="24"/>
    <w:p>
      <w:pPr>
        <w:ind w:right="60"/>
        <w:spacing w:after="0" w:line="291" w:lineRule="auto"/>
        <w:rPr>
          <w:sz w:val="20"/>
          <w:szCs w:val="20"/>
          <w:color w:val="auto"/>
        </w:rPr>
      </w:pPr>
      <w:r>
        <w:rPr>
          <w:rFonts w:ascii="Arial" w:cs="Arial" w:eastAsia="Arial" w:hAnsi="Arial"/>
          <w:sz w:val="16"/>
          <w:szCs w:val="16"/>
          <w:color w:val="auto"/>
        </w:rPr>
        <w:t>We operated at an approximate break-even gross profit in the three month periods ended July 31, 2012 and 2011. Most of our projects in the three month periods ended July 31, 2012 and 2011 were under cost-sharing contracts. Under cost-sharing contracts, we receive a fixed amount agreed upon with the customer that is only intended to fund a portion of the costs on a specific project. We fund the remainder of the costs primarily as part of our product development efforts. Revenue is typically recorded using the percentage-of-completion method applied to the contractual amount agreed upon with the customer. An equal amount corresponding to the revenue is recorded in cost of revenues resulting in gross profit on these contracts of zero. Our share of the costs is considered to be product development expense. Our ability to generate a gross profit will depend on the nature of future contracts, our success at increasing sales of our PowerBuoy systems and on our ability to manage costs incurred on our fixed price contracts.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costs</w:t>
      </w:r>
    </w:p>
    <w:p>
      <w:pPr>
        <w:spacing w:after="0" w:line="27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Product development costs decreased by $1.2 million, or 38%, to $1.9 million in the three months ended July 31, 2012, as compared to $3.1 million in the three months ended July 31, 2011. Product development costs were attributable primarily to our efforts to increase the power output and reliability of our utility PowerBuoy system, especially for our utility-scale PowerBuoy system. The decrease in product development costs was related primarily to a decrease in activity related to our PowerBuoy projects off the coast of Oregon and off the coast of Scotland. The Oregon project is in the final assembly stage and the Scotland project was completed in fiscal 2012. As we progress to deployment and commissioning of the Oregon PowerBuoy, our product development costs may increase. Over the next several years, it is our intent to fund the majority of our research and development expenses, including cost-sharing arrangements, with sources of external funding. If we are unable to obtain external funding, we may curtail our research and development expenses or we may decide to self-fund significant research and development expenses, in which case our product development costs may increase. During the three months ended July 31, 2012, the majority of funding for our PB500 PowerBuoy development project was from external sources.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Selling, general and administrative costs increased by $0.4 million, or 18%, to $2.4 million for the three months ended July 31, 2012 as compared to $2.0 million for the three months ended July 31, 2011. The increase was due primarily to an increase in site development expenses related to our potential project in Australia and recruiting fees.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income decreased approximately 54% to $55,000 for the three months ended July 31, 2012, as compared to $121,000 in the three months ended July 31, 2011, due to a decrease in cash, cash equivalents and marketable securities and a decrease in average yield.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w:t>
      </w:r>
    </w:p>
    <w:p>
      <w:pPr>
        <w:spacing w:after="0" w:line="27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Foreign exchange loss was $108,000 for the three months ended July 31, 2012, compared to a foreign exchange loss of $9,000 for the three months ended July 31, 2011. The difference was attributable primarily to the relative change in value of the British pound sterling, Euro and Australian dollar compared to the US dollar during the two periods.</w:t>
      </w:r>
    </w:p>
    <w:p>
      <w:pPr>
        <w:spacing w:after="0" w:line="200" w:lineRule="exact"/>
        <w:rPr>
          <w:sz w:val="20"/>
          <w:szCs w:val="20"/>
          <w:color w:val="auto"/>
        </w:rPr>
      </w:pP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71"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Since our inception, the cash flows from customer revenues have not been sufficient to fund our operations and provide the capital resources for the planned growth of our business. For the two years ended April 30, 2012, our revenues were $12.4 million, our net losses were $35.6 million and our net cash used in operating activities was $32.7 million.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w w:val="93"/>
              </w:rPr>
              <w:t>Cash flows for the three months ended July 31, 2012 and 2011 were as follows: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5"/>
              </w:rPr>
              <w:t>Three Months Ended July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0FFFF"/>
          </w:tcPr>
          <w:p>
            <w:pPr>
              <w:spacing w:after="0"/>
              <w:rPr>
                <w:sz w:val="20"/>
                <w:szCs w:val="20"/>
                <w:color w:val="auto"/>
              </w:rPr>
            </w:pPr>
            <w:r>
              <w:rPr>
                <w:rFonts w:ascii="Arial" w:cs="Arial" w:eastAsia="Arial" w:hAnsi="Arial"/>
                <w:sz w:val="18"/>
                <w:szCs w:val="18"/>
                <w:color w:val="auto"/>
              </w:rPr>
              <w:t>Net loss</w:t>
            </w:r>
          </w:p>
        </w:tc>
        <w:tc>
          <w:tcPr>
            <w:tcW w:w="4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(4,362,128)</w:t>
            </w:r>
          </w:p>
        </w:tc>
        <w:tc>
          <w:tcPr>
            <w:tcW w:w="300" w:type="dxa"/>
            <w:vAlign w:val="bottom"/>
            <w:shd w:val="clear" w:color="auto" w:fill="C0FFFF"/>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(4,999,652)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20" w:type="dxa"/>
            <w:vAlign w:val="bottom"/>
            <w:shd w:val="clear" w:color="auto" w:fill="C0FFFF"/>
          </w:tcPr>
          <w:p>
            <w:pPr>
              <w:spacing w:after="0"/>
              <w:rPr>
                <w:sz w:val="20"/>
                <w:szCs w:val="20"/>
                <w:color w:val="auto"/>
              </w:rPr>
            </w:pPr>
            <w:r>
              <w:rPr>
                <w:rFonts w:ascii="Arial" w:cs="Arial" w:eastAsia="Arial" w:hAnsi="Arial"/>
                <w:sz w:val="18"/>
                <w:szCs w:val="18"/>
                <w:color w:val="auto"/>
              </w:rPr>
              <w:t>Adjustments for noncash operating items</w:t>
            </w:r>
          </w:p>
        </w:tc>
        <w:tc>
          <w:tcPr>
            <w:tcW w:w="200" w:type="dxa"/>
            <w:vAlign w:val="bottom"/>
            <w:shd w:val="clear" w:color="auto" w:fill="C0FFFF"/>
          </w:tcPr>
          <w:p>
            <w:pPr>
              <w:spacing w:after="0"/>
              <w:rPr>
                <w:sz w:val="19"/>
                <w:szCs w:val="19"/>
                <w:color w:val="auto"/>
              </w:rPr>
            </w:pPr>
          </w:p>
        </w:tc>
        <w:tc>
          <w:tcPr>
            <w:tcW w:w="200" w:type="dxa"/>
            <w:vAlign w:val="bottom"/>
            <w:shd w:val="clear" w:color="auto" w:fill="C0FFFF"/>
          </w:tcPr>
          <w:p>
            <w:pPr>
              <w:spacing w:after="0"/>
              <w:rPr>
                <w:sz w:val="19"/>
                <w:szCs w:val="19"/>
                <w:color w:val="auto"/>
              </w:rPr>
            </w:pPr>
          </w:p>
        </w:tc>
        <w:tc>
          <w:tcPr>
            <w:tcW w:w="13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619,099</w:t>
            </w:r>
          </w:p>
        </w:tc>
        <w:tc>
          <w:tcPr>
            <w:tcW w:w="300" w:type="dxa"/>
            <w:vAlign w:val="bottom"/>
            <w:shd w:val="clear" w:color="auto" w:fill="C0FFFF"/>
          </w:tcPr>
          <w:p>
            <w:pPr>
              <w:spacing w:after="0"/>
              <w:rPr>
                <w:sz w:val="19"/>
                <w:szCs w:val="19"/>
                <w:color w:val="auto"/>
              </w:rPr>
            </w:pPr>
          </w:p>
        </w:tc>
        <w:tc>
          <w:tcPr>
            <w:tcW w:w="11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493,333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tcBorders>
              <w:top w:val="single" w:sz="8" w:color="C0FFFF"/>
            </w:tcBorders>
          </w:tcPr>
          <w:p>
            <w:pPr>
              <w:spacing w:after="0"/>
              <w:rPr>
                <w:sz w:val="18"/>
                <w:szCs w:val="18"/>
                <w:color w:val="auto"/>
              </w:rPr>
            </w:pPr>
          </w:p>
        </w:tc>
        <w:tc>
          <w:tcPr>
            <w:tcW w:w="200" w:type="dxa"/>
            <w:vAlign w:val="bottom"/>
            <w:tcBorders>
              <w:top w:val="single" w:sz="8" w:color="C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C0FF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0FFFF"/>
          </w:tcPr>
          <w:p>
            <w:pPr>
              <w:spacing w:after="0"/>
              <w:rPr>
                <w:sz w:val="20"/>
                <w:szCs w:val="20"/>
                <w:color w:val="auto"/>
              </w:rPr>
            </w:pPr>
            <w:r>
              <w:rPr>
                <w:rFonts w:ascii="Arial" w:cs="Arial" w:eastAsia="Arial" w:hAnsi="Arial"/>
                <w:sz w:val="18"/>
                <w:szCs w:val="18"/>
                <w:color w:val="auto"/>
              </w:rPr>
              <w:t>Net cash operating loss</w:t>
            </w: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3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(3,743,029)</w:t>
            </w:r>
          </w:p>
        </w:tc>
        <w:tc>
          <w:tcPr>
            <w:tcW w:w="300" w:type="dxa"/>
            <w:vAlign w:val="bottom"/>
            <w:shd w:val="clear" w:color="auto" w:fill="C0FFFF"/>
          </w:tcPr>
          <w:p>
            <w:pPr>
              <w:spacing w:after="0"/>
              <w:rPr>
                <w:sz w:val="18"/>
                <w:szCs w:val="18"/>
                <w:color w:val="auto"/>
              </w:rPr>
            </w:pPr>
          </w:p>
        </w:tc>
        <w:tc>
          <w:tcPr>
            <w:tcW w:w="114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(4,506,319)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0FFFF"/>
          </w:tcPr>
          <w:p>
            <w:pPr>
              <w:spacing w:after="0"/>
              <w:rPr>
                <w:sz w:val="20"/>
                <w:szCs w:val="20"/>
                <w:color w:val="auto"/>
              </w:rPr>
            </w:pPr>
            <w:r>
              <w:rPr>
                <w:rFonts w:ascii="Arial" w:cs="Arial" w:eastAsia="Arial" w:hAnsi="Arial"/>
                <w:sz w:val="18"/>
                <w:szCs w:val="18"/>
                <w:color w:val="auto"/>
              </w:rPr>
              <w:t>Net change in operating assets and liabilities</w:t>
            </w: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3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368,816</w:t>
            </w:r>
          </w:p>
        </w:tc>
        <w:tc>
          <w:tcPr>
            <w:tcW w:w="300" w:type="dxa"/>
            <w:vAlign w:val="bottom"/>
            <w:shd w:val="clear" w:color="auto" w:fill="C0FFFF"/>
          </w:tcPr>
          <w:p>
            <w:pPr>
              <w:spacing w:after="0"/>
              <w:rPr>
                <w:sz w:val="18"/>
                <w:szCs w:val="18"/>
                <w:color w:val="auto"/>
              </w:rPr>
            </w:pPr>
          </w:p>
        </w:tc>
        <w:tc>
          <w:tcPr>
            <w:tcW w:w="114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(358,874)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20" w:type="dxa"/>
            <w:vAlign w:val="bottom"/>
            <w:shd w:val="clear" w:color="auto" w:fill="C0FFFF"/>
          </w:tcPr>
          <w:p>
            <w:pPr>
              <w:spacing w:after="0"/>
              <w:rPr>
                <w:sz w:val="20"/>
                <w:szCs w:val="20"/>
                <w:color w:val="auto"/>
              </w:rPr>
            </w:pPr>
            <w:r>
              <w:rPr>
                <w:rFonts w:ascii="Arial" w:cs="Arial" w:eastAsia="Arial" w:hAnsi="Arial"/>
                <w:sz w:val="18"/>
                <w:szCs w:val="18"/>
                <w:color w:val="auto"/>
              </w:rPr>
              <w:t>Net cash used in operating activities</w:t>
            </w:r>
          </w:p>
        </w:tc>
        <w:tc>
          <w:tcPr>
            <w:tcW w:w="4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(3,374,213)</w:t>
            </w:r>
          </w:p>
        </w:tc>
        <w:tc>
          <w:tcPr>
            <w:tcW w:w="300" w:type="dxa"/>
            <w:vAlign w:val="bottom"/>
            <w:shd w:val="clear" w:color="auto" w:fill="C0FFFF"/>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(4,865,193)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Borders>
              <w:top w:val="single" w:sz="8" w:color="C0FFFF"/>
            </w:tcBorders>
          </w:tcPr>
          <w:p>
            <w:pPr>
              <w:spacing w:after="0"/>
              <w:rPr>
                <w:sz w:val="18"/>
                <w:szCs w:val="18"/>
                <w:color w:val="auto"/>
              </w:rPr>
            </w:pPr>
          </w:p>
        </w:tc>
        <w:tc>
          <w:tcPr>
            <w:tcW w:w="200" w:type="dxa"/>
            <w:vAlign w:val="bottom"/>
            <w:tcBorders>
              <w:top w:val="single" w:sz="8" w:color="C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C0FF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920" w:type="dxa"/>
            <w:vAlign w:val="bottom"/>
            <w:shd w:val="clear" w:color="auto" w:fill="C0FFFF"/>
          </w:tcPr>
          <w:p>
            <w:pPr>
              <w:spacing w:after="0"/>
              <w:rPr>
                <w:sz w:val="20"/>
                <w:szCs w:val="20"/>
                <w:color w:val="auto"/>
              </w:rPr>
            </w:pPr>
            <w:r>
              <w:rPr>
                <w:rFonts w:ascii="Arial" w:cs="Arial" w:eastAsia="Arial" w:hAnsi="Arial"/>
                <w:sz w:val="18"/>
                <w:szCs w:val="18"/>
                <w:color w:val="auto"/>
              </w:rPr>
              <w:t>Net cash (used in) provided by investing activities</w:t>
            </w:r>
          </w:p>
        </w:tc>
        <w:tc>
          <w:tcPr>
            <w:tcW w:w="4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(812,394)</w:t>
            </w:r>
          </w:p>
        </w:tc>
        <w:tc>
          <w:tcPr>
            <w:tcW w:w="300" w:type="dxa"/>
            <w:vAlign w:val="bottom"/>
            <w:shd w:val="clear" w:color="auto" w:fill="C0FFFF"/>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9,589,501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Borders>
              <w:top w:val="single" w:sz="8" w:color="C0FFFF"/>
            </w:tcBorders>
          </w:tcPr>
          <w:p>
            <w:pPr>
              <w:spacing w:after="0"/>
              <w:rPr>
                <w:sz w:val="18"/>
                <w:szCs w:val="18"/>
                <w:color w:val="auto"/>
              </w:rPr>
            </w:pPr>
          </w:p>
        </w:tc>
        <w:tc>
          <w:tcPr>
            <w:tcW w:w="200" w:type="dxa"/>
            <w:vAlign w:val="bottom"/>
            <w:tcBorders>
              <w:top w:val="single" w:sz="8" w:color="C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C0FF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920" w:type="dxa"/>
            <w:vAlign w:val="bottom"/>
            <w:shd w:val="clear" w:color="auto" w:fill="C0FFFF"/>
          </w:tcPr>
          <w:p>
            <w:pPr>
              <w:spacing w:after="0"/>
              <w:rPr>
                <w:sz w:val="20"/>
                <w:szCs w:val="20"/>
                <w:color w:val="auto"/>
              </w:rPr>
            </w:pPr>
            <w:r>
              <w:rPr>
                <w:rFonts w:ascii="Arial" w:cs="Arial" w:eastAsia="Arial" w:hAnsi="Arial"/>
                <w:sz w:val="18"/>
                <w:szCs w:val="18"/>
                <w:color w:val="auto"/>
              </w:rPr>
              <w:t>Net cash used in financing activities</w:t>
            </w:r>
          </w:p>
        </w:tc>
        <w:tc>
          <w:tcPr>
            <w:tcW w:w="4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(34,122)</w:t>
            </w:r>
          </w:p>
        </w:tc>
        <w:tc>
          <w:tcPr>
            <w:tcW w:w="300" w:type="dxa"/>
            <w:vAlign w:val="bottom"/>
            <w:shd w:val="clear" w:color="auto" w:fill="C0FFFF"/>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(112,521)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Borders>
              <w:top w:val="single" w:sz="8" w:color="C0FFFF"/>
            </w:tcBorders>
          </w:tcPr>
          <w:p>
            <w:pPr>
              <w:spacing w:after="0"/>
              <w:rPr>
                <w:sz w:val="18"/>
                <w:szCs w:val="18"/>
                <w:color w:val="auto"/>
              </w:rPr>
            </w:pPr>
          </w:p>
        </w:tc>
        <w:tc>
          <w:tcPr>
            <w:tcW w:w="200" w:type="dxa"/>
            <w:vAlign w:val="bottom"/>
            <w:tcBorders>
              <w:top w:val="single" w:sz="8" w:color="C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C0FF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20" w:type="dxa"/>
            <w:vAlign w:val="bottom"/>
            <w:shd w:val="clear" w:color="auto" w:fill="C0FF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4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(43,074)</w:t>
            </w:r>
          </w:p>
        </w:tc>
        <w:tc>
          <w:tcPr>
            <w:tcW w:w="300" w:type="dxa"/>
            <w:vAlign w:val="bottom"/>
            <w:shd w:val="clear" w:color="auto" w:fill="C0FFFF"/>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(89,222)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Borders>
              <w:top w:val="single" w:sz="8" w:color="C0FFFF"/>
            </w:tcBorders>
            <w:shd w:val="clear" w:color="auto" w:fill="C0FFFF"/>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FFFF"/>
            </w:tcBorders>
            <w:shd w:val="clear" w:color="auto" w:fill="C0FF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83"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Net cash used in operating activities was $3.4 million and $4.9 million for the three months ended July 31, 2012 and 2011, respectively. The change was the result of a decrease in net loss of $0.6 million, and increases in cash provided by noncash operating items of $0.1 million and operating assets and liabilities of $0.7 million. Our quarterly cash outflow from operating activities may vary significantly in future periods depending on the success of our new business development initiatives, and on expenditures related to our PowerBuoy project in Oregon.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provided by investing activities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investing activities was $0.8 million for the three months ended July 31, 2012 and net cash provided by investing activities was $9.6 million for the three months ended July 31, 2011. The change was primarily the result of a net increase in purchases of marketable securities during the three months ended July 31, 2012.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financing activities</w:t>
      </w:r>
    </w:p>
    <w:p>
      <w:pPr>
        <w:spacing w:after="0" w:line="28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Net cash used in financing activities was $34,000 and $113,000 for the three months ended July 31, 2012 and 2011, respectively. The net cash used was primarily for repayment of long-term debt.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rates on cash and cash equivalents</w:t>
      </w:r>
    </w:p>
    <w:p>
      <w:pPr>
        <w:spacing w:after="0" w:line="28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effect of exchange rates on cash and cash equivalents was a decrease of $43,000 and $89,000 in the three months ended July 31, 2012 and 2011, respectively. The effect of exchange rates on cash and cash equivalents results primarily from gains or losses on consolidation of foreign subsidiaries and foreign denominated cash and cash equivalents.</w:t>
      </w:r>
    </w:p>
    <w:p>
      <w:pPr>
        <w:spacing w:after="0" w:line="3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67" w:right="3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Liquidity and Capital Resources Outlook</w:t>
      </w:r>
    </w:p>
    <w:p>
      <w:pPr>
        <w:spacing w:after="0" w:line="28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expect to devote substantial resources to continue our development efforts for our PowerBuoy systems and to expand our sales, marketing and manufacturing programs associated with the planned commercialization of the PowerBuoy systems. Our future capital requirements will depend on a number of factors, including:</w:t>
      </w:r>
    </w:p>
    <w:p>
      <w:pPr>
        <w:spacing w:after="0" w:line="235"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cost of development efforts for our PowerBuoy systems;</w:t>
      </w:r>
    </w:p>
    <w:p>
      <w:pPr>
        <w:spacing w:after="0" w:line="225" w:lineRule="exact"/>
        <w:rPr>
          <w:rFonts w:ascii="Arial" w:cs="Arial" w:eastAsia="Arial" w:hAnsi="Arial"/>
          <w:sz w:val="18"/>
          <w:szCs w:val="18"/>
          <w:b w:val="1"/>
          <w:bCs w:val="1"/>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success of our commercial relationships with major customers;</w:t>
      </w:r>
    </w:p>
    <w:p>
      <w:pPr>
        <w:spacing w:after="0" w:line="225" w:lineRule="exact"/>
        <w:rPr>
          <w:rFonts w:ascii="Arial" w:cs="Arial" w:eastAsia="Arial" w:hAnsi="Arial"/>
          <w:sz w:val="18"/>
          <w:szCs w:val="18"/>
          <w:b w:val="1"/>
          <w:bCs w:val="1"/>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ability to obtain project-specific financing, grants, subsidies and other sources of funding for some of our projects;</w:t>
      </w:r>
    </w:p>
    <w:p>
      <w:pPr>
        <w:spacing w:after="0" w:line="225" w:lineRule="exact"/>
        <w:rPr>
          <w:rFonts w:ascii="Arial" w:cs="Arial" w:eastAsia="Arial" w:hAnsi="Arial"/>
          <w:sz w:val="18"/>
          <w:szCs w:val="18"/>
          <w:b w:val="1"/>
          <w:bCs w:val="1"/>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cost of manufacturing activities;</w:t>
      </w:r>
    </w:p>
    <w:p>
      <w:pPr>
        <w:spacing w:after="0" w:line="225" w:lineRule="exact"/>
        <w:rPr>
          <w:rFonts w:ascii="Arial" w:cs="Arial" w:eastAsia="Arial" w:hAnsi="Arial"/>
          <w:sz w:val="18"/>
          <w:szCs w:val="18"/>
          <w:b w:val="1"/>
          <w:bCs w:val="1"/>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cost of commercialization activities, including demonstration projects, product marketing and sales;</w:t>
      </w:r>
    </w:p>
    <w:p>
      <w:pPr>
        <w:spacing w:after="0" w:line="225" w:lineRule="exact"/>
        <w:rPr>
          <w:rFonts w:ascii="Arial" w:cs="Arial" w:eastAsia="Arial" w:hAnsi="Arial"/>
          <w:sz w:val="18"/>
          <w:szCs w:val="18"/>
          <w:b w:val="1"/>
          <w:bCs w:val="1"/>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ability to establish and maintain additional customer relationships;</w:t>
      </w:r>
    </w:p>
    <w:p>
      <w:pPr>
        <w:spacing w:after="0" w:line="225" w:lineRule="exact"/>
        <w:rPr>
          <w:rFonts w:ascii="Arial" w:cs="Arial" w:eastAsia="Arial" w:hAnsi="Arial"/>
          <w:sz w:val="18"/>
          <w:szCs w:val="18"/>
          <w:b w:val="1"/>
          <w:bCs w:val="1"/>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implementation of our expansion plans, including the hiring of new employees;</w:t>
      </w:r>
    </w:p>
    <w:p>
      <w:pPr>
        <w:spacing w:after="0" w:line="225" w:lineRule="exact"/>
        <w:rPr>
          <w:rFonts w:ascii="Arial" w:cs="Arial" w:eastAsia="Arial" w:hAnsi="Arial"/>
          <w:sz w:val="18"/>
          <w:szCs w:val="18"/>
          <w:b w:val="1"/>
          <w:bCs w:val="1"/>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potential acquisitions of other products or technologies; and</w:t>
      </w:r>
    </w:p>
    <w:p>
      <w:pPr>
        <w:spacing w:after="0" w:line="225" w:lineRule="exact"/>
        <w:rPr>
          <w:rFonts w:ascii="Arial" w:cs="Arial" w:eastAsia="Arial" w:hAnsi="Arial"/>
          <w:sz w:val="18"/>
          <w:szCs w:val="18"/>
          <w:b w:val="1"/>
          <w:bCs w:val="1"/>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costs involved in preparing, filing, prosecuting, maintaining and enforcing patent claims and other patent-related costs.</w:t>
      </w:r>
    </w:p>
    <w:p>
      <w:pPr>
        <w:spacing w:after="0" w:line="27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believe that our current cash, cash equivalents and investments will be sufficient to meet our anticipated cash needs for working capital and capital expenditures through April 30, 2014. If existing resources are insufficient to satisfy our liquidity requirements or if we acquire or license rights to additional product technologies, we may seek to sell additional equity or debt securities or obtain a credit facility. The sale of additional equity or convertible securities could result in dilution to our stockholders. If additional funds are raised through the issuance of debt securities, these securities could have rights senior to those associated with our common stock and could contain covenants that would restrict our operations. Financing may not be available in amounts or on terms acceptable to us, or at all. If we are unable to obtain required financing, we may be required to reduce the scope of our planned product development and marketing efforts, which could harm our financial condition and operating results.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Since inception, we have not engaged in any off-balance sheet financing activities.</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86" w:right="299" w:bottom="1440" w:gutter="0" w:footer="0" w:header="0"/>
        </w:sectPr>
      </w:pPr>
    </w:p>
    <w:bookmarkStart w:id="27" w:name="page28"/>
    <w:bookmarkEnd w:id="27"/>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7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Disclosure controls and procedures are our controls and other procedures that are designed to ensure that information required to be disclosed by us in the reports that we file or submit under the Securities Exchange Act of 1934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21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pursuant to Exchange Act Rule 13a-15(b). Based upon that evaluation, as of July 31, 2012, our Chief Executive Officer and Chief Financial Officer concluded that our disclosure controls and procedures were effective.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7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fiscal quarter ended July 31, 2012 that has materially affected, or is reasonably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7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LEGAL PROCEEDINGS</w:t>
      </w:r>
    </w:p>
    <w:p>
      <w:pPr>
        <w:spacing w:after="0" w:line="283"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We are subject to legal proceedings, claims and litigation arising in the ordinary course of business. While the outcome of these matters is currently not determinable, we do not expect that the ultimate costs to resolve these matters will have a material adverse effect on our financial position, results of operations or cash flows.</w:t>
      </w:r>
    </w:p>
    <w:p>
      <w:pPr>
        <w:spacing w:after="0" w:line="23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28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discussion of our business and operations should be read together with the risk factors contained in Item 1A of our Annual Report on Form 10-K for the year ended April 30, 2012.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There have been no material changes in our risk factors from those disclosed in our Annual Report on Form 10-K filed with the SEC on July 13, 2012.</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28" w:name="page29"/>
    <w:bookmarkEnd w:id="28"/>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UNREGISTERED SALES OF EQUITY SECURITIES AND USE OF PROCEEDS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Company’s share repurchases during the quarter:</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Total Number</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of Shares</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Dollar 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Purchased as</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Total Number</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Part of Publicly</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of Shares</w:t>
            </w:r>
          </w:p>
        </w:tc>
        <w:tc>
          <w:tcPr>
            <w:tcW w:w="100" w:type="dxa"/>
            <w:vAlign w:val="bottom"/>
          </w:tcPr>
          <w:p>
            <w:pPr>
              <w:spacing w:after="0"/>
              <w:rPr>
                <w:sz w:val="18"/>
                <w:szCs w:val="18"/>
                <w:color w:val="auto"/>
              </w:rPr>
            </w:pPr>
          </w:p>
        </w:tc>
        <w:tc>
          <w:tcPr>
            <w:tcW w:w="14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4"/>
              </w:rPr>
              <w:t>Average Price</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Announced</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Purchased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20" w:type="dxa"/>
            <w:vAlign w:val="bottom"/>
          </w:tcPr>
          <w:p>
            <w:pPr>
              <w:ind w:left="2000"/>
              <w:spacing w:after="0"/>
              <w:rPr>
                <w:sz w:val="20"/>
                <w:szCs w:val="20"/>
                <w:color w:val="auto"/>
              </w:rPr>
            </w:pPr>
            <w:r>
              <w:rPr>
                <w:rFonts w:ascii="Arial" w:cs="Arial" w:eastAsia="Arial" w:hAnsi="Arial"/>
                <w:sz w:val="18"/>
                <w:szCs w:val="18"/>
                <w:b w:val="1"/>
                <w:bCs w:val="1"/>
                <w:color w:val="auto"/>
              </w:rPr>
              <w:t>Period</w:t>
            </w:r>
          </w:p>
        </w:tc>
        <w:tc>
          <w:tcPr>
            <w:tcW w:w="10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Purchased (1)</w:t>
            </w:r>
          </w:p>
        </w:tc>
        <w:tc>
          <w:tcPr>
            <w:tcW w:w="100" w:type="dxa"/>
            <w:vAlign w:val="bottom"/>
          </w:tcPr>
          <w:p>
            <w:pPr>
              <w:spacing w:after="0"/>
              <w:rPr>
                <w:sz w:val="20"/>
                <w:szCs w:val="20"/>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3"/>
              </w:rPr>
              <w:t>Paid per Share</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Plans</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Under the Plan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0FFFF"/>
          </w:tcPr>
          <w:p>
            <w:pPr>
              <w:spacing w:after="0"/>
              <w:rPr>
                <w:sz w:val="20"/>
                <w:szCs w:val="20"/>
                <w:color w:val="auto"/>
              </w:rPr>
            </w:pPr>
            <w:r>
              <w:rPr>
                <w:rFonts w:ascii="Arial" w:cs="Arial" w:eastAsia="Arial" w:hAnsi="Arial"/>
                <w:sz w:val="18"/>
                <w:szCs w:val="18"/>
                <w:color w:val="auto"/>
              </w:rPr>
              <w:t>May 1-31, 2012</w:t>
            </w:r>
          </w:p>
        </w:tc>
        <w:tc>
          <w:tcPr>
            <w:tcW w:w="100" w:type="dxa"/>
            <w:vAlign w:val="bottom"/>
            <w:shd w:val="clear" w:color="auto" w:fill="C0FFFF"/>
          </w:tcPr>
          <w:p>
            <w:pPr>
              <w:spacing w:after="0"/>
              <w:rPr>
                <w:sz w:val="18"/>
                <w:szCs w:val="18"/>
                <w:color w:val="auto"/>
              </w:rPr>
            </w:pPr>
          </w:p>
        </w:tc>
        <w:tc>
          <w:tcPr>
            <w:tcW w:w="13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18"/>
                <w:szCs w:val="18"/>
                <w:color w:val="auto"/>
              </w:rPr>
            </w:pPr>
          </w:p>
        </w:tc>
        <w:tc>
          <w:tcPr>
            <w:tcW w:w="500" w:type="dxa"/>
            <w:vAlign w:val="bottom"/>
            <w:shd w:val="clear" w:color="auto" w:fill="C0FFFF"/>
          </w:tcPr>
          <w:p>
            <w:pPr>
              <w:spacing w:after="0"/>
              <w:rPr>
                <w:sz w:val="18"/>
                <w:szCs w:val="18"/>
                <w:color w:val="auto"/>
              </w:rPr>
            </w:pPr>
          </w:p>
        </w:tc>
        <w:tc>
          <w:tcPr>
            <w:tcW w:w="9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0FFFF"/>
          </w:tcPr>
          <w:p>
            <w:pPr>
              <w:ind w:left="10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0FF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June 1-30, 2012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3,444</w:t>
            </w:r>
          </w:p>
        </w:tc>
        <w:tc>
          <w:tcPr>
            <w:tcW w:w="120" w:type="dxa"/>
            <w:vAlign w:val="bottom"/>
          </w:tcPr>
          <w:p>
            <w:pPr>
              <w:spacing w:after="0"/>
              <w:rPr>
                <w:sz w:val="18"/>
                <w:szCs w:val="18"/>
                <w:color w:val="auto"/>
              </w:rPr>
            </w:pPr>
          </w:p>
        </w:tc>
        <w:tc>
          <w:tcPr>
            <w:tcW w:w="6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2.01</w:t>
            </w: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0FFFF"/>
          </w:tcPr>
          <w:p>
            <w:pPr>
              <w:spacing w:after="0"/>
              <w:rPr>
                <w:sz w:val="20"/>
                <w:szCs w:val="20"/>
                <w:color w:val="auto"/>
              </w:rPr>
            </w:pPr>
            <w:r>
              <w:rPr>
                <w:rFonts w:ascii="Arial" w:cs="Arial" w:eastAsia="Arial" w:hAnsi="Arial"/>
                <w:sz w:val="18"/>
                <w:szCs w:val="18"/>
                <w:color w:val="auto"/>
              </w:rPr>
              <w:t>July 1-31, 2012</w:t>
            </w:r>
          </w:p>
        </w:tc>
        <w:tc>
          <w:tcPr>
            <w:tcW w:w="1460" w:type="dxa"/>
            <w:vAlign w:val="bottom"/>
            <w:gridSpan w:val="3"/>
            <w:shd w:val="clear" w:color="auto" w:fill="C0FFFF"/>
          </w:tcPr>
          <w:p>
            <w:pPr>
              <w:jc w:val="right"/>
              <w:ind w:right="120"/>
              <w:spacing w:after="0"/>
              <w:rPr>
                <w:sz w:val="20"/>
                <w:szCs w:val="20"/>
                <w:color w:val="auto"/>
              </w:rPr>
            </w:pPr>
            <w:r>
              <w:rPr>
                <w:rFonts w:ascii="Arial" w:cs="Arial" w:eastAsia="Arial" w:hAnsi="Arial"/>
                <w:sz w:val="18"/>
                <w:szCs w:val="18"/>
                <w:color w:val="auto"/>
              </w:rPr>
              <w:t>830</w:t>
            </w:r>
          </w:p>
        </w:tc>
        <w:tc>
          <w:tcPr>
            <w:tcW w:w="600" w:type="dxa"/>
            <w:vAlign w:val="bottom"/>
            <w:gridSpan w:val="2"/>
            <w:shd w:val="clear" w:color="auto" w:fill="C0FFFF"/>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2.65</w:t>
            </w:r>
          </w:p>
        </w:tc>
        <w:tc>
          <w:tcPr>
            <w:tcW w:w="1400" w:type="dxa"/>
            <w:vAlign w:val="bottom"/>
            <w:gridSpan w:val="2"/>
            <w:shd w:val="clear" w:color="auto" w:fill="C0FFFF"/>
          </w:tcPr>
          <w:p>
            <w:pPr>
              <w:ind w:left="10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0FF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 Represents shares delivered back to the Company by employees to pay taxes related to the vesting of restricted shares.</w:t>
      </w:r>
    </w:p>
    <w:p>
      <w:pPr>
        <w:spacing w:after="0" w:line="24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DEFAULTS UPON SENIOR SECURITIES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567" w:right="1379" w:bottom="1440" w:gutter="0" w:footer="0" w:header="0"/>
        </w:sectPr>
      </w:pPr>
    </w:p>
    <w:bookmarkStart w:id="29" w:name="page30"/>
    <w:bookmarkEnd w:id="29"/>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i w:val="1"/>
          <w:iCs w:val="1"/>
          <w:color w:val="auto"/>
        </w:rPr>
        <w:t>EXHIBITS</w:t>
      </w:r>
    </w:p>
    <w:p>
      <w:pPr>
        <w:spacing w:after="0" w:line="256" w:lineRule="exact"/>
        <w:rPr>
          <w:sz w:val="20"/>
          <w:szCs w:val="20"/>
          <w:color w:val="auto"/>
        </w:rPr>
      </w:pPr>
    </w:p>
    <w:p>
      <w:pPr>
        <w:ind w:left="680"/>
        <w:spacing w:after="0"/>
        <w:tabs>
          <w:tab w:leader="none" w:pos="13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25" w:lineRule="exact"/>
        <w:rPr>
          <w:sz w:val="20"/>
          <w:szCs w:val="20"/>
          <w:color w:val="auto"/>
        </w:rPr>
      </w:pPr>
    </w:p>
    <w:p>
      <w:pPr>
        <w:ind w:left="680"/>
        <w:spacing w:after="0"/>
        <w:tabs>
          <w:tab w:leader="none" w:pos="13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25" w:lineRule="exact"/>
        <w:rPr>
          <w:sz w:val="20"/>
          <w:szCs w:val="20"/>
          <w:color w:val="auto"/>
        </w:rPr>
      </w:pPr>
    </w:p>
    <w:p>
      <w:pPr>
        <w:ind w:left="680"/>
        <w:spacing w:after="0"/>
        <w:tabs>
          <w:tab w:leader="none" w:pos="13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225" w:lineRule="exact"/>
        <w:rPr>
          <w:sz w:val="20"/>
          <w:szCs w:val="20"/>
          <w:color w:val="auto"/>
        </w:rPr>
      </w:pPr>
    </w:p>
    <w:p>
      <w:pPr>
        <w:ind w:left="680"/>
        <w:spacing w:after="0"/>
        <w:tabs>
          <w:tab w:leader="none" w:pos="13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25" w:lineRule="exact"/>
        <w:rPr>
          <w:sz w:val="20"/>
          <w:szCs w:val="20"/>
          <w:color w:val="auto"/>
        </w:rPr>
      </w:pPr>
    </w:p>
    <w:p>
      <w:pPr>
        <w:ind w:left="1360" w:hanging="636"/>
        <w:spacing w:after="0" w:line="293" w:lineRule="auto"/>
        <w:tabs>
          <w:tab w:leader="none" w:pos="13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following materials formatted in eXtensible Business Reporting Language (XBRL) from Ocean Power Technologies, Inc Quarterly Report on Form 10-Q for the quarter ended July 31, 2012, filed September 14, 2012: (i) Consolidated Balance Sheets – July 31, 2012 (unaudited) and April 30, 2012, (ii) Consolidated Statements of Operations (unaudited) – Three Months Ended July 31, 2012 and 2011, (iii) Consolidated Statements of Comprehensive Income (Loss) (unaudited) – Three Months Ended July 31, 2012 and 2011, (iv) Consolidated Statements of Cash Flows (unaudited) – Three Months Ended July 31, 2012 and 2011, (v) Consolidated Statements of Stockholders’ Equity (unaudited) – Three Months Ended July 31, 2012 and 2011 and (vi) Notes to Consolidated Financial Statements.*</w:t>
      </w:r>
    </w:p>
    <w:p>
      <w:pPr>
        <w:spacing w:after="0" w:line="164" w:lineRule="exact"/>
        <w:rPr>
          <w:rFonts w:ascii="Arial" w:cs="Arial" w:eastAsia="Arial" w:hAnsi="Arial"/>
          <w:sz w:val="16"/>
          <w:szCs w:val="16"/>
          <w:color w:val="auto"/>
        </w:rPr>
      </w:pPr>
    </w:p>
    <w:p>
      <w:pPr>
        <w:ind w:left="1360" w:right="120"/>
        <w:spacing w:after="0" w:line="264" w:lineRule="auto"/>
        <w:rPr>
          <w:rFonts w:ascii="Arial" w:cs="Arial" w:eastAsia="Arial" w:hAnsi="Arial"/>
          <w:sz w:val="16"/>
          <w:szCs w:val="16"/>
          <w:color w:val="auto"/>
        </w:rPr>
      </w:pPr>
      <w:r>
        <w:rPr>
          <w:rFonts w:ascii="Arial" w:cs="Arial" w:eastAsia="Arial" w:hAnsi="Arial"/>
          <w:sz w:val="18"/>
          <w:szCs w:val="18"/>
          <w:color w:val="auto"/>
        </w:rPr>
        <w:t>* 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30" w:name="page31"/>
    <w:bookmarkEnd w:id="30"/>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984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9842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Charles F. Dunleavy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14, 2012</w:t>
      </w:r>
    </w:p>
    <w:p>
      <w:pPr>
        <w:spacing w:after="0" w:line="200" w:lineRule="exact"/>
        <w:rPr>
          <w:sz w:val="20"/>
          <w:szCs w:val="20"/>
          <w:color w:val="auto"/>
        </w:rPr>
      </w:pPr>
    </w:p>
    <w:p>
      <w:pPr>
        <w:spacing w:after="0" w:line="24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984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9842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Brian M. Posner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14, 2012</w:t>
      </w:r>
    </w:p>
    <w:p>
      <w:pPr>
        <w:spacing w:after="0" w:line="200" w:lineRule="exact"/>
        <w:rPr>
          <w:sz w:val="20"/>
          <w:szCs w:val="20"/>
          <w:color w:val="auto"/>
        </w:rPr>
      </w:pPr>
    </w:p>
    <w:p>
      <w:pPr>
        <w:spacing w:after="0" w:line="25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513" w:right="439" w:bottom="1440" w:gutter="0" w:footer="0" w:header="0"/>
        </w:sectPr>
      </w:pPr>
    </w:p>
    <w:bookmarkStart w:id="31" w:name="page32"/>
    <w:bookmarkEnd w:id="31"/>
    <w:p>
      <w:pPr>
        <w:ind w:left="4280"/>
        <w:spacing w:after="0"/>
        <w:rPr>
          <w:sz w:val="20"/>
          <w:szCs w:val="20"/>
          <w:color w:val="auto"/>
        </w:rPr>
      </w:pPr>
      <w:r>
        <w:rPr>
          <w:rFonts w:ascii="Arial" w:cs="Arial" w:eastAsia="Arial" w:hAnsi="Arial"/>
          <w:sz w:val="18"/>
          <w:szCs w:val="18"/>
          <w:b w:val="1"/>
          <w:bCs w:val="1"/>
          <w:color w:val="auto"/>
        </w:rPr>
        <w:t>EXHIBITS INDEX</w:t>
      </w:r>
    </w:p>
    <w:p>
      <w:pPr>
        <w:spacing w:after="0" w:line="2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25" w:lineRule="exact"/>
        <w:rPr>
          <w:sz w:val="20"/>
          <w:szCs w:val="20"/>
          <w:color w:val="auto"/>
        </w:rPr>
      </w:pPr>
    </w:p>
    <w:p>
      <w:pPr>
        <w:ind w:left="680" w:hanging="636"/>
        <w:spacing w:after="0" w:line="293" w:lineRule="auto"/>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following materials formatted in eXtensible Business Reporting Language (XBRL) from Ocean Power Technologies, Inc Quarterly Report on Form 10-Q for the quarter ended July 31, 2012, filed September 14, 2012: (i) Consolidated Balance Sheets – July 31, 2012 (unaudited) and April 30, 2012, (ii) Consolidated Statements of Operations (unaudited) – Three Months Ended July 31, 2012 and 2011, (iii) Consolidated Statements of Comprehensive Income (Loss) (unaudited) – Three Months Ended July 31, 2012 and 2011, (iv) Consolidated Statements of Cash Flows (unaudited) – Three Months Ended July 31, 2012 and 2011, (v) Consolidated Statements of Stockholders’ Equity (unaudited) – Three Months Ended July 31, 2012 and 2011 and (vi) Notes to Consolidated Financial Statements.*</w:t>
      </w:r>
    </w:p>
    <w:p>
      <w:pPr>
        <w:spacing w:after="0" w:line="164" w:lineRule="exact"/>
        <w:rPr>
          <w:rFonts w:ascii="Arial" w:cs="Arial" w:eastAsia="Arial" w:hAnsi="Arial"/>
          <w:sz w:val="16"/>
          <w:szCs w:val="16"/>
          <w:color w:val="auto"/>
        </w:rPr>
      </w:pPr>
    </w:p>
    <w:p>
      <w:pPr>
        <w:ind w:left="680" w:right="120"/>
        <w:spacing w:after="0" w:line="264" w:lineRule="auto"/>
        <w:rPr>
          <w:rFonts w:ascii="Arial" w:cs="Arial" w:eastAsia="Arial" w:hAnsi="Arial"/>
          <w:sz w:val="16"/>
          <w:szCs w:val="16"/>
          <w:color w:val="auto"/>
        </w:rPr>
      </w:pPr>
      <w:r>
        <w:rPr>
          <w:rFonts w:ascii="Arial" w:cs="Arial" w:eastAsia="Arial" w:hAnsi="Arial"/>
          <w:sz w:val="18"/>
          <w:szCs w:val="18"/>
          <w:color w:val="auto"/>
        </w:rPr>
        <w:t>* 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740"/>
          </w:cols>
          <w:pgMar w:left="920" w:top="567"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Charles F. Dunleavy, certify that:</w:t>
      </w:r>
    </w:p>
    <w:p>
      <w:pPr>
        <w:spacing w:after="0" w:line="27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jc w:val="both"/>
        <w:ind w:left="460" w:right="48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right="440" w:hanging="452"/>
        <w:spacing w:after="0" w:line="308"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6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sz w:val="20"/>
          <w:szCs w:val="20"/>
          <w:color w:val="auto"/>
        </w:rPr>
      </w:pPr>
    </w:p>
    <w:p>
      <w:pPr>
        <w:ind w:left="460" w:right="220" w:hanging="452"/>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460" w:right="40" w:hanging="452"/>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460" w:right="140" w:hanging="452"/>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sz w:val="20"/>
          <w:szCs w:val="20"/>
          <w:color w:val="auto"/>
        </w:rPr>
      </w:pPr>
    </w:p>
    <w:p>
      <w:pPr>
        <w:ind w:left="460" w:right="380" w:hanging="452"/>
        <w:spacing w:after="0" w:line="34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78" w:lineRule="exact"/>
        <w:rPr>
          <w:sz w:val="20"/>
          <w:szCs w:val="20"/>
          <w:color w:val="auto"/>
        </w:rPr>
      </w:pPr>
    </w:p>
    <w:p>
      <w:pPr>
        <w:ind w:left="460" w:right="20" w:hanging="452"/>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60" w:right="260" w:hanging="452"/>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273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27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Charles F. Dunleavy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14, 2012</w:t>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Brian M. Posner, certify that:</w:t>
      </w:r>
    </w:p>
    <w:p>
      <w:pPr>
        <w:spacing w:after="0" w:line="27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460" w:right="24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460" w:right="4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460" w:right="16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460" w:right="400" w:hanging="452"/>
        <w:spacing w:after="0" w:line="34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24" w:lineRule="exact"/>
        <w:rPr>
          <w:sz w:val="20"/>
          <w:szCs w:val="20"/>
          <w:color w:val="auto"/>
        </w:rPr>
      </w:pPr>
    </w:p>
    <w:p>
      <w:pPr>
        <w:ind w:left="460" w:right="20" w:hanging="452"/>
        <w:spacing w:after="0" w:line="27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60" w:right="260" w:hanging="452"/>
        <w:spacing w:after="0" w:line="27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273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27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Brian M. Posner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14, 2012</w:t>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33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July 31, 2012, as filed with the Securities and Exchange Commission on the date hereof (the "Report"), the undersigned, Charles F. Dunleavy, Chief Executive Officer of the Company, hereby certifies, pursuant to 18 U.S.C. Section 1350, that:</w:t>
      </w:r>
    </w:p>
    <w:p>
      <w:pPr>
        <w:spacing w:after="0" w:line="235"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444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444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Charles F. Dunleavy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14, 2012</w:t>
      </w:r>
    </w:p>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33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July 31, 2012, as filed with the Securities and Exchange Commission on the date hereof (the "Report"), the undersigned, Brian M. Posner, Chief Financial Officer of the Company, hereby certifies, pursuant to 18 U.S.C. Section 1350, that:</w:t>
      </w:r>
    </w:p>
    <w:p>
      <w:pPr>
        <w:spacing w:after="0" w:line="235"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444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444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Brian M. Posner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14, 2012</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01"/>
    </w:lvl>
    <w:lvl w:ilvl="1">
      <w:lvlJc w:val="left"/>
      <w:lvlText w:val="*"/>
      <w:numFmt w:val="bullet"/>
      <w:start w:val="1"/>
    </w:lvl>
  </w:abstractNum>
  <w:abstractNum w:abstractNumId="5">
    <w:nsid w:val="1F16E9E8"/>
    <w:multiLevelType w:val="hybridMultilevel"/>
    <w:lvl w:ilvl="0">
      <w:lvlJc w:val="left"/>
      <w:lvlText w:val="%1"/>
      <w:numFmt w:val="decimal"/>
      <w:start w:val="101"/>
    </w:lvl>
    <w:lvl w:ilvl="1">
      <w:lvlJc w:val="left"/>
      <w:lvlText w:val="*"/>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decimal"/>
      <w:start w:val="5"/>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5"/>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2019-12-09T18:14:04Z</dcterms:created>
  <dcterms:modified xsi:type="dcterms:W3CDTF">2019-12-09T18:14:04Z</dcterms:modified>
</cp:coreProperties>
</file>