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0" w:right="1560" w:hanging="3755"/>
        <w:spacing w:after="0" w:line="501" w:lineRule="auto"/>
        <w:tabs>
          <w:tab w:leader="none" w:pos="71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20" w:hanging="155"/>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3440"/>
        <w:spacing w:after="0"/>
        <w:rPr>
          <w:rFonts w:ascii="Arial" w:cs="Arial" w:eastAsia="Arial" w:hAnsi="Arial"/>
          <w:sz w:val="18"/>
          <w:szCs w:val="18"/>
          <w:color w:val="auto"/>
        </w:rPr>
      </w:pPr>
      <w:r>
        <w:rPr>
          <w:rFonts w:ascii="Arial" w:cs="Arial" w:eastAsia="Arial" w:hAnsi="Arial"/>
          <w:sz w:val="18"/>
          <w:szCs w:val="18"/>
          <w:b w:val="1"/>
          <w:bCs w:val="1"/>
          <w:color w:val="auto"/>
        </w:rPr>
        <w:t>For the Transition Period From ___________to __________</w:t>
      </w:r>
    </w:p>
    <w:p>
      <w:pPr>
        <w:spacing w:after="0" w:line="225"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OCEAN POWER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2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center"/>
              <w:ind w:left="1910"/>
              <w:spacing w:after="0"/>
              <w:rPr>
                <w:sz w:val="20"/>
                <w:szCs w:val="20"/>
                <w:color w:val="auto"/>
              </w:rPr>
            </w:pPr>
            <w:r>
              <w:rPr>
                <w:rFonts w:ascii="Arial" w:cs="Arial" w:eastAsia="Arial" w:hAnsi="Arial"/>
                <w:sz w:val="18"/>
                <w:szCs w:val="18"/>
                <w:b w:val="1"/>
                <w:bCs w:val="1"/>
                <w:color w:val="auto"/>
                <w:w w:val="91"/>
              </w:rPr>
              <w:t>22-2535818</w:t>
            </w:r>
          </w:p>
        </w:tc>
      </w:tr>
      <w:tr>
        <w:trPr>
          <w:trHeight w:val="216"/>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3"/>
              </w:rPr>
              <w:t>(State or Other Jurisdiction of</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280" w:type="dxa"/>
            <w:vAlign w:val="bottom"/>
          </w:tcPr>
          <w:p>
            <w:pPr>
              <w:jc w:val="center"/>
              <w:ind w:right="1930"/>
              <w:spacing w:after="0"/>
              <w:rPr>
                <w:sz w:val="20"/>
                <w:szCs w:val="20"/>
                <w:color w:val="auto"/>
              </w:rPr>
            </w:pPr>
            <w:r>
              <w:rPr>
                <w:rFonts w:ascii="Arial" w:cs="Arial" w:eastAsia="Arial" w:hAnsi="Arial"/>
                <w:sz w:val="18"/>
                <w:szCs w:val="18"/>
                <w:i w:val="1"/>
                <w:iCs w:val="1"/>
                <w:color w:val="auto"/>
                <w:w w:val="94"/>
              </w:rPr>
              <w:t>Incorporation or Organization)</w:t>
            </w:r>
          </w:p>
        </w:tc>
        <w:tc>
          <w:tcPr>
            <w:tcW w:w="3320" w:type="dxa"/>
            <w:vAlign w:val="bottom"/>
          </w:tcPr>
          <w:p>
            <w:pPr>
              <w:jc w:val="center"/>
              <w:ind w:left="1910"/>
              <w:spacing w:after="0"/>
              <w:rPr>
                <w:sz w:val="20"/>
                <w:szCs w:val="20"/>
                <w:color w:val="auto"/>
              </w:rPr>
            </w:pPr>
            <w:r>
              <w:rPr>
                <w:rFonts w:ascii="Arial" w:cs="Arial" w:eastAsia="Arial" w:hAnsi="Arial"/>
                <w:sz w:val="18"/>
                <w:szCs w:val="18"/>
                <w:i w:val="1"/>
                <w:iCs w:val="1"/>
                <w:color w:val="auto"/>
                <w:w w:val="94"/>
              </w:rPr>
              <w:t>Identification No.)</w:t>
            </w:r>
          </w:p>
        </w:tc>
      </w:tr>
    </w:tbl>
    <w:p>
      <w:pPr>
        <w:spacing w:after="0" w:line="198"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28 ENGELHARD DRIVE, MONROE TOWNSHIP, NJ 08831</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[X]No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47" w:right="239" w:bottom="1440" w:gutter="0" w:footer="0" w:header="0"/>
        </w:sectPr>
      </w:pPr>
    </w:p>
    <w:p>
      <w:pPr>
        <w:spacing w:after="0" w:line="147"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0"/>
        <w:spacing w:after="0" w:line="264" w:lineRule="auto"/>
        <w:rPr>
          <w:sz w:val="20"/>
          <w:szCs w:val="20"/>
          <w:color w:val="auto"/>
        </w:rPr>
      </w:pPr>
      <w:r>
        <w:rPr>
          <w:rFonts w:ascii="Arial" w:cs="Arial" w:eastAsia="Arial" w:hAnsi="Arial"/>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680" w:lineRule="exact"/>
        <w:rPr>
          <w:sz w:val="24"/>
          <w:szCs w:val="24"/>
          <w:color w:val="auto"/>
        </w:rPr>
      </w:pPr>
    </w:p>
    <w:p>
      <w:pPr>
        <w:sectPr>
          <w:pgSz w:w="11900" w:h="16838" w:orient="portrait"/>
          <w:cols w:equalWidth="0" w:num="4">
            <w:col w:w="2360" w:space="720"/>
            <w:col w:w="1460" w:space="680"/>
            <w:col w:w="2740" w:space="720"/>
            <w:col w:w="274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No [X]</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2018, the number of outstanding shares of common stock of the registrant was 18,350,927.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5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2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January 31, 2018 (unaudited) and April 30, 2017</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gridSpan w:val="1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and nine months ended January 31, 2018 and 2017</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2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Comprehensive Loss for the three and nine months ended January 31, 2018 and 2017</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9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 of Stockholders’ Equity for the nine months ended January 31, 2018</w:t>
              </w:r>
            </w:hyperlink>
          </w:p>
        </w:tc>
        <w:tc>
          <w:tcPr>
            <w:tcW w:w="14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2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 for the nine months ended January 31, 2018 and 2017</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8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28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3. Quantitative and Qualitative Disclosures About Market Risk</w:t>
              </w:r>
            </w:hyperlink>
          </w:p>
        </w:tc>
        <w:tc>
          <w:tcPr>
            <w:tcW w:w="35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4. Controls and Procedures</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spacing w:after="0" w:line="17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1. Legal Proceedings</w:t>
              </w:r>
            </w:hyperlink>
          </w:p>
        </w:tc>
        <w:tc>
          <w:tcPr>
            <w:tcW w:w="87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2. Unregistered Sales of Equity Securities and Use of Proceeds</w:t>
              </w:r>
            </w:hyperlink>
          </w:p>
        </w:tc>
        <w:tc>
          <w:tcPr>
            <w:tcW w:w="56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3. Defaults Upon Senior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4. Mine Safety Disclosures</w:t>
              </w:r>
            </w:hyperlink>
          </w:p>
        </w:tc>
        <w:tc>
          <w:tcPr>
            <w:tcW w:w="82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tcPr>
          <w:p>
            <w:pPr>
              <w:ind w:left="1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5. Other Information</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6. Exhibits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560" w:hanging="647"/>
        <w:spacing w:after="0" w:line="277"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560" w:hanging="647"/>
        <w:spacing w:after="0" w:line="277"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560" w:hanging="647"/>
        <w:spacing w:after="0" w:line="277"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2017,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jc w:val="center"/>
              <w:ind w:left="3950"/>
              <w:spacing w:after="0"/>
              <w:rPr>
                <w:sz w:val="20"/>
                <w:szCs w:val="20"/>
                <w:color w:val="auto"/>
              </w:rPr>
            </w:pPr>
            <w:r>
              <w:rPr>
                <w:rFonts w:ascii="Arial" w:cs="Arial" w:eastAsia="Arial" w:hAnsi="Arial"/>
                <w:sz w:val="18"/>
                <w:szCs w:val="18"/>
                <w:b w:val="1"/>
                <w:bCs w:val="1"/>
                <w:color w:val="auto"/>
              </w:rPr>
              <w:t>PART I — FINANCIAL INFORMATION</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9380" w:type="dxa"/>
            <w:vAlign w:val="bottom"/>
            <w:gridSpan w:val="5"/>
          </w:tcPr>
          <w:p>
            <w:pPr>
              <w:jc w:val="center"/>
              <w:ind w:left="19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960" w:type="dxa"/>
            <w:vAlign w:val="bottom"/>
          </w:tcPr>
          <w:p>
            <w:pPr>
              <w:jc w:val="center"/>
              <w:ind w:left="4390"/>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960" w:type="dxa"/>
            <w:vAlign w:val="bottom"/>
          </w:tcPr>
          <w:p>
            <w:pPr>
              <w:jc w:val="center"/>
              <w:ind w:left="4370"/>
              <w:spacing w:after="0"/>
              <w:rPr>
                <w:sz w:val="20"/>
                <w:szCs w:val="20"/>
                <w:color w:val="auto"/>
              </w:rPr>
            </w:pPr>
            <w:r>
              <w:rPr>
                <w:rFonts w:ascii="Arial" w:cs="Arial" w:eastAsia="Arial" w:hAnsi="Arial"/>
                <w:sz w:val="18"/>
                <w:szCs w:val="18"/>
                <w:b w:val="1"/>
                <w:bCs w:val="1"/>
                <w:color w:val="auto"/>
                <w:w w:val="88"/>
              </w:rPr>
              <w:t>(in $000’s, except share data)</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8"/>
                <w:szCs w:val="18"/>
                <w:color w:val="auto"/>
                <w:w w:val="91"/>
              </w:rPr>
              <w:t>January 31, 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April 30, 2017</w:t>
            </w: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14,369</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Litigation receivable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21"/>
                <w:szCs w:val="21"/>
                <w:color w:val="auto"/>
              </w:rPr>
            </w:pPr>
          </w:p>
        </w:tc>
      </w:tr>
      <w:tr>
        <w:trPr>
          <w:trHeight w:val="203"/>
        </w:trPr>
        <w:tc>
          <w:tcPr>
            <w:tcW w:w="69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15,895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9,746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r>
      <w:tr>
        <w:trPr>
          <w:trHeight w:val="257"/>
        </w:trPr>
        <w:tc>
          <w:tcPr>
            <w:tcW w:w="69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960" w:type="dxa"/>
            <w:vAlign w:val="bottom"/>
            <w:shd w:val="clear" w:color="auto" w:fill="CCEEFF"/>
          </w:tcPr>
          <w:p>
            <w:pPr>
              <w:ind w:left="158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Deferred credits payable current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0"/>
                <w:szCs w:val="20"/>
                <w:color w:val="auto"/>
              </w:rPr>
            </w:pP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Long-term portion of capital lease obligations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9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Ocean Power Technologies, Inc. stockholders’ equity: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5"/>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color w:val="auto"/>
                <w:w w:val="98"/>
              </w:rPr>
              <w:t>Common stock, $0.001 par value; authorized 50,000,000 shares, issued 18,424,939 and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6,313,996 shares, 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74,012 and 48,065 shares, respectively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208,130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193,234</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(194,284)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(187,370)</w:t>
            </w: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r>
      <w:tr>
        <w:trPr>
          <w:trHeight w:val="236"/>
        </w:trPr>
        <w:tc>
          <w:tcPr>
            <w:tcW w:w="6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9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January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Product development costs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2,567</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8,362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Gain/(loss) due to the change in fair value of warrant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8"/>
              </w:rPr>
              <w:t>Weighted average shares used to compute basic and diluted net</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18,150,494</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5,783,494</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14,441,383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3,763,564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January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(1,663)</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(6,903)</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w w:val="89"/>
              </w:rPr>
              <w:t>Common Shares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Treasury Shares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9"/>
                <w:szCs w:val="19"/>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9"/>
                <w:szCs w:val="19"/>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Comprehensive</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Stockholders’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19"/>
                <w:szCs w:val="19"/>
                <w:color w:val="auto"/>
              </w:rPr>
            </w:pPr>
          </w:p>
        </w:tc>
        <w:tc>
          <w:tcPr>
            <w:tcW w:w="8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6"/>
              </w:rPr>
              <w:t>Shares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April 30, 2017</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6,313,996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(48,065)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(187,370)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Issuance of restricted stock, net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178,756</w:t>
            </w:r>
          </w:p>
        </w:tc>
        <w:tc>
          <w:tcPr>
            <w:tcW w:w="4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Sale of stock, net of financing costs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11,932,187</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(25,947)</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Adoption of accounting standard</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update related to stock</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accounting (ASU</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2016-09)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January 31, 2018</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18,424,939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(74,012</w:t>
            </w:r>
          </w:p>
        </w:tc>
        <w:tc>
          <w:tcPr>
            <w:tcW w:w="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208,130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(194,284</w:t>
            </w:r>
          </w:p>
        </w:tc>
        <w:tc>
          <w:tcPr>
            <w:tcW w:w="120" w:type="dxa"/>
            <w:vAlign w:val="bottom"/>
            <w:vMerge w:val="continue"/>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8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8"/>
                <w:szCs w:val="18"/>
                <w:b w:val="1"/>
                <w:bCs w:val="1"/>
                <w:color w:val="auto"/>
              </w:rPr>
              <w:t>Nine months ended January 31,</w:t>
            </w: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57"/>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ind w:right="113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(6,903)</w:t>
            </w:r>
          </w:p>
        </w:tc>
        <w:tc>
          <w:tcPr>
            <w:tcW w:w="1300" w:type="dxa"/>
            <w:vAlign w:val="bottom"/>
            <w:gridSpan w:val="2"/>
          </w:tcPr>
          <w:p>
            <w:pPr>
              <w:jc w:val="right"/>
              <w:ind w:right="1125"/>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Foreign exchange (gain)/loss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litigation settlement</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Unbilled receivable</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(1,399)</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Deferred rent</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Unearned revenues</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used in operating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(8,177</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Leasehold improvements and purchase of equipment</w:t>
            </w: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and related warrants, net of costs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14,647</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tcPr>
          <w:p>
            <w:pPr>
              <w:ind w:left="70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14,584</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5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700"/>
              <w:spacing w:after="0" w:line="203" w:lineRule="exact"/>
              <w:rPr>
                <w:sz w:val="20"/>
                <w:szCs w:val="20"/>
                <w:color w:val="auto"/>
              </w:rPr>
            </w:pPr>
            <w:r>
              <w:rPr>
                <w:rFonts w:ascii="Arial" w:cs="Arial" w:eastAsia="Arial" w:hAnsi="Arial"/>
                <w:sz w:val="18"/>
                <w:szCs w:val="18"/>
                <w:color w:val="auto"/>
              </w:rPr>
              <w:t>Net increase in cash, cash equivalents and restricted cash</w:t>
            </w: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5,996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4,379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8,909</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54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14,905</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184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112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w w:val="99"/>
              </w:rPr>
              <w:t>Acquisition of leasehold improvements and equipment through accounts payable</w:t>
            </w:r>
          </w:p>
        </w:tc>
        <w:tc>
          <w:tcPr>
            <w:tcW w:w="1840" w:type="dxa"/>
            <w:vAlign w:val="bottom"/>
            <w:gridSpan w:val="2"/>
          </w:tcPr>
          <w:p>
            <w:pPr>
              <w:jc w:val="right"/>
              <w:ind w:right="113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112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Acquisition of leasehold improvements and equipment through accrued expenses</w:t>
            </w:r>
          </w:p>
        </w:tc>
        <w:tc>
          <w:tcPr>
            <w:tcW w:w="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ind w:left="38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2017 filed with the Securities and Exchange Commission (“SEC”) and elsewhere in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Liquidity/Going Concern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have been prepared assuming the Company will continue as a going concern. The Company has experienced substantial and recurring losses from operations, which have contributed to an accumulated deficit of $194.3 million as of January 31, 2018. As of January 31, 2018, the Company had approximately $14.4 million in cash and cash equivalents on hand. The Company generated revenues of $0.3 million and $0.6 million during each of the nine months ended January 31, 2018 and 2017. Based on the Company’s cash, cash equivalents and marketable securities as of January 31, 2018, the Company believes that it will be able to finance its capital requirements and operations into at least the quarter ending April 30, 2019.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evaluating different strategies to obtain the required additional funding for future operations. These strategies may include, but are not limited to, continued pursuit of business opportunities,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7"/>
          <w:szCs w:val="17"/>
          <w:color w:val="auto"/>
        </w:rPr>
        <w:t>In fiscal 2017 and the nine months ended January 31, 2018,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five equity financing arrangements during the 21-month period ended January 31, 2018.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$35,000 for their out of pocket and legal expenses in connection with the offering.</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 2017, the Company filed a registration statement on Form S-3 with the SEC using a “shelf” registration process, which became effective December 12, 2017. Under this shelf registration process, we may from time to time sell any combination of the securities described in the registration statement in one or more offerings for an aggregate offering price of up to $30 million. The amount to be registered under the shelf registration consists of up to $30 million of an indeterminate amount of common stock, preferred stock, debt securities, warrants and/or units. There is also being registered under the shelf registration a currently indeterminate number of (i) shares of common stock or other securities of us as may be issued upon conversion of, or in exchange for, convertible or exchangeable debt securities and/or preferred stock registered under the registration statement, or (ii) shares of preferred stock, common stock, debt securities or units as may be issued upon exercise of warrants registered by the registration statement, as the case may be. As of January 31, 2018, the Company has not issued any securities under this registration statement.</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fair value of warrant liabilities, valuation allowances for receivables and deferred income tax assets;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revenue under fixed price or cost-plus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 money market account.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January 31, 2018</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(in thousands)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900" w:type="dxa"/>
            <w:vAlign w:val="bottom"/>
            <w:shd w:val="clear" w:color="auto" w:fill="CCEEFF"/>
          </w:tcPr>
          <w:p>
            <w:pPr>
              <w:jc w:val="right"/>
              <w:ind w:right="17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9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w w:val="90"/>
              </w:rPr>
              <w:t>13,136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174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14,369</w:t>
            </w: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January 31, 2018, there was €0.3 million ($0.4 million) in letters of credit outstanding under this agreement.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agreement is between the Company and Santander Bank. Under this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Restricted cash includes the following:</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January 31, 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7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January 31, 2018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30,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2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14,905</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00" w:type="dxa"/>
            <w:vAlign w:val="bottom"/>
            <w:vMerge w:val="restart"/>
          </w:tcPr>
          <w:p>
            <w:pPr>
              <w:jc w:val="right"/>
              <w:ind w:right="57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January 31, 2018, and April 30, 2017, all of the Company’s investments were classified as held-to-maturity.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5"/>
              </w:rPr>
              <w:t>Three months ended January 31,</w:t>
            </w:r>
          </w:p>
        </w:tc>
        <w:tc>
          <w:tcPr>
            <w:tcW w:w="30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6"/>
              </w:rPr>
              <w:t>Nine months ended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2080"/>
              <w:spacing w:after="0"/>
              <w:rPr>
                <w:sz w:val="20"/>
                <w:szCs w:val="20"/>
                <w:color w:val="auto"/>
              </w:rPr>
            </w:pPr>
            <w:r>
              <w:rPr>
                <w:rFonts w:ascii="Arial" w:cs="Arial" w:eastAsia="Arial" w:hAnsi="Arial"/>
                <w:sz w:val="18"/>
                <w:szCs w:val="18"/>
                <w:b w:val="1"/>
                <w:bCs w:val="1"/>
                <w:color w:val="auto"/>
              </w:rPr>
              <w:t>Customer</w:t>
            </w: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U.S. Department of Defense Office of</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Naval Research</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computing diluted net loss per share, options to purchase shares of common stock, warrants on common stock and non-vested restricted stock issued to employees and non-employee directors, totaling 915,183 for the three and nine months ended January 31, 2018 and 680,429 for the three and nine months ended January 31, 2017, were excluded from each of the computations as the effect would be anti-dilutive due to the Company's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nine months ended January 31, 2018 and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w w:val="91"/>
              </w:rPr>
              <w:t>(in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12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Deferred Rent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31, 2017, the Company signed a new 7-year lease for approximately 56,000 square feet in Monroe Township, New Jersey that will be used as warehouse/production space and the Company’s principal offices and corporate headquarters. The lease was classified as an operating lease. Rent payments relating to the Monroe premises are subject to annual increases. The minimum monthly payments will vary over the 7-year term of the lease. The Company will record rent expense on a straight-line basis over the 7-year term of the lease. The difference between rent expense and the monthly lease payment will go to a deferred rent/prepaid rent account. The Landlord has provided the Company a tenant improvement allowance in an amount up to, but not exceeding, $137,563 to be applied to the cost of tenant improvement work. The Company recorded lease incentive liability to deferred rent. The Company will release the lease incentive liability on a straight-line basis over the 7-year term to rent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Recently Issued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(c) “Liquidity/Going Concern” within Note (1) “Background and Liquidity” of the consolidated financial statements included in this Quarterly Report on Form 10-Q for further discussion on the Company’s ability to continue as a going concern.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accounting for forfeitures,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$11,000 on the date of initial adoption. In periods subsequent to adoption, a higher expense will be recognized earlier during the respective vesting periods of stock-based awards that are not forfeited. The Company expects that the income tax amendments within ASU 2016-09 will have no impact on its results of operations or cash flows because it is in a net operating loss position with a full valuation allowance.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$488,000 and $300,000 of restricted cash to cash, cash equivalents and restricted cash, beginning of period for the period April 30, 2017 and April 30, 2016 in the statement of cash flows. The Company reclassified $299,000 of restricted cash to cash, cash equivalents and restricted cash, end of period for the period ended January 31, 2017 in the statement of cash flows.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and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January 31, 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6"/>
          </w:tcPr>
          <w:p>
            <w:pPr>
              <w:jc w:val="right"/>
              <w:ind w:right="1010"/>
              <w:spacing w:after="0" w:line="202"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Certificate of Deposit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2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(4) Accrued Expenses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w w:val="97"/>
              </w:rPr>
              <w:t>Accrued expenses consist of the following at January 31, 2018 and April 30, 2017.</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2"/>
              </w:rPr>
              <w:t>January 31,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ind w:left="14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7"/>
          </w:tcPr>
          <w:p>
            <w:pPr>
              <w:jc w:val="right"/>
              <w:ind w:right="128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17"/>
                <w:szCs w:val="17"/>
                <w:color w:val="auto"/>
              </w:rPr>
            </w:pPr>
          </w:p>
        </w:tc>
        <w:tc>
          <w:tcPr>
            <w:tcW w:w="55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Contract loss reserve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Accrued salary and benefits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Accrued taxes payable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Credits Payable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January 31, 2018, the Company has not generated any emissions credits eligible for purchase under the agreement. As a result, the Company anticipates returning the option fee of $0.6 million. Therefore, the $0.6 million is reflected in the consolidated balance sheets within “Deferred credits payable current” as of January 31, 2018 and April 30,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both"/>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sets of warrants contain a feature whereby they could require the transfer of assets and therefore are classified as a liability in accordance with ASC 480. As such, the warrants had a value of $0.2 million and $0.3 million at January 31, 2018 and April 30, 2017, respectively, as reflected within “Warrant liabilities” in the unaudited consolidated balance sheets.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unrealized gain and unrealized loss of approximately $14,000 and $104,000 for the three months ended January 31, 2018 and 2017, and a unrealized gain of approximately $82,000 and $1,161,000 for the nine months ended January 31, 2018 and 2017, respectively, were included within “Change in fair value of warrant liability” in the consolidated statements of operations. The Company determined the fair value using the Black-Scholes option pricing model with the following assumptions: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January 31, 2018</w:t>
            </w:r>
          </w:p>
        </w:tc>
        <w:tc>
          <w:tcPr>
            <w:tcW w:w="2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Risk-free rate</w:t>
            </w: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- 2.4%</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- 3.8</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4.5 - 4.9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Expected volatility</w:t>
            </w:r>
          </w:p>
        </w:tc>
        <w:tc>
          <w:tcPr>
            <w:tcW w:w="2240" w:type="dxa"/>
            <w:vAlign w:val="bottom"/>
            <w:gridSpan w:val="3"/>
          </w:tcPr>
          <w:p>
            <w:pPr>
              <w:jc w:val="right"/>
              <w:ind w:right="220"/>
              <w:spacing w:after="0"/>
              <w:rPr>
                <w:sz w:val="20"/>
                <w:szCs w:val="20"/>
                <w:color w:val="auto"/>
              </w:rPr>
            </w:pPr>
            <w:r>
              <w:rPr>
                <w:rFonts w:ascii="Arial" w:cs="Arial" w:eastAsia="Arial" w:hAnsi="Arial"/>
                <w:sz w:val="18"/>
                <w:szCs w:val="18"/>
                <w:color w:val="auto"/>
              </w:rPr>
              <w:t>137.5% - 145.2%</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129.0% - 138.2%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2007, the Company’s 2006 Stock Incentive Plan (the “2006 Plan”) became effective. A total of 80,321 shares were authorized for issuance under the 2006 Plan. In 2009, an amendment to the 2006 Plan was approved by the Company’s stockholders, increasing the aggregate number of shares authorized for issuance by 85,000 shares to 165,321. On October 2, 2013, a further amendment to the 2006 Plan was approved by the Company’s stockholders, increasing the aggregate number of shares authorized for issuance by an additional 80,000 shares to 245,321. The Company’s employees, officers, directors, consultants and advisors were eligible to receive awards under the 2006 Plan. The 2006 Plan was administered by the Company’s board of directors, who were authorized to delegate authority to one or more committees or subcommittees of the board of directors or to the Company’s officers. The 2006 Plan was terminated in December 2015 and unused shares in that plan were transferred to the 2015 Omnibus Incentive Plan.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640,703.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January 31, 2018, the Company has 84,393 shares available for future issuance under the 2015 Plan.</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18, 2018, the Company’s Board of Directors adopted the Company’s Employment Inducement Incentive Award Plan (the “2018 Inducement Plan”) pursuant to which the Company reserved 500,000 shares of common stock for issuance under the Inducement Plan. In accordance with Rule 5635(c)</w:t>
      </w:r>
    </w:p>
    <w:p>
      <w:pPr>
        <w:jc w:val="both"/>
        <w:ind w:firstLine="8"/>
        <w:spacing w:after="0" w:line="253"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January 31, 2018, there were 97,297 shares outstanding and 402,703 shares available for grant under the 2018 Inducement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estimates the fair value of each stock option granted, for both service-based and performance-based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over the expected life of the stock option granted. The following assumptions were used for three and nine months ended January 31, 2018 and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40" w:type="dxa"/>
            <w:vAlign w:val="bottom"/>
            <w:gridSpan w:val="4"/>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January 31,</w:t>
            </w:r>
          </w:p>
        </w:tc>
        <w:tc>
          <w:tcPr>
            <w:tcW w:w="3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0"/>
              </w:rPr>
              <w:t>January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580" w:type="dxa"/>
            <w:vAlign w:val="bottom"/>
            <w:gridSpan w:val="3"/>
          </w:tcPr>
          <w:p>
            <w:pPr>
              <w:ind w:left="114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128.2%</w:t>
            </w:r>
          </w:p>
        </w:tc>
        <w:tc>
          <w:tcPr>
            <w:tcW w:w="3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333"/>
              <w:spacing w:after="0"/>
              <w:rPr>
                <w:sz w:val="20"/>
                <w:szCs w:val="20"/>
                <w:color w:val="auto"/>
              </w:rPr>
            </w:pPr>
            <w:r>
              <w:rPr>
                <w:rFonts w:ascii="Arial" w:cs="Arial" w:eastAsia="Arial" w:hAnsi="Arial"/>
                <w:sz w:val="18"/>
                <w:szCs w:val="18"/>
                <w:b w:val="1"/>
                <w:bCs w:val="1"/>
                <w:color w:val="auto"/>
                <w:w w:val="91"/>
              </w:rPr>
              <w:t>Weighted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200" w:type="dxa"/>
            <w:vAlign w:val="bottom"/>
          </w:tcPr>
          <w:p>
            <w:pPr>
              <w:jc w:val="center"/>
              <w:ind w:left="333"/>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9"/>
                <w:szCs w:val="19"/>
                <w:color w:val="auto"/>
              </w:rPr>
            </w:pPr>
          </w:p>
        </w:tc>
        <w:tc>
          <w:tcPr>
            <w:tcW w:w="1200" w:type="dxa"/>
            <w:vAlign w:val="bottom"/>
          </w:tcPr>
          <w:p>
            <w:pPr>
              <w:jc w:val="center"/>
              <w:ind w:left="333"/>
              <w:spacing w:after="0"/>
              <w:rPr>
                <w:sz w:val="20"/>
                <w:szCs w:val="20"/>
                <w:color w:val="auto"/>
              </w:rPr>
            </w:pPr>
            <w:r>
              <w:rPr>
                <w:rFonts w:ascii="Arial" w:cs="Arial" w:eastAsia="Arial" w:hAnsi="Arial"/>
                <w:sz w:val="18"/>
                <w:szCs w:val="18"/>
                <w:b w:val="1"/>
                <w:bCs w:val="1"/>
                <w:color w:val="auto"/>
                <w:w w:val="89"/>
              </w:rPr>
              <w:t>Exercise</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200" w:type="dxa"/>
            <w:vAlign w:val="bottom"/>
          </w:tcPr>
          <w:p>
            <w:pPr>
              <w:jc w:val="center"/>
              <w:ind w:left="353"/>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2017</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3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14.64</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170,664</w:t>
            </w:r>
          </w:p>
        </w:tc>
        <w:tc>
          <w:tcPr>
            <w:tcW w:w="180" w:type="dxa"/>
            <w:vAlign w:val="bottom"/>
          </w:tcPr>
          <w:p>
            <w:pPr>
              <w:spacing w:after="0"/>
              <w:rPr>
                <w:sz w:val="18"/>
                <w:szCs w:val="18"/>
                <w:color w:val="auto"/>
              </w:rPr>
            </w:pPr>
          </w:p>
        </w:tc>
        <w:tc>
          <w:tcPr>
            <w:tcW w:w="1320" w:type="dxa"/>
            <w:vAlign w:val="bottom"/>
            <w:gridSpan w:val="2"/>
          </w:tcPr>
          <w:p>
            <w:pPr>
              <w:jc w:val="right"/>
              <w:ind w:right="103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Cancelled/forfeited</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(14,211)</w:t>
            </w:r>
          </w:p>
        </w:tc>
        <w:tc>
          <w:tcPr>
            <w:tcW w:w="1320" w:type="dxa"/>
            <w:vAlign w:val="bottom"/>
            <w:gridSpan w:val="2"/>
          </w:tcPr>
          <w:p>
            <w:pPr>
              <w:jc w:val="right"/>
              <w:ind w:right="103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90.10</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2018</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1033"/>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8"/>
                <w:szCs w:val="18"/>
                <w:color w:val="auto"/>
              </w:rPr>
              <w:t>Exercisable as of January 31, 2018</w:t>
            </w: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vMerge w:val="restart"/>
          </w:tcPr>
          <w:p>
            <w:pPr>
              <w:jc w:val="right"/>
              <w:ind w:right="1033"/>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280" w:type="dxa"/>
            <w:vAlign w:val="bottom"/>
            <w:vMerge w:val="restart"/>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222,293</w:t>
            </w:r>
          </w:p>
        </w:tc>
        <w:tc>
          <w:tcPr>
            <w:tcW w:w="18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31, 2018, the total intrinsic value of outstanding and exercisable options was approximately $2,000 and $2,000, respectively. As of January 31, 2018, approximately 145,669 additional options were unvested, which had no intrinsic value and a weighted average remaining contractual term of 9.7 years. There was approximately $177,000 and $224,000 of total recognized compensation cost related to stock options during each of the nine months ended January 31, 2018 and 2017, respectively. As of January 31, 2018, there was approximately $147,000 of total unrecognized compensation cost related to non-vested stock options granted under the plans. This cost is expected to be recognized over a weighted-average period of 0.7 years. The Company typically issues newly authorized but unissued shares to satisfy option exercises under these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nine months ended January 31, 2018, the Company granted 211,881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issued and unvested as of January 31, 2018 included zero shares of unvested restricted stock subjected to performance-based vesting requirements.</w:t>
      </w:r>
    </w:p>
    <w:p>
      <w:pPr>
        <w:sectPr>
          <w:pgSz w:w="11900" w:h="16838" w:orient="portrait"/>
          <w:cols w:equalWidth="0" w:num="1">
            <w:col w:w="11420"/>
          </w:cols>
          <w:pgMar w:left="240" w:top="692"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r>
      <w:tr>
        <w:trPr>
          <w:trHeight w:val="230"/>
        </w:trPr>
        <w:tc>
          <w:tcPr>
            <w:tcW w:w="16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Average Price per</w:t>
            </w:r>
          </w:p>
        </w:tc>
      </w:tr>
      <w:tr>
        <w:trPr>
          <w:trHeight w:val="241"/>
        </w:trPr>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Share</w:t>
            </w:r>
          </w:p>
        </w:tc>
      </w:tr>
      <w:tr>
        <w:trPr>
          <w:trHeight w:val="418"/>
        </w:trPr>
        <w:tc>
          <w:tcPr>
            <w:tcW w:w="1480" w:type="dxa"/>
            <w:vAlign w:val="bottom"/>
          </w:tcPr>
          <w:p>
            <w:pPr>
              <w:jc w:val="right"/>
              <w:spacing w:after="0"/>
              <w:rPr>
                <w:sz w:val="20"/>
                <w:szCs w:val="20"/>
                <w:color w:val="auto"/>
              </w:rPr>
            </w:pPr>
            <w:r>
              <w:rPr>
                <w:rFonts w:ascii="Arial" w:cs="Arial" w:eastAsia="Arial" w:hAnsi="Arial"/>
                <w:sz w:val="18"/>
                <w:szCs w:val="18"/>
                <w:color w:val="auto"/>
              </w:rPr>
              <w:t>103,412</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211,881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(85,104)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51"/>
        </w:trPr>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(33,125)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197,064</w:t>
            </w:r>
          </w:p>
        </w:tc>
        <w:tc>
          <w:tcPr>
            <w:tcW w:w="140" w:type="dxa"/>
            <w:vAlign w:val="bottom"/>
          </w:tcPr>
          <w:p>
            <w:pPr>
              <w:spacing w:after="0"/>
              <w:rPr>
                <w:sz w:val="19"/>
                <w:szCs w:val="19"/>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1.35</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620"/>
            <w:col w:w="4500"/>
          </w:cols>
          <w:pgMar w:left="240" w:top="692"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$73,000 and $775,000 of total recognized compensation cost related to restricted stock for the nine months ended January 31, 2018 and 2017, respectively. As of January 31, 2018, there was approximately $0.2 million of total unrecognized compensation cost related to unvested restricted stock granted under our plans. This cost is expected to be recognized over a weighted average period of 2.2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January 31, 2018 and 2017, 25,947 and 39,882 shares, respectively,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58" w:lineRule="exact"/>
        <w:rPr>
          <w:sz w:val="20"/>
          <w:szCs w:val="20"/>
          <w:color w:val="auto"/>
        </w:rPr>
      </w:pPr>
    </w:p>
    <w:p>
      <w:pPr>
        <w:jc w:val="both"/>
        <w:ind w:left="920" w:right="20" w:hanging="904"/>
        <w:spacing w:after="0" w:line="264" w:lineRule="auto"/>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920" w:hanging="904"/>
        <w:spacing w:after="0" w:line="264"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920" w:hanging="904"/>
        <w:spacing w:after="0" w:line="264" w:lineRule="auto"/>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three and nine months ended January 31, 2018 and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warrant liabilities (refer to Note 6)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January 31, 2018.</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Quoted prices in</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Total Carrying</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active markets for</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Value in</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6"/>
              </w:rPr>
              <w:t>identical assets or</w:t>
            </w:r>
          </w:p>
        </w:tc>
        <w:tc>
          <w:tcPr>
            <w:tcW w:w="1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b w:val="1"/>
                <w:bCs w:val="1"/>
                <w:color w:val="auto"/>
              </w:rPr>
              <w:t>Significant other</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Consolidated</w:t>
            </w:r>
          </w:p>
        </w:tc>
        <w:tc>
          <w:tcPr>
            <w:tcW w:w="2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liabilities</w:t>
            </w:r>
          </w:p>
        </w:tc>
        <w:tc>
          <w:tcPr>
            <w:tcW w:w="18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6"/>
              </w:rPr>
              <w:t>observable inputs</w:t>
            </w: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Balance Sheet</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3"/>
              </w:rPr>
              <w:t>(Level 2)</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3"/>
          </w:tcPr>
          <w:p>
            <w:pPr>
              <w:ind w:left="960"/>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Quoted prices in</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Total Carrying</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active markets for</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Value in</w:t>
            </w:r>
          </w:p>
        </w:tc>
        <w:tc>
          <w:tcPr>
            <w:tcW w:w="16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6"/>
              </w:rPr>
              <w:t>identical assets or</w:t>
            </w:r>
          </w:p>
        </w:tc>
        <w:tc>
          <w:tcPr>
            <w:tcW w:w="18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b w:val="1"/>
                <w:bCs w:val="1"/>
                <w:color w:val="auto"/>
              </w:rPr>
              <w:t>Significant other</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unobservable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Consolidated</w:t>
            </w:r>
          </w:p>
        </w:tc>
        <w:tc>
          <w:tcPr>
            <w:tcW w:w="22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liabilities</w:t>
            </w:r>
          </w:p>
        </w:tc>
        <w:tc>
          <w:tcPr>
            <w:tcW w:w="18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6"/>
              </w:rPr>
              <w:t>observable inputs</w:t>
            </w: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inputs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Balance Sheet</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3"/>
              </w:rPr>
              <w:t>(Level 2)</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3"/>
          </w:tcPr>
          <w:p>
            <w:pPr>
              <w:ind w:left="960"/>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vMerge w:val="restart"/>
          </w:tcPr>
          <w:p>
            <w:pPr>
              <w:spacing w:after="0"/>
              <w:rPr>
                <w:sz w:val="17"/>
                <w:szCs w:val="17"/>
                <w:color w:val="auto"/>
              </w:rPr>
            </w:pPr>
          </w:p>
        </w:tc>
        <w:tc>
          <w:tcPr>
            <w:tcW w:w="2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provides a summary of changes in fair value of the Company’s warrant liabilities held at January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Fair Value Measurement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54286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17145"/>
                    </a:xfrm>
                    <a:prstGeom prst="rect">
                      <a:avLst/>
                    </a:prstGeom>
                    <a:noFill/>
                  </pic:spPr>
                </pic:pic>
              </a:graphicData>
            </a:graphic>
          </wp:anchor>
        </w:drawing>
      </w:r>
    </w:p>
    <w:p>
      <w:pPr>
        <w:spacing w:after="0" w:line="23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Total</w:t>
            </w:r>
          </w:p>
        </w:tc>
      </w:tr>
      <w:tr>
        <w:trPr>
          <w:trHeight w:val="216"/>
        </w:trPr>
        <w:tc>
          <w:tcPr>
            <w:tcW w:w="7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Warrant</w:t>
            </w:r>
          </w:p>
        </w:tc>
      </w:tr>
      <w:tr>
        <w:trPr>
          <w:trHeight w:val="237"/>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rPr>
              <w:t>Liability</w:t>
            </w:r>
          </w:p>
        </w:tc>
      </w:tr>
      <w:tr>
        <w:trPr>
          <w:trHeight w:val="230"/>
        </w:trPr>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(in thousands)</w:t>
            </w:r>
          </w:p>
        </w:tc>
      </w:tr>
      <w:tr>
        <w:trPr>
          <w:trHeight w:val="202"/>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2016</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(1,491)</w:t>
            </w:r>
          </w:p>
        </w:tc>
      </w:tr>
      <w:tr>
        <w:trPr>
          <w:trHeight w:val="216"/>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203"/>
        </w:trPr>
        <w:tc>
          <w:tcPr>
            <w:tcW w:w="7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Fair value – January 31, 2018</w:t>
            </w: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241</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re-measured assets or liabilities at fair value on a non-recurring basis during the nine months ended January 31, 2018 and 2017,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If approved by the Court, the settlement provides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The Court has not yet ruled on that motion. The Company has accrued $350,000 related to this matter as a probable and reasonably estimable loss contingency during the nine months ended January 31, 2018. The Company also recorded a receivable of $350,000 from its insurance carrier with the offset to the statement of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w:t>
      </w:r>
      <w:r>
        <w:rPr>
          <w:rFonts w:ascii="Arial" w:cs="Arial" w:eastAsia="Arial" w:hAnsi="Arial"/>
          <w:sz w:val="17"/>
          <w:szCs w:val="17"/>
          <w:color w:val="222222"/>
        </w:rPr>
        <w:t>On June 23, 2017, the Company responded to the Stockholder Demand, explained the procedures that were followed for the</w:t>
      </w:r>
      <w:r>
        <w:rPr>
          <w:rFonts w:ascii="Arial" w:cs="Arial" w:eastAsia="Arial" w:hAnsi="Arial"/>
          <w:sz w:val="17"/>
          <w:szCs w:val="17"/>
          <w:color w:val="auto"/>
        </w:rPr>
        <w:t xml:space="preserve"> </w:t>
      </w:r>
      <w:r>
        <w:rPr>
          <w:rFonts w:ascii="Arial" w:cs="Arial" w:eastAsia="Arial" w:hAnsi="Arial"/>
          <w:sz w:val="17"/>
          <w:szCs w:val="17"/>
          <w:color w:val="222222"/>
        </w:rPr>
        <w:t>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derivatives litigation described above.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totaling €0.3 million ($0.3 million) at the request of the Spanish tax authorities. On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undergoing an income tax audit in Spain for the period from 2008 to 2014, when its Spanish branch was closed. The branch reported net operating losses for each of the years reported. It is anticipated that the Company will be assessed a penalty relating to these tax years for these losses. The Company has estimated this penalty to be $132,000, and as such, for the period ended April 30, 2017 and January 31, 2018, the Company has recorded $132,000 for this penalty to Accrued expenses in its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Jersey Net Operating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January 31, 2018, the Company recorded an income tax benefit of $1.1 million, representing the proceeds from the sale of $11.4 million of New Jersey net operating loss carryforwards and research and development tax credits. During the three and nine months ended January 31, 2017, the Company recorded an income tax benefit of $0.7 million representing the proceeds from the sale of $7.8 million of New Jersey net operating loss carryforwards and research and development tax credits.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the sale of New Jersey net operating loss carryforwards, the Company did not recognize any consolidated income tax benefit (expense) during the three and nine month periods ended January 31, 2018 and 2017.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Tax Legislation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Cuts and Jobs Act of 2017 (the “TCJA”) was signed into law making significant changes to the Internal Revenue Code. Changes include, but are not limited to, a corporate tax rate decrease for the Company from 34%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TCJA reduced the U.S. federal statutory tax rate for the Company from 34% to 21% effective January 1, 2018. For fiscal year 2018, our blended U.S. federal statutory tax rate is 29.7%. This is the result of using the tax rate of 34% for the number of days from the start of the fiscal year until the date of rate change and the tax rate of 21% for the number of days from the date of rate change until the end of the fiscal year. However, based upon the Company’s historical losses, the Company continues to have a full valuation allowance against all deferred tax assets.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remeasured our deferred taxes to reflect the reduced rate that will apply when these deferred taxes are settled or realized in future periods. To calculate the remeasurement of deferred taxes, we estimated when the existing deferred taxes will be settled or realized and which deferred taxes will be settled within the current year at the 34% tax rate and those that will reverse after year end at the 21% tax rate. As of January 31, 2018, we have not completed our accounting for the tax effects of the TCJA, however there is no effect on the deferred tax provision since the company has a full valuation allowance.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$132,000, and as such, for the period ended April 30, 2017 and January 31, 2018, we have recorded $132,000 for this penalty to Accrued expenses in the Balance Sheet. At January 31, 2018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During the nine months ended January 31, 2018 and 2017, the Company’s primary business operations were in North America.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2017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2017 refers to the year ended April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Nearly 70% of the earth’s surface is covered by water, with over 40% of the world’s population living within approximately 150 miles of a coast. Thousands of information gathering and/or power systems are deployed in the oceans today to increase our understanding of weather, climate change, biological processes, and marine mammal patterns and to support exploration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Just as importantly, increases in available power may allow for better sensors, faster data sampling and higher frequency communication intervals up to real-time which could as a result improve scientific and economic returns.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1984 and headquartered in Monroe Township,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PowerBuoy™ generates power for use in remote offshore locations, independent of a conventional power grid, and it incorporates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leveraging earlier design aspects of our autonomous PowerBuoy™, the PB3 has undergone extensive factory and in-ocean design validation testing. Currently, our engineering efforts are focused primarily on cost reductions and life extensions of the PB3, while also scaling our technologies to increase the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market research and publicly available data, we believe that multiple markets have a direct need for our PowerBuoys™ including oil and gas, ocean observing, defense and security,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2017 and the first nine months of fiscal year 2018, we continued work on projects with the U.S. Department of Defense (“DOD”) and Mitsui Engineering and Shipbuilding Co., Ltd. (“MES”), while we continued to validate the reliability and power output of our PB3 PowerBuoy™.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 of our technology has been funded by revenue generating projects, capital we raised, and by development engineering contracts we received starting in fiscal 1995, including projects with the DOE, the U.S. Navy, the Department of Homeland Security and MES.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fiscal 2018, we continued to focus on the commercialization of our PowerBuoy™ technology, while expanding the application of our PB3 product in autonomous application markets. In 2018, we gained additional field experience with our PB3 by completing the demonstration of the PowerBuoy™ in an ocean observing application with MES. In January 2018, we were awarded a contract from Premier Oil </w:t>
      </w:r>
      <w:r>
        <w:rPr>
          <w:rFonts w:ascii="Arial" w:cs="Arial" w:eastAsia="Arial" w:hAnsi="Arial"/>
          <w:sz w:val="17"/>
          <w:szCs w:val="17"/>
          <w:color w:val="333333"/>
        </w:rPr>
        <w:t>to study the feasibility of using the PB3 PowerBuoy™</w:t>
      </w:r>
      <w:r>
        <w:rPr>
          <w:rFonts w:ascii="Arial" w:cs="Arial" w:eastAsia="Arial" w:hAnsi="Arial"/>
          <w:sz w:val="17"/>
          <w:szCs w:val="17"/>
          <w:color w:val="auto"/>
        </w:rPr>
        <w:t xml:space="preserve"> </w:t>
      </w:r>
      <w:r>
        <w:rPr>
          <w:rFonts w:ascii="Arial" w:cs="Arial" w:eastAsia="Arial" w:hAnsi="Arial"/>
          <w:sz w:val="17"/>
          <w:szCs w:val="17"/>
          <w:color w:val="333333"/>
        </w:rPr>
        <w:t>for decommissioning operations in the North Sea</w:t>
      </w:r>
      <w:r>
        <w:rPr>
          <w:rFonts w:ascii="Arial" w:cs="Arial" w:eastAsia="Arial" w:hAnsi="Arial"/>
          <w:sz w:val="17"/>
          <w:szCs w:val="17"/>
          <w:color w:val="000000"/>
        </w:rPr>
        <w:t>. The work under this contract will be completed later this year. In parallel, we completed the Phase I work</w:t>
      </w:r>
      <w:r>
        <w:rPr>
          <w:rFonts w:ascii="Arial" w:cs="Arial" w:eastAsia="Arial" w:hAnsi="Arial"/>
          <w:sz w:val="17"/>
          <w:szCs w:val="17"/>
          <w:color w:val="333333"/>
        </w:rPr>
        <w:t xml:space="preserve"> </w:t>
      </w:r>
      <w:r>
        <w:rPr>
          <w:rFonts w:ascii="Arial" w:cs="Arial" w:eastAsia="Arial" w:hAnsi="Arial"/>
          <w:sz w:val="17"/>
          <w:szCs w:val="17"/>
          <w:color w:val="000000"/>
        </w:rPr>
        <w:t>under the contract with the U.S. Department of Defense Office of Naval Research (“ONR”), which focused on the initial concept design and development of a mass-on-spring PTO-based PowerBuoy™. We are waiting for ONR funding to be approved. Working closely with potential customers, we also continued to analyze and further develop new applications for the PowerBuoy™ including subsea well monitoring for oil and gas, Autonomous Underwater Vehicle (“AUV”) charging, and independent telecommunications platforms.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fiscal 2017, we also completed our work under our DOE contract that focused on further optimization of our modular PTO technology and delivered the project final report to the DOE in the prior year. In the prior year,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Inspection and refurbishment of the PB3 PowerBuoy™ were completed and this PB3 was shipped for delivery to MES in Japan where it was deployed off Kozushima Island in the Pacific Ocean from April 2017 and was retrieved in mid-September 2017 after successfully fulfilling the requirements of our lease with MES.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 of the PB3 commercial PTO is ongoing with no failures to date. In addition to the deployment of the PB3 PowerBuoy™, the prior generation pre-commercial PB3 (“PB3-A1”), was fitted with a sensor that collects tagged marine mammal migration information as well as with a Self-Contained Ocean Observing Payload (“SCOOP”). 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Arial" w:cs="Arial" w:eastAsia="Arial" w:hAnsi="Arial"/>
          <w:sz w:val="17"/>
          <w:szCs w:val="17"/>
          <w:b w:val="1"/>
          <w:bCs w:val="1"/>
          <w:color w:val="auto"/>
        </w:rPr>
        <w:t>.</w:t>
      </w:r>
      <w:r>
        <w:rPr>
          <w:rFonts w:ascii="Arial" w:cs="Arial" w:eastAsia="Arial" w:hAnsi="Arial"/>
          <w:sz w:val="17"/>
          <w:szCs w:val="17"/>
          <w:color w:val="auto"/>
        </w:rPr>
        <w:t xml:space="preserve"> From July 2016 through October 2016, both PB3-A1 and PB3 were concurrently deployed generating valuable performance validation data. Both the NDBC SCOOP as well as the WCS tagged mammal migration detection sensor met all of their performance requirements. This pre-commercial PowerBuoy™, referred to as “PB3-A1” has now undergone a full upgrade and has achieved full commercial status by retrofitting it with the final commercial PTO including our modular energy storage system, and to make it available to support our on-going commercialization efforts.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47" w:lineRule="exact"/>
        <w:rPr>
          <w:sz w:val="20"/>
          <w:szCs w:val="20"/>
          <w:color w:val="auto"/>
        </w:rPr>
      </w:pPr>
    </w:p>
    <w:p>
      <w:pPr>
        <w:ind w:left="980" w:hanging="324"/>
        <w:spacing w:after="0" w:line="274"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ind w:left="980" w:hanging="324"/>
        <w:spacing w:after="0" w:line="32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commercial PB3, we further enhanced this feature in order to achieve faster and more cost effective PB3 deployments and retrievals.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are focusing all resources on enhancing and commercializing our PB3 we have curtailed the development of our PB15, the next scale-up of our autonomous PowerBuoy™, which will provide higher peak power than our PB3 To date we completed the preliminary design of our PB15 and are continuing to obtain market feedback on the value proposition of this design. While this scale-up leverages every aspect of the product development and validation of the PB3, it may also strategically position the product to allow OPT to respond to higher power needs as expressed by potential end-users and customers in our target markets.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to enhance our ability to improve customer value, displace incumbent solutions, and become the preferred power source for new and existing applications in our target markets.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utilizing our experience with multiple commercial PB3 deployments globally to continually improve our product so that we have higher energy efficiency, additional mooring capability, platform flexibility and high reliability. For example, the redesigned PB3 leverages our knowledge base from past designs to incorporate new design features which we believe will improve its reliability and efficiency, including a redesigned PTO and a higher efficiency and higher voltage ESS. In July 2016, we deployed our first commercial PB3 PowerBuoy™, off the coast of New Jersey. This deployment was the final validation of the PB3 prior to the March 2017 six-month lease of the PB3 PowerBuoy™ under a previously announced customer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In March 2017, our commercial PB3 was deployed off the coast of Kozushima Island in Japan as part of this lease and operated meeting all project requirements. The MES lease concluded in September 2017 and the PB3 was shipped back to New Jersey.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1" w:lineRule="exact"/>
        <w:rPr>
          <w:sz w:val="20"/>
          <w:szCs w:val="20"/>
          <w:color w:val="auto"/>
        </w:rPr>
      </w:pPr>
    </w:p>
    <w:p>
      <w:pPr>
        <w:jc w:val="both"/>
        <w:ind w:left="980" w:hanging="324"/>
        <w:spacing w:after="0" w:line="271"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2016, we entered into a cooperative research and development agreement (“CRADA”) with the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78" w:lineRule="exact"/>
        <w:rPr>
          <w:rFonts w:ascii="Arial" w:cs="Arial" w:eastAsia="Arial" w:hAnsi="Arial"/>
          <w:sz w:val="17"/>
          <w:szCs w:val="17"/>
          <w:color w:val="auto"/>
        </w:rPr>
      </w:pPr>
    </w:p>
    <w:p>
      <w:pPr>
        <w:jc w:val="both"/>
        <w:ind w:left="980" w:hanging="324"/>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May 2016, we entered into a Memorandum of Agreement (“MOA”) with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the coast of New Jersey which sought to establish a baseline acoustic survey. The deployment proceeded for approximately three months and met all project objectives.</w:t>
      </w:r>
    </w:p>
    <w:p>
      <w:pPr>
        <w:spacing w:after="0" w:line="172"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2016 we entered into a contract with MES totaling nearly $1.0 million, a portion of which was performed in fiscal 2016 as agreed under a letter of intent signed in March 2016. The contract with MES includes certain engineering and other services, and a six-month lease of our PB3 PowerBuoy™ off the coast of Japan, which commenced in March 2017. This six-month lease was extended an additional month to September 2017, and the PB3 PowerBuoy™ was then retrieved and shipped back to New Jersey.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ind w:left="980" w:hanging="324"/>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September 2016, we entered into a contract with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Overall, progress was made on the project whereby design and analysis tasks as well as a portion of the test were completed and documented. The Company requested three no-cost extensions from ONR in order to address testing efforts associated with implementing improved sealing elements and improving test fixture alignment.</w:t>
      </w:r>
    </w:p>
    <w:p>
      <w:pPr>
        <w:spacing w:after="0" w:line="178" w:lineRule="exact"/>
        <w:rPr>
          <w:rFonts w:ascii="Arial" w:cs="Arial" w:eastAsia="Arial" w:hAnsi="Arial"/>
          <w:sz w:val="17"/>
          <w:szCs w:val="17"/>
          <w:color w:val="auto"/>
        </w:rPr>
      </w:pPr>
    </w:p>
    <w:p>
      <w:pPr>
        <w:jc w:val="both"/>
        <w:ind w:left="980" w:hanging="324"/>
        <w:spacing w:after="0" w:line="288"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 Founded in 1973, Sonalysts is a multi-disciplinary engineering and technical services firm with tremendous competency and expertise as systems integrator developing and supporting mission critical systems for the U.S. Navy Submarine Force. Such applications include real-world mission and tactical analyses and electronic warfare, imaging and combat control systems. Sonalysts’ core strengths also include developing and delivering interactive, computer-based training solutions, operations analysis, human systems integration solutions, and weather and aviation information processing and streaming systems. Additionally, Sonalysts maintains core technology and expertise in undersea wireless communications and in autonomous undersea systems analysis which are available to a variety of defense and commercial customers. We believe that bringing the unique capabilities and expertise of our two companies together will enable the autonomous undersea vehicle infrastructure in these two critically important business sectors.</w:t>
      </w:r>
    </w:p>
    <w:p>
      <w:pPr>
        <w:spacing w:after="0" w:line="169" w:lineRule="exact"/>
        <w:rPr>
          <w:rFonts w:ascii="Arial" w:cs="Arial" w:eastAsia="Arial" w:hAnsi="Arial"/>
          <w:sz w:val="16"/>
          <w:szCs w:val="16"/>
          <w:color w:val="auto"/>
        </w:rPr>
      </w:pPr>
    </w:p>
    <w:p>
      <w:pPr>
        <w:jc w:val="both"/>
        <w:ind w:left="98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 HAI has experience in a variety of technologies and applications in the offshore oil and gas industry including subsea chemical systems. Chemical injection techniques are used to mitigate the diminishing effects of buildup in piping and pumping systems used in subsea oil production operations. HAI has developed an innovative, compact and modular concept which moves the chemical injection system closer to the production field. We believe HAI Technologies’ advanced chemical injection solutions, combined with OPT’s PB3 PowerBuoy™, creates a unique opportunity to pair two distinctive offshore technologies creating new methods to deal with long distance and remote offshore field developments.</w:t>
      </w:r>
    </w:p>
    <w:p>
      <w:pPr>
        <w:spacing w:after="0" w:line="192"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7"/>
        </w:numPr>
        <w:rPr>
          <w:rFonts w:ascii="Arial" w:cs="Arial" w:eastAsia="Arial" w:hAnsi="Arial"/>
          <w:sz w:val="18"/>
          <w:szCs w:val="18"/>
          <w:color w:val="333333"/>
        </w:rPr>
      </w:pPr>
      <w:r>
        <w:rPr>
          <w:rFonts w:ascii="Arial" w:cs="Arial" w:eastAsia="Arial" w:hAnsi="Arial"/>
          <w:sz w:val="18"/>
          <w:szCs w:val="18"/>
          <w:color w:val="auto"/>
        </w:rPr>
        <w:t>In January 2018, we entered into a 3-month agreement totaling approximately $0.1 million with Premier Oil (“PMO”), an international oil and gas company, to study the feasibility of using the PB3 PowerBuoy™ for decommissioning operations in the North Sea. The contract outlines work that will determine the viability of using the PB3 for monitoring and guarding remaining wells and subsea equipment after removal of a floating production, storage and offloading vessel and prior to subsea decommissioning and/or well plugging and abandonment operations. The PB3 would primarily be used to provide site monitoring and surveillance to prevent vessel intrusion and disturbance of remaining subsea infrastructure. The study will also evaluate the PB3’s ability to monitor well pressures and temperatures by connecting to subsea control modules. This added functionality could allow more precise planning and prioritization of plugging and abandonment activities by giving accurate real-time information on well integrity, while also enabling Premier Oil to provide regulators with higher quality information on well conditions. During the study, we are working closely with PMO’s other subsea equipment suppliers to produce a design to integrate their equipment into the PB3. If the feasibility study is successful, the next step could be to prove the solution through a North Sea trial deployment in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“June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$6.08 per share, will be exercisable on December 3, 2016, and will expire five years following the date of issuance.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 2017, the Company filed a registration statement on Form S-3 with the SEC using a “shelf” registration process, which became effective December 12, 2017. Under this shelf registration process, we may from time to time sell any combination of the securities described in the registration statement in one or more offerings for an aggregate offering price of up to $30 million. The amount to be registered under the shelf registration consists of up to $30 million of an indeterminate amount of common stock, preferred stock, debt securities, warrants and/or units. There is also being registered under the shelf registration a currently indeterminate number of (i) shares of common stock or other securities of us as may be issued upon conversion of, or in exchange for, convertible or exchangeable debt securities and/or preferred stock registered under the registration statement, or (ii) shares of preferred stock, common stock, debt securities or units as may be issued upon exercise of warrants registered by the registration statement, as the case may be. As of January 31, 2018, the Company has not issued any securities under this registration statement.</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January 31, 2018, the Company’s negotiated backlog was $0.1 million. As of April 30, 2017, negotiated backlog was $0.3 million.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w:t>
      </w:r>
    </w:p>
    <w:p>
      <w:pPr>
        <w:spacing w:after="0" w:line="15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PB3 PowerBuoys™. </w:t>
      </w:r>
      <w:r>
        <w:rPr>
          <w:rFonts w:ascii="Arial" w:cs="Arial" w:eastAsia="Arial" w:hAnsi="Arial"/>
          <w:sz w:val="18"/>
          <w:szCs w:val="18"/>
          <w:color w:val="auto"/>
        </w:rPr>
        <w:t>We believe our PB3 PowerBuoy™ is well suited for many remote offshore applications. We have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market demand for both PowerBuoy™ sales and leases within our selected markets, and we intend to sell and lease PB3 PowerBuoys™ to these markets. Additionally, we intend to provide services associated with product sales and leases such as maintenance, remote monitoring and diagnostic, application engineering, planning, training, and logistics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in North America,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and parts of Asia, including Japan. In January of 2018, we expanded our salesforce by adding a Director of Business Development in Oslo, Norway. We believe that each of these areas has sizable end market opportunities, political and economic stability, and high levels of industrialization and economic development.</w:t>
      </w:r>
    </w:p>
    <w:p>
      <w:pPr>
        <w:spacing w:after="0" w:line="186" w:lineRule="exact"/>
        <w:rPr>
          <w:rFonts w:ascii="Arial" w:cs="Arial" w:eastAsia="Arial" w:hAnsi="Arial"/>
          <w:sz w:val="18"/>
          <w:szCs w:val="18"/>
          <w:i w:val="1"/>
          <w:iCs w:val="1"/>
          <w:color w:val="auto"/>
        </w:rPr>
      </w:pPr>
    </w:p>
    <w:p>
      <w:pPr>
        <w:jc w:val="both"/>
        <w:ind w:left="660" w:hanging="328"/>
        <w:spacing w:after="0" w:line="312"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our relationships in key market areas through strategic partnerships and collaborations. </w:t>
      </w:r>
      <w:r>
        <w:rPr>
          <w:rFonts w:ascii="Arial" w:cs="Arial" w:eastAsia="Arial" w:hAnsi="Arial"/>
          <w:sz w:val="16"/>
          <w:szCs w:val="16"/>
          <w:color w:val="auto"/>
        </w:rPr>
        <w:t>We believe that strategic partners are an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commercializing a new product. Partnerships and collaborations can be used to improve the development of overall integrated solutions, to create new market channels, to expand commercial know-how and geographic footprint, and to bolster our product delivery capabilities.</w:t>
      </w:r>
    </w:p>
    <w:p>
      <w:pPr>
        <w:spacing w:after="0" w:line="146" w:lineRule="exact"/>
        <w:rPr>
          <w:rFonts w:ascii="Arial" w:cs="Arial" w:eastAsia="Arial" w:hAnsi="Arial"/>
          <w:sz w:val="16"/>
          <w:szCs w:val="16"/>
          <w:i w:val="1"/>
          <w:iCs w:val="1"/>
          <w:color w:val="auto"/>
        </w:rPr>
      </w:pPr>
    </w:p>
    <w:p>
      <w:pPr>
        <w:jc w:val="both"/>
        <w:ind w:left="980" w:hanging="324"/>
        <w:spacing w:after="0" w:line="255"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combined expertise, market presence and access, and core competences across key markets. We have formed such a relationship with several well-known groups, including MES in Japan, the National Data Buoy Center (“NDBC”), the Wildlife Conservation Society (“WCS”), Gardline Environmental (an international and multi-disciplinary marine service company), Sonalysts (with expertise in subsea and surface communications, systems integration, and big-data management), and HAI Technologies (an innovative company focusing on bringing new capabilities to the oil and gas industry). We continue to seek other opportunities to collaborate with application experts from within our selected markets.</w:t>
      </w:r>
    </w:p>
    <w:p>
      <w:pPr>
        <w:spacing w:after="0" w:line="18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 cases</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regards to servicing of our PB3 PowerBuoy™.</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cost reduction of our PB3 PowerBuoy™ and improving the energy output, reliability, maintenance interval and expected operating life of our PowerBuoys™. We continue to optimize manufacturability of our designs with a focus on cost competitiveness, and we believe that we will be able to address new and different applications by developing new products that increase energy output.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$194.3 million at January 31, 2018. Based on the Company’s cash and cash equivalents and marketable securities balances as of January 31, 2018 the Company believes that it will be able to finance its capital requirements and operations into at least the quarter ending April 30, 2019.</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2017,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generally accepted accounting principles, or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2017. There were no material changes in our critical accounting estimates or accounting policies during the nine months ended January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(c) “Liquidity/Going Concern” within Note (1) “Background and Liquidity” of the consolidated financial statements included in this Quarterly Report on Form 10-Q for further discussion on the Company’s ability to continue as a going concern.</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accounting for forfeitures,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$11,000 on the date of initial adoption. In periods subsequent to adoption, a higher expense will be recognized earlier during the respective vesting periods of stock-based awards that are not forfeited. The Company expects that the income tax amendments within ASU 2016-09 will have no impact on its results of operations or cash flows because it is in a net operating loss position with a full valuation allowance.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$488,000 and $300,000 of restricted cash to cash, cash equivalents and restricted cash, beginning of period for the period April 30, 2017 and April 30, 2016 in the statement of cash flows. The Company reclassified $299,000 of restricted cash to cash, cash equivalents and restricted cash, end of period for the period ended January 31, 2017 in the statement of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revenue under fixed price or cost-plus contracts is recognized using the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9"/>
              </w:rPr>
              <w:t>Three months ended January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9"/>
              </w:rPr>
              <w:t>Nine months ended January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ind w:left="46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nine months ended January 31, 2018 and 2017.</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2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7"/>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United States</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product development costs as incurred.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is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$1.1 million as of January 31, 2018 and $1.3 million as of January 31, 2017, compared to our total cash, cash equivalents, restricted cash, and marketable securities balances of $14.9 million as of January 31, 2018 and $11.4 million as of January 31, 2017. These foreign currency balances are translated at each month and to our functional currency, the US dollar, and any resulting gain or loss is recognized in our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every year submits an application to the State of New Jersey to sell net operating loss carryforwards and research and development tax credits. The proceeds received from the sale of New Jersey net operating loss carryforwards and research and development tax credits are recorded to income tax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Three months ended January 31, 2018 compared to the three months ended January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380" w:type="dxa"/>
            <w:vAlign w:val="bottom"/>
            <w:gridSpan w:val="6"/>
            <w:vMerge w:val="restart"/>
          </w:tcPr>
          <w:p>
            <w:pPr>
              <w:jc w:val="right"/>
              <w:ind w:right="500"/>
              <w:spacing w:after="0"/>
              <w:rPr>
                <w:sz w:val="20"/>
                <w:szCs w:val="20"/>
                <w:color w:val="auto"/>
              </w:rPr>
            </w:pPr>
            <w:r>
              <w:rPr>
                <w:rFonts w:ascii="Arial" w:cs="Arial" w:eastAsia="Arial" w:hAnsi="Arial"/>
                <w:sz w:val="18"/>
                <w:szCs w:val="18"/>
                <w:b w:val="1"/>
                <w:bCs w:val="1"/>
                <w:color w:val="auto"/>
                <w:w w:val="98"/>
              </w:rPr>
              <w:t>Three months ended January 31,</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380" w:type="dxa"/>
            <w:vAlign w:val="bottom"/>
            <w:gridSpan w:val="6"/>
            <w:vMerge w:val="continue"/>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2018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2017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3"/>
          </w:tcPr>
          <w:p>
            <w:pPr>
              <w:jc w:val="right"/>
              <w:ind w:right="460"/>
              <w:spacing w:after="0"/>
              <w:rPr>
                <w:sz w:val="20"/>
                <w:szCs w:val="20"/>
                <w:color w:val="auto"/>
              </w:rPr>
            </w:pPr>
            <w:r>
              <w:rPr>
                <w:rFonts w:ascii="Arial" w:cs="Arial" w:eastAsia="Arial" w:hAnsi="Arial"/>
                <w:sz w:val="18"/>
                <w:szCs w:val="18"/>
                <w:color w:val="auto"/>
                <w:w w:val="99"/>
              </w:rPr>
              <w:t>(in thousands)</w:t>
            </w:r>
          </w:p>
        </w:tc>
        <w:tc>
          <w:tcPr>
            <w:tcW w:w="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revenues</w:t>
            </w:r>
          </w:p>
        </w:tc>
        <w:tc>
          <w:tcPr>
            <w:tcW w:w="8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loss</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1,318</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8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1,576</w:t>
            </w:r>
          </w:p>
        </w:tc>
        <w:tc>
          <w:tcPr>
            <w:tcW w:w="8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1,617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84"/>
              </w:rPr>
              <w:t>(2,894)</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80"/>
              </w:rPr>
              <w:t>(2,709)</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8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(2,782)</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(2,815)</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1,119</w:t>
            </w:r>
          </w:p>
        </w:tc>
        <w:tc>
          <w:tcPr>
            <w:tcW w:w="8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(1,663</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(2,117</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520" w:type="dxa"/>
            <w:vAlign w:val="bottom"/>
            <w:tcBorders>
              <w:top w:val="single" w:sz="8" w:color="CCEEFF"/>
              <w:bottom w:val="single" w:sz="8" w:color="CCEEFF"/>
            </w:tcBorders>
            <w:gridSpan w:val="2"/>
            <w:shd w:val="clear" w:color="auto" w:fill="CCEEFF"/>
          </w:tcPr>
          <w:p>
            <w:pPr>
              <w:jc w:val="right"/>
              <w:ind w:right="20"/>
              <w:spacing w:after="0" w:line="230" w:lineRule="exact"/>
              <w:rPr>
                <w:sz w:val="20"/>
                <w:szCs w:val="20"/>
                <w:color w:val="auto"/>
              </w:rPr>
            </w:pPr>
            <w:r>
              <w:rPr>
                <w:rFonts w:ascii="Arial" w:cs="Arial" w:eastAsia="Arial" w:hAnsi="Arial"/>
                <w:sz w:val="15"/>
                <w:szCs w:val="15"/>
                <w:color w:val="auto"/>
              </w:rPr>
              <w:t>-21</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decreased by $0.2 million in the three months ended January 31, 2018 as compared to $0.2 million in the three months ended January 31, 2017. The decline in r</w:t>
      </w:r>
      <w:r>
        <w:rPr>
          <w:rFonts w:ascii="Arial" w:cs="Arial" w:eastAsia="Arial" w:hAnsi="Arial"/>
          <w:sz w:val="18"/>
          <w:szCs w:val="18"/>
          <w:color w:val="333333"/>
        </w:rPr>
        <w:t>evenue is due to the MES and ONR contracts being completed in the second quarter of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revenues for the three months ended January 31, 2018 declined by $0.4 million from $0.4 million for the three months ended January 31, 2017. This decrease was the result of the MES and ONR contracts being completed in the second quarter of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during the three months ended January 31, 2018 and 2017 were $1.3 million and $0.9 million, respectively. The increase of approximately $0.4 million, or 39%, over 2017 is due to spending on building two buoys and start of several new projects plus higher overhead costs incurred for the three months ended January 31, 2018 as compared to the three months ended January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costs for the three months ended January 31, 2018 and 2017 were $1.6 million as the spending for these two periods was relatively the same.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three months ended January 31, 2018 was an unrealized gain of $14,000 versus an unrealized loss of $104,000 for the three months ended January 31, 2017. The change between periods is due to a higher stock price and discount rate used for the three months ended January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during the three months ended January 31, 2018 was $42,000, an increase of $18,000 as compared to the three months ended January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gain during the three months ended January 31, 2018 was $52,000, an increase of $78,000 as compared to a loss of $26,000 during the three months ended January 31, 2017.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2018, the Company recorded an income tax benefit of $1.1 million representing the proceeds from the sale of $11.4 million of New Jersey net operating loss carryforwards and research and development tax credits. During the three months ended January 31, 2017, the Company recorded an income tax benefit of $0.7 million representing the proceeds from the sale of $7.8 million of New Jersey net operating loss carryforwards and research and development tax credits.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31, 2018 compared to the nine months ended January 31,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380" w:type="dxa"/>
            <w:vAlign w:val="bottom"/>
            <w:gridSpan w:val="6"/>
            <w:vMerge w:val="restart"/>
          </w:tcPr>
          <w:p>
            <w:pPr>
              <w:jc w:val="right"/>
              <w:ind w:right="560"/>
              <w:spacing w:after="0"/>
              <w:rPr>
                <w:sz w:val="20"/>
                <w:szCs w:val="20"/>
                <w:color w:val="auto"/>
              </w:rPr>
            </w:pPr>
            <w:r>
              <w:rPr>
                <w:rFonts w:ascii="Arial" w:cs="Arial" w:eastAsia="Arial" w:hAnsi="Arial"/>
                <w:sz w:val="18"/>
                <w:szCs w:val="18"/>
                <w:b w:val="1"/>
                <w:bCs w:val="1"/>
                <w:color w:val="auto"/>
              </w:rPr>
              <w:t>Nine months ended January 31,</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19"/>
                <w:szCs w:val="19"/>
                <w:color w:val="auto"/>
              </w:rPr>
            </w:pPr>
          </w:p>
        </w:tc>
        <w:tc>
          <w:tcPr>
            <w:tcW w:w="3380" w:type="dxa"/>
            <w:vAlign w:val="bottom"/>
            <w:gridSpan w:val="6"/>
            <w:vMerge w:val="continue"/>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2018 period to</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2017 period</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jc w:val="right"/>
              <w:ind w:right="460"/>
              <w:spacing w:after="0"/>
              <w:rPr>
                <w:sz w:val="20"/>
                <w:szCs w:val="20"/>
                <w:color w:val="auto"/>
              </w:rPr>
            </w:pPr>
            <w:r>
              <w:rPr>
                <w:rFonts w:ascii="Arial" w:cs="Arial" w:eastAsia="Arial" w:hAnsi="Arial"/>
                <w:sz w:val="18"/>
                <w:szCs w:val="18"/>
                <w:color w:val="auto"/>
                <w:w w:val="99"/>
              </w:rPr>
              <w:t>(in thousands)</w:t>
            </w: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Cost of revenues</w:t>
            </w:r>
          </w:p>
        </w:tc>
        <w:tc>
          <w:tcPr>
            <w:tcW w:w="8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615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6"/>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profit/(loss)</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 costs</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3,398</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8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4,964</w:t>
            </w:r>
          </w:p>
        </w:tc>
        <w:tc>
          <w:tcPr>
            <w:tcW w:w="8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4,859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8,362</w:t>
            </w:r>
          </w:p>
        </w:tc>
        <w:tc>
          <w:tcPr>
            <w:tcW w:w="8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8,753</w:t>
            </w: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Operating loss</w:t>
            </w: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(8,266)</w:t>
            </w:r>
          </w:p>
        </w:tc>
        <w:tc>
          <w:tcPr>
            <w:tcW w:w="3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0"/>
              </w:rPr>
              <w:t>(8,775)</w:t>
            </w:r>
          </w:p>
        </w:tc>
        <w:tc>
          <w:tcPr>
            <w:tcW w:w="3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8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(8,022)</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(7,608)</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1,119</w:t>
            </w:r>
          </w:p>
        </w:tc>
        <w:tc>
          <w:tcPr>
            <w:tcW w:w="8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(6,903</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(6,910</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5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Revenues decreased by $0.3 million, or 51%, to $0.3 million in the nine months ended January 31, 2018 as compared to $0.6 million in the nine months ended January 31, 2017. The decline in r</w:t>
      </w:r>
      <w:r>
        <w:rPr>
          <w:rFonts w:ascii="Arial" w:cs="Arial" w:eastAsia="Arial" w:hAnsi="Arial"/>
          <w:sz w:val="16"/>
          <w:szCs w:val="16"/>
          <w:color w:val="333333"/>
        </w:rPr>
        <w:t>evenue is due to the MES and ONR contracts being completed during the nine months ended January 31, 2018.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Cost of revenues for the nine months ended January 31, 2018 was $0.2 million as compared to $0.6 million for the nine months ended January 31, 2017. The decrease of approximately $0.4 million, or 69%, is due </w:t>
      </w:r>
      <w:r>
        <w:rPr>
          <w:rFonts w:ascii="Arial" w:cs="Arial" w:eastAsia="Arial" w:hAnsi="Arial"/>
          <w:sz w:val="16"/>
          <w:szCs w:val="16"/>
          <w:color w:val="333333"/>
        </w:rPr>
        <w:t>to the MES and ONR contracts being completed during the nine months ended January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development costs during the nine months ended January 31, 2018 and 2017 were $3.4 million and $3.9 million, respectively. The decrease of approximately $0.5 million, or 13%, is due to less product development projects in the nine months ended January 31, 2018 compared to the nine months ended January 31, 2017. Nine months ended January 31, 2017 included costs related to the redeployment of the PB3-A1 and retrieval costs for the PB40 mooring anchor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during the nine months ended January 31, 2018 and 2017 were $5.0 million and $4.9 million, respectively. The increase of approximately $0.1 million, or 2%, over 2017 is primarily due to higher employee related costs and consulting fees of $0.4 million, mostly offset by lower stock compensation expense of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nine months ended January 31, 2018 was an unrealized gain of $82,000 versus an unrealized gain of $1,161,000 for the nine months ended January 31, 2017. The change between periods is mainly due to a lower stock price for the nine months ended January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during the nine months ended January 31, 2018 was $51,000, an increase of $25,000 as compared to the nine months ended January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gain during the nine months ended January 31, 2018 was $107,000 an increase of $127,000 as compared to a loss of $20,000 during the nine months ended January 31, 2017.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January 31, 2018, the Company recorded an income tax benefit of $1.1 million representing the proceeds from the sale of $11.4 million of New Jersey net operating loss carryforwards and research and development tax credits. During the nine months ended January 31, 2017, the Company recorded an income tax benefit of $0.7 million representing the proceeds from the sale of $7.8 million of New Jersey net operating loss carryforwards and research and development tax credits.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2017, our aggregate revenues were $1.5 million, our aggregate net losses were $22.6 million and our aggregate net cash used in operating activities was $21.0 million. Refer to “Liquidity Outlook” below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used in operating activities during the nine months ended January 31, 2018 were $8.2 million, an increase of $0.6 million compared to $7.6 million during the nine months ended January 31, 2017. The increase was primarily related to a reduction of $2.0 million in accounts payable and accrued expenses balances and lower stock compensation expense of $0.7 million mostly offset by a lower change in fair value of warrant liabilities of $1.1 million, change in receivables of $0.6 million and change in litigation settlement balance of $0.5 million for the nine months ended January 31, 2018 compared to the same period in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during the nine months ended January 31, 2018 was $0.6 million, an increase of $0.6 million compared to net cash provided by investing activities during the nine months ended January 31, 2017. The increase in net cash used in investing activities was primarily due to spending on leasehold improvements and purchase of equipment of $0.5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January 31, 2018 and 2017 was $14.6 million and $12.0 million, respectively. The increase in net cash provided by financing activities was primarily due to higher net proceeds from the sale of common stock during the nine months ended January 31, 2018 as compared to the nine months ended January 31, 2017 by $2.5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$143,000 in the nine months ended January 31, 2018 and a decrease of $55,000 in the nine months ended for January 31, 2017.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financial statements have been prepared assuming we will continue as a going concern. We have experienced substantial and recurring losses from operations, which have contributed to an accumulated deficit of $194.3 million at January 31, 2018. As of January 31, 2018, we had approximately $14.4 million in cash on hand. In addition, as of January 31, 2018, our restricted cash balance was approximately $0.5 million. The Company generated revenues of $0.3 million and $0.6 million during the nine months ended January 31, 2018 and 2017, respectively. Based on the Company’s cash and cash equivalents and marketable securities balances as of January 31, 2018, the Company believes that it will be able to finance its capital requirements and operations into at least the quarter ending April 30, 2019. These conditions raise substantial doubt about our ability to continue as a going concern.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356"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6"/>
          <w:szCs w:val="16"/>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the remainder of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January 31, 2018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2018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January 31, 2018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23, 2017, the parties entered into a Stipulation and Agreement of Settlement to resolve the four consolidated derivative lawsuits. If approved by the Court, the settlement provides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The Court has not yet ruled on that motion. The Company has accrued $350,000 related to this matter as a probable and reasonably estimable loss contingency during the nine months ended January 31, 2018. The Company also recorded a receivable of $350,000 from its insurance carrier with the offset to the statement of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w:t>
      </w:r>
      <w:r>
        <w:rPr>
          <w:rFonts w:ascii="Arial" w:cs="Arial" w:eastAsia="Arial" w:hAnsi="Arial"/>
          <w:sz w:val="17"/>
          <w:szCs w:val="17"/>
          <w:color w:val="222222"/>
        </w:rPr>
        <w:t>On June 23, 2017, the Company responded to the Stockholder Demand, explained the procedures that were followed for the</w:t>
      </w:r>
      <w:r>
        <w:rPr>
          <w:rFonts w:ascii="Arial" w:cs="Arial" w:eastAsia="Arial" w:hAnsi="Arial"/>
          <w:sz w:val="17"/>
          <w:szCs w:val="17"/>
          <w:color w:val="auto"/>
        </w:rPr>
        <w:t xml:space="preserve"> </w:t>
      </w:r>
      <w:r>
        <w:rPr>
          <w:rFonts w:ascii="Arial" w:cs="Arial" w:eastAsia="Arial" w:hAnsi="Arial"/>
          <w:sz w:val="17"/>
          <w:szCs w:val="17"/>
          <w:color w:val="222222"/>
        </w:rPr>
        <w:t>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allegedly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derivatives litigation described above.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in the amount of €0.3 million ($0.3 million) at the request of the Spanish tax authorities. On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undergoing an income tax audit in Spain for the period from 2008 to 2014, when its Spanish branch was closed. The branch reported net operating losses for each of the years reported. It is anticipated that the Company will be assessed a penalty relating to these tax years for these losses. The Company has estimated this penalty to be $132,000, and as such, for the period ended April 30, 2017 and January 31, 2018, has recorded $132,000 for this penalty to Selling, general and administrative costs in its statement of operations.</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2017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$194.3 million as of January 31, 2018. As of January 31, 2018, the Company had approximately $14.4 million in cash on hand. The Company generated revenues of $0.3 million and $0.6 million during the nine months ended January 31, 2018 and 2017, respectively. Based on the Company’s cash and cash equivalents and marketable securities balances as of January 31, 2018, the Company believes that it will be able to finance its capital requirements and operations into at least the quarter ending April 30, 2019.</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continue to experience operating losses and currently have only one revenue producing contract </w:t>
      </w:r>
      <w:r>
        <w:rPr>
          <w:rFonts w:ascii="Arial" w:cs="Arial" w:eastAsia="Arial" w:hAnsi="Arial"/>
          <w:sz w:val="17"/>
          <w:szCs w:val="17"/>
          <w:color w:val="333333"/>
        </w:rPr>
        <w:t>totaling approximately $0.1 million with Premier Oil, an</w:t>
      </w:r>
      <w:r>
        <w:rPr>
          <w:rFonts w:ascii="Arial" w:cs="Arial" w:eastAsia="Arial" w:hAnsi="Arial"/>
          <w:sz w:val="17"/>
          <w:szCs w:val="17"/>
          <w:color w:val="auto"/>
        </w:rPr>
        <w:t xml:space="preserve"> </w:t>
      </w:r>
      <w:r>
        <w:rPr>
          <w:rFonts w:ascii="Arial" w:cs="Arial" w:eastAsia="Arial" w:hAnsi="Arial"/>
          <w:sz w:val="17"/>
          <w:szCs w:val="17"/>
          <w:color w:val="333333"/>
        </w:rPr>
        <w:t>international oil and gas company, to study the feasibility of using the PB3 PowerBuoy™ for decommissioning operations in the North Sea. The Company recently completed t</w:t>
      </w:r>
      <w:r>
        <w:rPr>
          <w:rFonts w:ascii="Arial" w:cs="Arial" w:eastAsia="Arial" w:hAnsi="Arial"/>
          <w:sz w:val="17"/>
          <w:szCs w:val="17"/>
          <w:color w:val="000000"/>
        </w:rPr>
        <w:t>wo other revenue producing contracts. The first agreement was with MES (the “MES Agreement”) to, among other things, lease and</w:t>
      </w:r>
      <w:r>
        <w:rPr>
          <w:rFonts w:ascii="Arial" w:cs="Arial" w:eastAsia="Arial" w:hAnsi="Arial"/>
          <w:sz w:val="17"/>
          <w:szCs w:val="17"/>
          <w:color w:val="333333"/>
        </w:rPr>
        <w:t xml:space="preserve"> </w:t>
      </w:r>
      <w:r>
        <w:rPr>
          <w:rFonts w:ascii="Arial" w:cs="Arial" w:eastAsia="Arial" w:hAnsi="Arial"/>
          <w:sz w:val="17"/>
          <w:szCs w:val="17"/>
          <w:color w:val="000000"/>
        </w:rPr>
        <w:t>deploy our PB3 PowerBuoy™ off Kozushima Island, Japan and to provide certain engineering and other services. The total value of the lease and other services to be provided by us under the MES Agreement is $1.0 million. The term of the lease commenced in March 2017, and the term of the MES Agreement was completed in September 2017. The second contract was with ONR totaling approximately $0.2 million to carry out the first phase of a project which focuses on the initial concept design and development of a mass-on-spring PTO-based PowerBuoy™ leveraging a number of OPT patents covering such a technology. During fiscal 2017, our net burn rate (cash used in operations less cash generated by operations) including product development spending was approximately $900,000 per month.</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$12.3 million in fiscal 2018 including product development spending of more than $5.5 million. However, we may choose to reduce our operating expenses through personnel reductions, and reductions in our research and development and other operating costs during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$6.9 million during the nine months ended January 31, 2018 and $9.5 million in fiscal 2017. As of January 31, 2018, we had an accumulated deficit of $194.3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820" w:type="dxa"/>
            <w:vAlign w:val="bottom"/>
            <w:gridSpan w:val="7"/>
          </w:tcPr>
          <w:p>
            <w:pPr>
              <w:jc w:val="right"/>
              <w:ind w:right="380"/>
              <w:spacing w:after="0"/>
              <w:rPr>
                <w:sz w:val="20"/>
                <w:szCs w:val="20"/>
                <w:color w:val="auto"/>
              </w:rPr>
            </w:pPr>
            <w:r>
              <w:rPr>
                <w:rFonts w:ascii="Arial" w:cs="Arial" w:eastAsia="Arial" w:hAnsi="Arial"/>
                <w:sz w:val="18"/>
                <w:szCs w:val="18"/>
                <w:b w:val="1"/>
                <w:bCs w:val="1"/>
                <w:i w:val="1"/>
                <w:iCs w:val="1"/>
                <w:color w:val="auto"/>
                <w:w w:val="99"/>
              </w:rPr>
              <w:t>UNREGISTERED SALES OF EQUITY SECURITIES AND USE OF PROCEEDS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80" w:type="dxa"/>
            <w:vAlign w:val="bottom"/>
            <w:gridSpan w:val="7"/>
          </w:tcPr>
          <w:p>
            <w:pPr>
              <w:spacing w:after="0"/>
              <w:rPr>
                <w:sz w:val="20"/>
                <w:szCs w:val="20"/>
                <w:color w:val="auto"/>
              </w:rPr>
            </w:pPr>
            <w:r>
              <w:rPr>
                <w:rFonts w:ascii="Arial" w:cs="Arial" w:eastAsia="Arial" w:hAnsi="Arial"/>
                <w:sz w:val="18"/>
                <w:szCs w:val="18"/>
                <w:color w:val="auto"/>
                <w:w w:val="91"/>
              </w:rPr>
              <w:t>The following table details the Company’s share repurchases during the quarter:</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Number of Shares</w:t>
            </w:r>
          </w:p>
        </w:tc>
        <w:tc>
          <w:tcPr>
            <w:tcW w:w="360" w:type="dxa"/>
            <w:vAlign w:val="bottom"/>
          </w:tcPr>
          <w:p>
            <w:pPr>
              <w:spacing w:after="0"/>
              <w:rPr>
                <w:sz w:val="18"/>
                <w:szCs w:val="18"/>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Average Price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as Part of Publicly</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80" w:type="dxa"/>
            <w:vAlign w:val="bottom"/>
            <w:gridSpan w:val="2"/>
          </w:tcPr>
          <w:p>
            <w:pPr>
              <w:ind w:left="620"/>
              <w:spacing w:after="0"/>
              <w:rPr>
                <w:sz w:val="20"/>
                <w:szCs w:val="20"/>
                <w:color w:val="auto"/>
              </w:rPr>
            </w:pPr>
            <w:r>
              <w:rPr>
                <w:rFonts w:ascii="Arial" w:cs="Arial" w:eastAsia="Arial" w:hAnsi="Arial"/>
                <w:sz w:val="18"/>
                <w:szCs w:val="18"/>
                <w:color w:val="auto"/>
              </w:rPr>
              <w:t>Period</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Purchased (1)</w:t>
            </w:r>
          </w:p>
        </w:tc>
        <w:tc>
          <w:tcPr>
            <w:tcW w:w="360" w:type="dxa"/>
            <w:vAlign w:val="bottom"/>
          </w:tcPr>
          <w:p>
            <w:pPr>
              <w:spacing w:after="0"/>
              <w:rPr>
                <w:sz w:val="20"/>
                <w:szCs w:val="20"/>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Paid per Share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 Plans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1 - November 30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December 1 - December 31</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60" w:type="dxa"/>
            <w:vAlign w:val="bottom"/>
          </w:tcPr>
          <w:p>
            <w:pPr>
              <w:spacing w:after="0"/>
              <w:rPr>
                <w:sz w:val="20"/>
                <w:szCs w:val="20"/>
                <w:color w:val="auto"/>
              </w:rPr>
            </w:pPr>
          </w:p>
        </w:tc>
        <w:tc>
          <w:tcPr>
            <w:tcW w:w="104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EXHIBIT INDEX</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460" w:type="dxa"/>
            <w:vAlign w:val="bottom"/>
            <w:tcBorders>
              <w:bottom w:val="single" w:sz="8" w:color="0000EE"/>
            </w:tcBorders>
            <w:gridSpan w:val="6"/>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Ocean Power Technologies, Inc. Employment Inducement Incentive Award Plan (incorporated by reference to Exhibit 10.1 to Form 8-K filed</w:t>
              </w:r>
            </w:hyperlink>
          </w:p>
        </w:tc>
      </w:tr>
      <w:tr>
        <w:trPr>
          <w:trHeight w:val="19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with the SEC on January 19, 2018)</w:t>
              </w:r>
            </w:hyperlink>
          </w:p>
        </w:tc>
        <w:tc>
          <w:tcPr>
            <w:tcW w:w="7920" w:type="dxa"/>
            <w:vAlign w:val="bottom"/>
            <w:gridSpan w:val="5"/>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10460" w:type="dxa"/>
            <w:vAlign w:val="bottom"/>
            <w:gridSpan w:val="6"/>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Restricted Stock Agreement for Employment Inducement Incentive Award Plan (incorporated by reference to Exhibit 10.2 to Form 8-K</w:t>
              </w:r>
            </w:hyperlink>
          </w:p>
        </w:tc>
      </w:tr>
      <w:tr>
        <w:trPr>
          <w:trHeight w:val="19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filed with the SEC on January 19, 2018)</w:t>
              </w:r>
            </w:hyperlink>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72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Executive Officer pursuant to Section 302 of the Sarbanes-Oxley Act of 2002</w:t>
              </w:r>
            </w:hyperlink>
          </w:p>
        </w:tc>
        <w:tc>
          <w:tcPr>
            <w:tcW w:w="3260" w:type="dxa"/>
            <w:vAlign w:val="bottom"/>
            <w:gridSpan w:val="2"/>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46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720" w:type="dxa"/>
            <w:vAlign w:val="bottom"/>
            <w:gridSpan w:val="7"/>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9">
              <w:r>
                <w:rPr>
                  <w:rFonts w:ascii="Arial" w:cs="Arial" w:eastAsia="Arial" w:hAnsi="Arial"/>
                  <w:sz w:val="18"/>
                  <w:szCs w:val="18"/>
                  <w:color w:val="0000EE"/>
                </w:rPr>
                <w:t>Certification of Chief Executive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0" w:type="dxa"/>
            <w:vAlign w:val="bottom"/>
            <w:gridSpan w:val="4"/>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720" w:type="dxa"/>
            <w:vAlign w:val="bottom"/>
            <w:gridSpan w:val="7"/>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960" w:hanging="952"/>
        <w:spacing w:after="0" w:line="27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January 31, 2018, formatted in eXtensible Business Reporting Language (XBRL): (i) Consolidated Balance Sheets – January 31, 2018 (unaudited) and April 30, 2017, (ii) Consolidated Statements of Operations (unaudited) – three and nine months ended January 31, 2018 and 2017, (iii) Consolidated Statements of Comprehensive Loss (unaudited) – three and nine months ended January 31, 2018 and 2017, (iv) Consolidated Statements of Cash Flows (unaudited) –nine months ended January 31, 2018 and 2017, (v) Consolidated Statement of Stockholders’ Equity (unaudited) – nine months ended January 31, 2018 (vi) Notes to Consolidated Financial Statements.**</w:t>
      </w:r>
    </w:p>
    <w:p>
      <w:pPr>
        <w:spacing w:after="0" w:line="178" w:lineRule="exact"/>
        <w:rPr>
          <w:rFonts w:ascii="Arial" w:cs="Arial" w:eastAsia="Arial" w:hAnsi="Arial"/>
          <w:sz w:val="17"/>
          <w:szCs w:val="17"/>
          <w:color w:val="auto"/>
        </w:rPr>
      </w:pPr>
    </w:p>
    <w:p>
      <w:pPr>
        <w:jc w:val="both"/>
        <w:ind w:left="960"/>
        <w:spacing w:after="0" w:line="264" w:lineRule="auto"/>
        <w:rPr>
          <w:rFonts w:ascii="Arial" w:cs="Arial" w:eastAsia="Arial" w:hAnsi="Arial"/>
          <w:sz w:val="17"/>
          <w:szCs w:val="17"/>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rFonts w:ascii="Arial" w:cs="Arial" w:eastAsia="Arial" w:hAnsi="Arial"/>
          <w:sz w:val="17"/>
          <w:szCs w:val="17"/>
          <w:color w:val="auto"/>
        </w:rPr>
      </w:pPr>
    </w:p>
    <w:p>
      <w:pPr>
        <w:jc w:val="both"/>
        <w:ind w:left="960" w:firstLine="7"/>
        <w:spacing w:after="0" w:line="264" w:lineRule="auto"/>
        <w:tabs>
          <w:tab w:leader="none" w:pos="11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6, 2018</w:t>
      </w:r>
      <w:r>
        <w:rPr>
          <w:sz w:val="20"/>
          <w:szCs w:val="20"/>
          <w:color w:val="auto"/>
        </w:rPr>
        <w:tab/>
      </w:r>
      <w:r>
        <w:rPr>
          <w:rFonts w:ascii="Arial" w:cs="Arial" w:eastAsia="Arial" w:hAnsi="Arial"/>
          <w:sz w:val="17"/>
          <w:szCs w:val="17"/>
          <w:i w:val="1"/>
          <w:iCs w:val="1"/>
          <w:color w:val="auto"/>
        </w:rPr>
        <w:t>/s/ 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March 6, 2018</w:t>
      </w:r>
      <w:r>
        <w:rPr>
          <w:sz w:val="20"/>
          <w:szCs w:val="20"/>
          <w:color w:val="auto"/>
        </w:rPr>
        <w:tab/>
      </w:r>
      <w:r>
        <w:rPr>
          <w:rFonts w:ascii="Arial" w:cs="Arial" w:eastAsia="Arial" w:hAnsi="Arial"/>
          <w:sz w:val="16"/>
          <w:szCs w:val="16"/>
          <w:i w:val="1"/>
          <w:iCs w:val="1"/>
          <w:color w:val="auto"/>
        </w:rPr>
        <w:t>/s/ 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2018,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6, 2018</w:t>
      </w:r>
    </w:p>
    <w:p>
      <w:pPr>
        <w:ind w:left="5720"/>
        <w:spacing w:after="0"/>
        <w:rPr>
          <w:sz w:val="20"/>
          <w:szCs w:val="20"/>
          <w:color w:val="auto"/>
        </w:rPr>
      </w:pPr>
      <w:r>
        <w:rPr>
          <w:rFonts w:ascii="Arial" w:cs="Arial" w:eastAsia="Arial" w:hAnsi="Arial"/>
          <w:sz w:val="18"/>
          <w:szCs w:val="18"/>
          <w:i w:val="1"/>
          <w:iCs w:val="1"/>
          <w:color w:val="auto"/>
        </w:rPr>
        <w:t>/s/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2018,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640" w:firstLine="8"/>
        <w:spacing w:after="0" w:line="501"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6, 2018</w:t>
      </w:r>
    </w:p>
    <w:p>
      <w:pPr>
        <w:ind w:left="57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01"/>
    </w:lvl>
    <w:lvl w:ilvl="1">
      <w:lvlJc w:val="left"/>
      <w:lvlText w:val="*"/>
      <w:numFmt w:val="bullet"/>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6" Type="http://schemas.openxmlformats.org/officeDocument/2006/relationships/hyperlink" Target="http://www.sec.gov/Archives/edgar/data/1378140/000149315218000778/ex10-1.htm" TargetMode="External"/><Relationship Id="rId57" Type="http://schemas.openxmlformats.org/officeDocument/2006/relationships/hyperlink" Target="http://www.sec.gov/Archives/edgar/data/1378140/00014931521800077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2019-12-29T00:48:57Z</dcterms:created>
  <dcterms:modified xsi:type="dcterms:W3CDTF">2019-12-29T00:48:57Z</dcterms:modified>
</cp:coreProperties>
</file>