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720" w:right="1760" w:hanging="3712"/>
        <w:spacing w:after="0" w:line="500"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240" w:type="dxa"/>
            <w:vAlign w:val="bottom"/>
          </w:tcPr>
          <w:p>
            <w:pPr>
              <w:jc w:val="center"/>
              <w:ind w:right="18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300" w:type="dxa"/>
            <w:vAlign w:val="bottom"/>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tabs>
          <w:tab w:leader="none" w:pos="2800" w:val="left"/>
          <w:tab w:leader="none" w:pos="5600" w:val="left"/>
          <w:tab w:leader="none" w:pos="84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December 13, 2024, the number of outstanding shares of common stock of the registrant was 146,038,719.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4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6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8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640" w:type="dxa"/>
            <w:vAlign w:val="bottom"/>
          </w:tcPr>
          <w:p>
            <w:pPr>
              <w:spacing w:after="0"/>
              <w:rPr>
                <w:sz w:val="24"/>
                <w:szCs w:val="24"/>
                <w:color w:val="auto"/>
              </w:rPr>
            </w:pP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89"/>
        </w:trPr>
        <w:tc>
          <w:tcPr>
            <w:tcW w:w="3260" w:type="dxa"/>
            <w:vAlign w:val="bottom"/>
            <w:tcBorders>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340" w:type="dxa"/>
            <w:vAlign w:val="bottom"/>
            <w:tcBorders>
              <w:bottom w:val="single" w:sz="8" w:color="CCEEFF"/>
            </w:tcBorders>
            <w:gridSpan w:val="1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October 31, 2024 (unaudited) and April 30,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 for the three and six months ended October 31,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Comprehensive Loss for the three and six months ended October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8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 of Shareholders’ Equity for the three and six months ended October 31, 2024 and 2023</w:t>
            </w:r>
          </w:p>
        </w:tc>
        <w:tc>
          <w:tcPr>
            <w:tcW w:w="13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Cash Flows for the six months ended October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5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27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432"/>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top w:val="single" w:sz="8" w:color="CCEEFF"/>
              <w:bottom w:val="single" w:sz="8" w:color="auto"/>
            </w:tcBorders>
            <w:gridSpan w:val="12"/>
          </w:tcPr>
          <w:p>
            <w:pPr>
              <w:jc w:val="center"/>
              <w:ind w:left="3390"/>
              <w:spacing w:after="0"/>
              <w:rPr>
                <w:sz w:val="20"/>
                <w:szCs w:val="20"/>
                <w:color w:val="auto"/>
              </w:rPr>
            </w:pPr>
            <w:r>
              <w:rPr>
                <w:rFonts w:ascii="Times New Roman" w:cs="Times New Roman" w:eastAsia="Times New Roman" w:hAnsi="Times New Roman"/>
                <w:sz w:val="18"/>
                <w:szCs w:val="18"/>
                <w:color w:val="auto"/>
                <w:w w:val="88"/>
              </w:rPr>
              <w:t>2</w:t>
            </w:r>
          </w:p>
        </w:tc>
        <w:tc>
          <w:tcPr>
            <w:tcW w:w="78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import, export, ITAR, anti-bribery and related statutes and regulations;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Russia’s invasion of Ukraine, the Israel/Palestine conflict and previous attacks on merchant ships in the Red Sea;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2024,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2,092</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r>
      <w:tr>
        <w:trPr>
          <w:trHeight w:val="209"/>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r>
      <w:tr>
        <w:trPr>
          <w:trHeight w:val="263"/>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r>
      <w:tr>
        <w:trPr>
          <w:trHeight w:val="210"/>
        </w:trPr>
        <w:tc>
          <w:tcPr>
            <w:tcW w:w="68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 designated as Series 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200,000,000 shares, issued 124,683,555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 61,352,731 shares, respectively; outstanding 124,595,538 shares and</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61,264,714 shares, respectively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88,017 and 88,017 shares, respectively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338,352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327,276</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(315,944)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(307,579)</w:t>
            </w:r>
          </w:p>
        </w:tc>
      </w:tr>
      <w:tr>
        <w:trPr>
          <w:trHeight w:val="230"/>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bottom w:val="single" w:sz="8" w:color="CCEEFF"/>
            </w:tcBorders>
          </w:tcPr>
          <w:p>
            <w:pPr>
              <w:spacing w:after="0"/>
              <w:rPr>
                <w:sz w:val="18"/>
                <w:szCs w:val="18"/>
                <w:color w:val="auto"/>
              </w:rPr>
            </w:pPr>
          </w:p>
        </w:tc>
      </w:tr>
      <w:tr>
        <w:trPr>
          <w:trHeight w:val="223"/>
        </w:trPr>
        <w:tc>
          <w:tcPr>
            <w:tcW w:w="6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538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20" w:type="dxa"/>
            <w:vAlign w:val="bottom"/>
            <w:gridSpan w:val="5"/>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9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 $000’s, except per share data)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23"/>
        </w:trPr>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2,418</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3,719</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1,623</w:t>
            </w:r>
          </w:p>
        </w:tc>
        <w:tc>
          <w:tcPr>
            <w:tcW w:w="116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r>
      <w:tr>
        <w:trPr>
          <w:trHeight w:val="210"/>
        </w:trPr>
        <w:tc>
          <w:tcPr>
            <w:tcW w:w="254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Gain from change in fair value of consideration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4,710</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7,995</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9,630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40" w:type="dxa"/>
            <w:vAlign w:val="bottom"/>
          </w:tcPr>
          <w:p>
            <w:pPr>
              <w:spacing w:after="0"/>
              <w:rPr>
                <w:sz w:val="18"/>
                <w:szCs w:val="18"/>
                <w:color w:val="auto"/>
              </w:rPr>
            </w:pPr>
          </w:p>
        </w:tc>
      </w:tr>
      <w:tr>
        <w:trPr>
          <w:trHeight w:val="248"/>
        </w:trPr>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-436245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-153670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560" w:space="720"/>
            <w:col w:w="6960"/>
          </w:cols>
          <w:pgMar w:left="320" w:top="216"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09"/>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78"/>
        </w:trPr>
        <w:tc>
          <w:tcPr>
            <w:tcW w:w="41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 average shares used to compute basic and</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108,396,875</w:t>
            </w:r>
          </w:p>
        </w:tc>
        <w:tc>
          <w:tcPr>
            <w:tcW w:w="380" w:type="dxa"/>
            <w:vAlign w:val="bottom"/>
          </w:tcPr>
          <w:p>
            <w:pPr>
              <w:spacing w:after="0"/>
              <w:rPr>
                <w:sz w:val="22"/>
                <w:szCs w:val="22"/>
                <w:color w:val="auto"/>
              </w:rPr>
            </w:pPr>
          </w:p>
        </w:tc>
        <w:tc>
          <w:tcPr>
            <w:tcW w:w="14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58,781,505</w:t>
            </w:r>
          </w:p>
        </w:tc>
        <w:tc>
          <w:tcPr>
            <w:tcW w:w="360" w:type="dxa"/>
            <w:vAlign w:val="bottom"/>
          </w:tcPr>
          <w:p>
            <w:pPr>
              <w:spacing w:after="0"/>
              <w:rPr>
                <w:sz w:val="22"/>
                <w:szCs w:val="22"/>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95,173,938</w:t>
            </w:r>
          </w:p>
        </w:tc>
        <w:tc>
          <w:tcPr>
            <w:tcW w:w="3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58,752,291</w:t>
            </w:r>
          </w:p>
        </w:tc>
        <w:tc>
          <w:tcPr>
            <w:tcW w:w="80" w:type="dxa"/>
            <w:vAlign w:val="bottom"/>
          </w:tcPr>
          <w:p>
            <w:pPr>
              <w:spacing w:after="0"/>
              <w:rPr>
                <w:sz w:val="22"/>
                <w:szCs w:val="22"/>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Foreign currency translation adjustment 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b w:val="1"/>
          <w:bCs w:val="1"/>
          <w:color w:val="auto"/>
        </w:rPr>
        <w:t>Ocean Power Technologies, Inc. and Subsidiaries</w:t>
      </w:r>
    </w:p>
    <w:p>
      <w:pPr>
        <w:spacing w:after="0" w:line="43"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80" w:type="dxa"/>
            <w:vAlign w:val="bottom"/>
          </w:tcPr>
          <w:p>
            <w:pPr>
              <w:spacing w:after="0"/>
              <w:rPr>
                <w:sz w:val="20"/>
                <w:szCs w:val="20"/>
                <w:color w:val="auto"/>
              </w:rPr>
            </w:pPr>
          </w:p>
        </w:tc>
        <w:tc>
          <w:tcPr>
            <w:tcW w:w="300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1"/>
        </w:trPr>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(3,913)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(7,213)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-462280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-179070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20" w:space="720"/>
            <w:col w:w="7460"/>
          </w:cols>
          <w:pgMar w:left="320" w:top="229" w:right="379" w:bottom="1440" w:gutter="0" w:footer="0" w:header="0"/>
        </w:sect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11"/>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 October 31, 2024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34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3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2024</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61,352,731</w:t>
            </w:r>
          </w:p>
        </w:tc>
        <w:tc>
          <w:tcPr>
            <w:tcW w:w="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(88,017)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327,276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(307,579)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(8,365)</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to bonus and earnout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2,864,808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AGP At The Market Offering,</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39,009,937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7,469</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7,508</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Raise, net of issuance</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21,446,079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October 31, 2024</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124,683,555</w:t>
            </w:r>
          </w:p>
        </w:tc>
        <w:tc>
          <w:tcPr>
            <w:tcW w:w="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125</w:t>
            </w:r>
          </w:p>
        </w:tc>
        <w:tc>
          <w:tcPr>
            <w:tcW w:w="2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(88,017)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338,352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(315,944)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22,119</w:t>
            </w:r>
          </w:p>
        </w:tc>
      </w:tr>
      <w:tr>
        <w:trPr>
          <w:trHeight w:val="20"/>
        </w:trPr>
        <w:tc>
          <w:tcPr>
            <w:tcW w:w="2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October 31, 2023</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56,304,642</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(40,914)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324,393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(280,096)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43,953</w:t>
            </w:r>
          </w:p>
        </w:tc>
      </w:tr>
      <w:tr>
        <w:trPr>
          <w:trHeight w:val="216"/>
        </w:trPr>
        <w:tc>
          <w:tcPr>
            <w:tcW w:w="2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(14,252)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(14,252)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bonus and earnout payments</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2,403,846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69,666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At The Market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198"/>
        </w:trPr>
        <w:tc>
          <w:tcPr>
            <w:tcW w:w="2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6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178"/>
        </w:trPr>
        <w:tc>
          <w:tcPr>
            <w:tcW w:w="2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Balances at Balance, October</w:t>
            </w: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58,833,758</w:t>
            </w:r>
          </w:p>
        </w:tc>
        <w:tc>
          <w:tcPr>
            <w:tcW w:w="1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(44,988)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326,342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(294,348)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31,651</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2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2024</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1, 2024</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95,661,806</w:t>
            </w:r>
          </w:p>
        </w:tc>
        <w:tc>
          <w:tcPr>
            <w:tcW w:w="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(88,017)</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334,659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(312,031)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10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(3,913)</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(3,913)</w:t>
            </w: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8"/>
                <w:szCs w:val="18"/>
                <w:color w:val="auto"/>
              </w:rPr>
            </w:pPr>
          </w:p>
        </w:tc>
      </w:tr>
      <w:tr>
        <w:trPr>
          <w:trHeight w:val="198"/>
        </w:trPr>
        <w:tc>
          <w:tcPr>
            <w:tcW w:w="2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bonus and earnout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AGP At The Market Offering,</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7,565,670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972</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0"/>
                <w:szCs w:val="20"/>
                <w:color w:val="auto"/>
              </w:rPr>
            </w:pPr>
          </w:p>
        </w:tc>
      </w:tr>
      <w:tr>
        <w:trPr>
          <w:trHeight w:val="198"/>
        </w:trPr>
        <w:tc>
          <w:tcPr>
            <w:tcW w:w="2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Raise, net of issuance</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21,446,079</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20"/>
                <w:szCs w:val="20"/>
                <w:color w:val="auto"/>
              </w:rPr>
            </w:pPr>
          </w:p>
        </w:tc>
      </w:tr>
      <w:tr>
        <w:trPr>
          <w:trHeight w:val="243"/>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at October 31, 2024</w:t>
            </w: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124,683,555</w:t>
            </w:r>
          </w:p>
        </w:tc>
        <w:tc>
          <w:tcPr>
            <w:tcW w:w="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125</w:t>
            </w:r>
          </w:p>
        </w:tc>
        <w:tc>
          <w:tcPr>
            <w:tcW w:w="2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(88,017)</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338,352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(315,944)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0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October 31, 2023</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2"/>
        </w:trPr>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19"/>
                <w:szCs w:val="19"/>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1, 2023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58,776,654</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(44,680)</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326,041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(287,135)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38,563</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(7,213)</w:t>
            </w: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198"/>
        </w:trPr>
        <w:tc>
          <w:tcPr>
            <w:tcW w:w="2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At The Market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198"/>
        </w:trPr>
        <w:tc>
          <w:tcPr>
            <w:tcW w:w="2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23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Balances at Balance, October</w:t>
            </w: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31, 2023</w:t>
            </w:r>
          </w:p>
        </w:tc>
        <w:tc>
          <w:tcPr>
            <w:tcW w:w="106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58,833,758</w:t>
            </w:r>
          </w:p>
        </w:tc>
        <w:tc>
          <w:tcPr>
            <w:tcW w:w="120" w:type="dxa"/>
            <w:vAlign w:val="bottom"/>
          </w:tcPr>
          <w:p>
            <w:pPr>
              <w:spacing w:after="0"/>
              <w:rPr>
                <w:sz w:val="22"/>
                <w:szCs w:val="22"/>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(44,988)</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326,342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(294,348)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31,651</w:t>
            </w:r>
          </w:p>
        </w:tc>
        <w:tc>
          <w:tcPr>
            <w:tcW w:w="100" w:type="dxa"/>
            <w:vAlign w:val="bottom"/>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(8,365)</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 liability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Earnout payable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Right-of-use liabilities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67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20,600</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6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4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11,876</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 withholding related to shares withheld</w:t>
            </w:r>
          </w:p>
        </w:tc>
        <w:tc>
          <w:tcPr>
            <w:tcW w:w="14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At The Market offering, net of issuance costs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7,508</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Capital Raise, net of issuance costs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9,959</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67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00" w:type="dxa"/>
            <w:vAlign w:val="bottom"/>
            <w:tcBorders>
              <w:bottom w:val="single" w:sz="8" w:color="CCEEFF"/>
            </w:tcBorders>
          </w:tcPr>
          <w:p>
            <w:pPr>
              <w:spacing w:after="0"/>
              <w:rPr>
                <w:sz w:val="18"/>
                <w:szCs w:val="18"/>
                <w:color w:val="auto"/>
              </w:rPr>
            </w:pPr>
          </w:p>
        </w:tc>
      </w:tr>
      <w:tr>
        <w:trPr>
          <w:trHeight w:val="223"/>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related to bonus and earnout payments</w:t>
            </w:r>
          </w:p>
        </w:tc>
        <w:tc>
          <w:tcPr>
            <w:tcW w:w="14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630</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The Company provides ocean data collection and reporting, marine power, offshore communications and Maritime Domain Awareness Systems (“MDA” or “MDAS”) products and integrated solutions. The Company’s solutions focus on three major service areas: Data as a Service (“DaaS”), which includes data collected by Wave Adaptive Modular Vessel (WAM-V®) autonomous vehicles and PowerBuoy® product lines; Robotics as a Service (“RaaS”), which provides a lower cost subscription model for customers to access use of WAM-V’s®; and Power as a Service (“PaaS”), which includes PowerBuoy® products. The Company offers products and services to a wide-range of customers, including those in government and offshore energy, oil and gas, construction, wind power and other industries. The Company has been involved in the entire life cycle of product development, from product design through assembly, testing, deployment, maintenance and upgrades, while working closely with partners across the supply chain. The Company’s solutions are based on technologies that enable autonomous, zero or low carbon emitting, and cost-effective data collection, analysis, transportation, cooperation with other assets such as aerial drones, and communication. The Company’s solutions are primarily suited to ocean and other offshore environments, and support generation of actionable intelligence on a standalone basis or working with other data sources. The Company then channels the information it collects, and other communications, through control equipment linked to edge computing and cloud hosting environments. The Company’s goal is to generate most revenue from the sale or lease of products and solutions. The Company expects to continue having net cash outflows until it can generate positive cash flow from the commercialization of products and services.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2024, as filed with the SEC and elsewhere in subsequent Exchange Act filings, including this Form 10-Q. Certain amounts have been reclassified to conform to current period presentation. This reclassification had no impact on the previously reported net loss or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Going Concern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October 31, 2024, the Company incurred net losses of approximately $8.4 million, and used cash in operations of approximately $10.9 million. Cash used in operations includes cash payments of the earnout payable to the former shareholders of Marine Advanced Robotics Inc. (CA), referred to herein as MAR, of $100,000 and partial payment of the fiscal 2024 bonus for all employees. In addition, the Company has continued to make investments to support order backlog and future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2024 and through the date of filing of this Form 10-Q, the Company has obtained additional capital financing through our capital raises with certain investors. However, management believes the Company’s current cash, cash equivalents, and restricted cash balances at October 31, 2024 of $2.2 million may not be sufficient to fund its planned expenditures through December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31, 2024, the Company incurred a net loss of approximately $8.4 million and used cash in operations of approximately $10.9 million. In addition, the Company has continued to make investments to build inventory, support order backlog and future growth.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As of October 31, 2024, the Company had received proceeds of approximately $8.0 million under this facility and an additional $2.0 million between October 31, 2024 and December 13,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$0.001 per share (the “Common Stock”), for aggregate gross proceeds of $1.5 million before deducting offering expenses payable by the Company. The First RDO Shares were issued upon issuance of a funding notice by the Company to the investor. The First RDO Shares were issued at a price per share equal to 80% of the lowest traded price of the Common Stock ten days prior to the closing date for the purchase of the shares. In addition, the Company has the right, but not the obligation, to sell to this investor up to an additional $3.5 million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RDO Purchase Agreement contained customary representations, warranties and agreements by the Company and customary conditions for closing. Pursuant to the First RDO Purchase Agreement, the Company also agreed to indemnify the purchaser against certain liabilities, including liabilities under the Securities Act and liabilities arising from breaches of representations and warranties contained therein. The First RDO Purchase Agreement included a waiver to the Tax Benefits Preservation Plan as well as a covenant on the investor to vote their shares of common stock in favor of all Company director nominees and other proxy proposals, but only for so long as the investor owns more than 5% of the outstanding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 use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$1.5 million, before deducting offering expenses payable by the Company. The Second RDO Shares were issued upon issuance of a funding notice by the Company to the investor. The Second RDO Shares were issued at a price per share equal to 80% of the lowest traded price of the Common Stock five days prior to the closing date for the purchase of the shares. In addition, the Company has the right, but not the obligation, to sell to this investor up to an additional $2.5 million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RDO Purchase Agreement contains customary representations, warranties and agreements by the Company and customary conditions to closing. Pursuant to the Second RDO Purchase Agreement, the Company also agreed to indemnify the purchaser against certain liabilities, including liabilities under the Securities Act and liabilities arising from breaches of representations and warranties contained therein. The Second RDO Purchase Agreement included a waiver to the Tax Benefits Preservation Plan as well as a covenant on the investor to vote their shares of common stock in favor of all Company director nominees and other proxy proposals, but only for so long as the investor owns more than 5% of the outstanding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Marine Advanced Robotics Inc. (CA), referred to herein as MAR, 3dent Technologies LLC (3Dent ), Oregon Wave Energy Partners I LLC (DE), ReedSport OPT WavePark, LLC (OR) and Ocean Power Technologies Ltd. in the United Kingdom. ReedSport OPT WavePark, LLC (OR) and Oregon Wave Energy Partners I, LLC (DE) were dissolved during the first quarter of fiscal 2024. 3dent was sold in November 2023 and the consolidated financial statements for the three and six months ended October 31, 2023 include 3dent’s results of operations for the applicable periods through the date of sale. All significant intercompany balances and transactions have been eliminated in consolidation.</w:t>
      </w:r>
    </w:p>
    <w:p>
      <w:pPr>
        <w:sectPr>
          <w:pgSz w:w="11900" w:h="16874" w:orient="portrait"/>
          <w:cols w:equalWidth="0" w:num="1">
            <w:col w:w="11240"/>
          </w:cols>
          <w:pgMar w:left="320" w:top="229"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actual and projected revenues, over time revenue recognition, valuation consideration related to business combinations, including contingent consideration based on actual and projected revenues, including discount rates and present values, and other assumptions and estimates used to evaluate the recoverability of long-lived assets, goodwill and other intangible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Cash and Security Agreements and Short Term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cash equivalents and restricted cash of approximately $2.2 million and $3.3 million as of October 31, 2024 and April 30, 2024, respectfully.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prior years, Santander also issued a letter of credit to subsidiaries of Enel Green Power (“EGP”) pursuant to the Company’s contracts with EGP. A letter of credit was issued in the amount of $645,000 and was reduced to $323,000 in August 2020. The letter of credit was further reduced by an additional $258,000 in January 2023, when the legacy PB3 PowerBuoy® (“PB3”) and its accompanying systems passed final acceptance testing. The remaining restricted amount of $65,000 was released in January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4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2,092</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330 (ASC 330), inventory is stated at the lower of costs or net realizable value applicable to goods on hand. Items remain in inventory until they are shipped to the customer, at which time the costs are transferred on a FIFO basis to cost of revenues, or moved to leased assets as applicable, following the matching principle where costs and revenues are recognized in the same period. The Company has three classes of inventory; raw materials, work in process, and finished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assets are no longer collectible.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depreciable life</w:t>
            </w:r>
          </w:p>
        </w:tc>
      </w:tr>
      <w:tr>
        <w:trPr>
          <w:trHeight w:val="210"/>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Power Buoy assets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Leased WAM-V assets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denominated in a foreign currency may result in realized and unrealized foreign exchange gains or losses from exchange rate fluctuations, which are included in “Foreign exchange gain” in the accompanying Consolidated Statements of Operations.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invests its excess cash in a money market fund and does not believe that it is exposed to any significant risks related to its cash accounts, money market fund, or held-to maturity investments.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October 31, 2024 and 2023, the Company had four and three customers, respectively, whose revenues accounted for at least 10% of the Company’s consolidated revenues. These revenues accounted for approximately 72% and 55% of the Company’s total revenues for the respective periods. For the three months ended October 31, 2024 and 2023, the Company had six and four customers, respectively, whose revenues accounted for at least 10% of the Company’s consolidated revenues. These revenues accounted for approximately 92% and 71% of the Company’s total revenues for the respective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six months ended October 31, 2024 and 2023 was approximately $0.6 million and $0.7 million, respectively. For the three months ended October 31, 2024 and 2023, the aggregate share-based compensation expense was approximately $0.3 million and $0.3 million, respectively. The Company’s policy is to account for forfeitures of share-based compensation as they occur.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implication, the Company maintains those shares in the Company’s treasury stock account. Shares held in the Company’s treasury stock account are not available for future RSU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October 31, 2024 or 2023. The Company presents shipping and handling costs, that occur after control of the promised goods or services transfer to the customer, as fulfillment costs in costs of revenues and regular shipping and handling activities charged to operating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six-month period ended October 31, 2024, the Company recognized approximately $3.6 million in revenue related to performance obligations satisfied at a point in time and approximately $0.1 million in revenue related to performance obligations satisfied over time. During the three-month period ended October 31, 2024, the Company recognized approximately $2.3 million in revenue related to performance obligations satisfied at a point in time and approximately $0.1 million in revenue related to performance obligations satisfied over time.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the six-month periods ended October 31, 2024 and 2023, the majority of the Company’s contracts were classified as firm fixed-price and the remainder were cost-sharing.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Topic 842.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 Company’s total remaining performance obligations, also referred to as backlog, totaled $3.8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total revenue recognized under ASC 606 and ASC 842 for the three and six months ended July 31, 2024 and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80" w:type="dxa"/>
            <w:vAlign w:val="bottom"/>
            <w:tcBorders>
              <w:right w:val="single" w:sz="8" w:color="auto"/>
            </w:tcBorders>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31, 2024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October 31, 2023</w:t>
            </w:r>
          </w:p>
        </w:tc>
      </w:tr>
      <w:tr>
        <w:trPr>
          <w:trHeight w:val="223"/>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ASC 842</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 thousands)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80" w:type="dxa"/>
            <w:vAlign w:val="bottom"/>
            <w:tcBorders>
              <w:right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October 31, 2023</w:t>
            </w:r>
          </w:p>
        </w:tc>
      </w:tr>
      <w:tr>
        <w:trPr>
          <w:trHeight w:val="223"/>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ASC 842</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RSUs issued to employees and non-employee directors, were excluded from the diluted loss per share calculation due to their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Statements of Operations, warrants on common stock, options to purchase shares of common stock and unvested RSUs issued to employees and non-employee directors, totaling 6,080,010 and 7,294,852 as of October 31, 2024 and 2023, respectively, were excluded from each of the computations as the effect would have been anti-dilutive due to the net loss for the periods. Share purchase rights, which include a contingency, are not included in the calculation until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Intangibles,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20, 12 and 10 years respectively, which is consistent with the estimated pattern of economic benefit of the assets. The trademark is not subject to amortization.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were no indications of potential impairment of intangible assets for either the six months ended October 31,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six months ended October 31, 2024 and 2023.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revenue growth rates and the selection of assumptions underlying a discount rate (weighted average cost of capital) based on market data available at the time to determine the fair value of the Company. If the fair value is less than the carrying amounts, an impairment charge for the difference is recorded. The Company acquired goodwill as part of its purchase of MAR. Management performed its annual qualitative assessment in fiscal year 2024 and determined that it is more likely than not that no goodwill impairment existed as of April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(“ASU”) No. 2023-09, Income Taxes (Topic 740): Improvements to Income Tax Disclosures (“ASU 2023-09”)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monetize their attributes, the Company has historically sold the Net Operating Losses (NOL’s) and R&amp;D credit generated in New Jersey. The Company has elected to recognize the gain on the sale as a component of tax expense at the time of the sale. Prior to the time of sale, the Company has elected to not factor the expected sales when assessing the assessing the realizability of the related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Accumulated Other Comprehensive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six months ended October 31, 2024 and 2023, there were no amounts recorded to other comprehensive loss due to limited foreign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include a right of return on its products other than rights related to standard warranty provisions that permit repair or replacement of defective goods. Warranty expense incurred to date has not been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related to product development activities by the Company are expensed as incurred. The Company had approximately $1.3 million and $4.0 million in product development expense for the six months ended October 31, 2024 and 2023, respectively. The Company had approximately $0.7 million and $2.1 million in product development expense for the three months ended October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what the potential impact of adopting this ASU 2023-09 could have on our consolidated financial statements and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guidance was effective for the Company on May 1, 2024. The Company expects to provide incremental qualitative segment-related disclosures beginning with the Company’s Annual Report on Form 10-K for the fiscal year ended April 30, 2025.</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Contract Assets and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38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10"/>
        </w:trPr>
        <w:tc>
          <w:tcPr>
            <w:tcW w:w="5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1,785</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increase in contract assets from year end is primarily a result of consulting services projects for which revenue was recognized in the current period but has not yet been billed. No impairments to contract assets were incurred during the six months ended October 31, 2024 and 2023.</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60"/>
        <w:spacing w:after="0" w:line="261"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Revenue recognized and not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October 31, 2023</w:t>
            </w:r>
          </w:p>
        </w:tc>
      </w:tr>
      <w:tr>
        <w:trPr>
          <w:trHeight w:val="191"/>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gridSpan w:val="5"/>
          </w:tcPr>
          <w:p>
            <w:pPr>
              <w:jc w:val="right"/>
              <w:ind w:right="147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6"/>
                <w:szCs w:val="16"/>
                <w:color w:val="auto"/>
              </w:rPr>
            </w:pPr>
          </w:p>
        </w:tc>
      </w:tr>
      <w:tr>
        <w:trPr>
          <w:trHeight w:val="229"/>
        </w:trPr>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decrease in contract liabilities from year end is primarily due to converting previous payments collected to recognized revenue in the current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October 31, 2023</w:t>
            </w:r>
          </w:p>
        </w:tc>
      </w:tr>
      <w:tr>
        <w:trPr>
          <w:trHeight w:val="210"/>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gridSpan w:val="5"/>
          </w:tcPr>
          <w:p>
            <w:pPr>
              <w:jc w:val="right"/>
              <w:ind w:right="14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5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liabilities</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its WAM-V® and PowerBuoy®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10"/>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4,401</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2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4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October 31, 2024 and April 30, 2024: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project costs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 materials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October 31, 2024 and April 30,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WAM-V’s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Leased Buoys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r>
      <w:tr>
        <w:trPr>
          <w:trHeight w:val="223"/>
        </w:trPr>
        <w:tc>
          <w:tcPr>
            <w:tcW w:w="4680" w:type="dxa"/>
            <w:vAlign w:val="bottom"/>
            <w:tcBorders>
              <w:top w:val="single" w:sz="8" w:color="CCEEFF"/>
              <w:bottom w:val="single" w:sz="8" w:color="CCEEFF"/>
            </w:tcBorders>
            <w:shd w:val="clear" w:color="auto" w:fill="CCEEFF"/>
          </w:tcPr>
          <w:p>
            <w:pPr>
              <w:spacing w:after="0"/>
              <w:rPr>
                <w:sz w:val="19"/>
                <w:szCs w:val="19"/>
                <w:color w:val="auto"/>
              </w:rPr>
            </w:pP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WAM-V’s and buoys represent fixed assets that are associated with underlying operating leases with customers as discussed in the revenue recognition section related to ASC 842.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$456,000 and $172,000 for the six-month periods ended October 31, 2024 and 2023, respectively. Depreciation expense was approximately $252,000 and $101,000 for the three-month periods ended October 31,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as of October 31, 2024 and April 30,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2,729</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09"/>
        </w:trPr>
        <w:tc>
          <w:tcPr>
            <w:tcW w:w="44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w:t>
            </w:r>
          </w:p>
        </w:tc>
      </w:tr>
      <w:tr>
        <w:trPr>
          <w:trHeight w:val="223"/>
        </w:trPr>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approximately $66,000 and $80,000 for the six-month periods ended October 31, 2024 and 2023, respectively. Amortization expense was approximately $33,000 and $40,000 for the three-month periods ended October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in the amount of $8.5 million was recognized in November 2021 related to the acquisition of MAR. There have been no additions to, or any impairment of, goodwill during the six-month periods ended October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2024 and April 30, 2024, the Company had three WAM-V’s leased to customers which have been classified as operating leases per accounting guidance contained within ASC Topic 842, “Leases”, respectively. The remaining term on these operating leases is less than 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The lease is classified as an operating lease and is included in right-of-use assets, net, right-of-use liabilities – current portion, and right-of-use liabilities- less current portion on the Company’s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office space located in Richmond, California. This lease commenced in April of 2023 and will continue for 62 months and set to expire in June of 2028.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cash flow payments for the three months ended October 31, 2024 and 2023 were $182,000 and $186,000, respectively. The operating lease cash flow payments for the six months ended October 31, 2024 and 2023 were $365,000 and $371,000,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which are included in our operating expenses in the Consolidated Statement of Operations for the three and six months ended October 31, 2024 and 2023 were as follows:</w:t>
      </w:r>
    </w:p>
    <w:p>
      <w:pPr>
        <w:sectPr>
          <w:pgSz w:w="11900" w:h="16838" w:orient="portrait"/>
          <w:cols w:equalWidth="0" w:num="1">
            <w:col w:w="11240"/>
          </w:cols>
          <w:pgMar w:left="320" w:top="229" w:right="339" w:bottom="1440" w:gutter="0" w:footer="0" w:header="0"/>
        </w:sectPr>
      </w:pPr>
    </w:p>
    <w:p>
      <w:pPr>
        <w:spacing w:after="0" w:line="171" w:lineRule="exact"/>
        <w:rPr>
          <w:sz w:val="20"/>
          <w:szCs w:val="20"/>
          <w:color w:val="auto"/>
        </w:rPr>
      </w:pPr>
    </w:p>
    <w:p>
      <w:pPr>
        <w:jc w:val="center"/>
        <w:ind w:left="4220"/>
        <w:spacing w:after="0"/>
        <w:rPr>
          <w:sz w:val="20"/>
          <w:szCs w:val="20"/>
          <w:color w:val="auto"/>
        </w:rPr>
      </w:pPr>
      <w:r>
        <w:rPr>
          <w:rFonts w:ascii="Times New Roman" w:cs="Times New Roman" w:eastAsia="Times New Roman" w:hAnsi="Times New Roman"/>
          <w:sz w:val="17"/>
          <w:szCs w:val="17"/>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27305</wp:posOffset>
            </wp:positionV>
            <wp:extent cx="2091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Six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27305</wp:posOffset>
            </wp:positionV>
            <wp:extent cx="2040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660" w:space="720"/>
            <w:col w:w="286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9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October 31, 2024 was as follows: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11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October 31, 2024</w:t>
            </w:r>
          </w:p>
        </w:tc>
      </w:tr>
      <w:tr>
        <w:trPr>
          <w:trHeight w:val="209"/>
        </w:trPr>
        <w:tc>
          <w:tcPr>
            <w:tcW w:w="11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8"/>
                <w:szCs w:val="18"/>
                <w:color w:val="auto"/>
              </w:rPr>
            </w:pPr>
          </w:p>
        </w:tc>
      </w:tr>
      <w:tr>
        <w:trPr>
          <w:trHeight w:val="176"/>
        </w:trPr>
        <w:tc>
          <w:tcPr>
            <w:tcW w:w="87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1,987</w:t>
            </w:r>
          </w:p>
        </w:tc>
      </w:tr>
      <w:tr>
        <w:trPr>
          <w:trHeight w:val="197"/>
        </w:trPr>
        <w:tc>
          <w:tcPr>
            <w:tcW w:w="1180" w:type="dxa"/>
            <w:vAlign w:val="bottom"/>
            <w:tcBorders>
              <w:top w:val="single" w:sz="8" w:color="CCEEFF"/>
            </w:tcBorders>
            <w:shd w:val="clear" w:color="auto" w:fill="CCEEFF"/>
          </w:tcPr>
          <w:p>
            <w:pPr>
              <w:spacing w:after="0"/>
              <w:rPr>
                <w:sz w:val="17"/>
                <w:szCs w:val="17"/>
                <w:color w:val="auto"/>
              </w:rPr>
            </w:pPr>
          </w:p>
        </w:tc>
        <w:tc>
          <w:tcPr>
            <w:tcW w:w="7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8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long term</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w:t>
            </w:r>
          </w:p>
        </w:tc>
      </w:tr>
      <w:tr>
        <w:trPr>
          <w:trHeight w:val="263"/>
        </w:trPr>
        <w:tc>
          <w:tcPr>
            <w:tcW w:w="8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60" w:type="dxa"/>
            <w:vAlign w:val="bottom"/>
            <w:tcBorders>
              <w:bottom w:val="single" w:sz="8" w:color="CCEEFF"/>
            </w:tcBorders>
          </w:tcPr>
          <w:p>
            <w:pPr>
              <w:spacing w:after="0"/>
              <w:rPr>
                <w:sz w:val="22"/>
                <w:szCs w:val="22"/>
                <w:color w:val="auto"/>
              </w:rPr>
            </w:pPr>
          </w:p>
        </w:tc>
      </w:tr>
      <w:tr>
        <w:trPr>
          <w:trHeight w:val="197"/>
        </w:trPr>
        <w:tc>
          <w:tcPr>
            <w:tcW w:w="1180" w:type="dxa"/>
            <w:vAlign w:val="bottom"/>
            <w:shd w:val="clear" w:color="auto" w:fill="CCEEFF"/>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 years</w:t>
            </w: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8760" w:type="dxa"/>
            <w:vAlign w:val="bottom"/>
            <w:tcBorders>
              <w:bottom w:val="single" w:sz="8" w:color="auto"/>
            </w:tcBorders>
            <w:gridSpan w:val="2"/>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3"/>
        </w:trPr>
        <w:tc>
          <w:tcPr>
            <w:tcW w:w="6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October 31, 2024 and April 30, 2024: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gridSpan w:val="5"/>
          </w:tcPr>
          <w:p>
            <w:pPr>
              <w:jc w:val="right"/>
              <w:ind w:right="147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6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1,078</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5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underwritten public offering from April 2019 included the issuance of common stock warrants to purchase up to 4,927,680 shares of common stock that had an exercise price of $3.85 per share and expired five years from the issuance date. As of April 30, 2024, common warrants to purchase 732,500 shares of the common stock had been exercised. The remaining warrants expired prior to April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most recently in February 2024, the shareholders approved an aggregate increase to the 2015 Plan of 2,900,000 shares resulting in total shares authorized for issuance of 7,282,036 as of October 31,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On February 9, 2022, the 2018 Inducement Plan was amended to increase the authorized shares by 250,000 to 275,000.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 Company did not grant any stock options during the six months ended October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the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Underlying Options</w:t>
            </w:r>
          </w:p>
        </w:tc>
        <w:tc>
          <w:tcPr>
            <w:tcW w:w="120" w:type="dxa"/>
            <w:vAlign w:val="bottom"/>
          </w:tcPr>
          <w:p>
            <w:pPr>
              <w:spacing w:after="0"/>
              <w:rPr>
                <w:sz w:val="20"/>
                <w:szCs w:val="20"/>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2024</w:t>
            </w:r>
          </w:p>
        </w:tc>
        <w:tc>
          <w:tcPr>
            <w:tcW w:w="1700" w:type="dxa"/>
            <w:vAlign w:val="bottom"/>
            <w:tcBorders>
              <w:top w:val="single" w:sz="8" w:color="auto"/>
            </w:tcBorders>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9"/>
              </w:rPr>
              <w:t>734,543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3"/>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(222,957)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October 31, 2024</w:t>
            </w:r>
          </w:p>
        </w:tc>
        <w:tc>
          <w:tcPr>
            <w:tcW w:w="1700" w:type="dxa"/>
            <w:vAlign w:val="bottom"/>
            <w:tcBorders>
              <w:top w:val="single" w:sz="8" w:color="auto"/>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5"/>
              </w:rPr>
              <w:t>511,586</w:t>
            </w:r>
          </w:p>
        </w:tc>
        <w:tc>
          <w:tcPr>
            <w:tcW w:w="3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October 31, 2024</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3.30</w:t>
            </w:r>
          </w:p>
        </w:tc>
        <w:tc>
          <w:tcPr>
            <w:tcW w:w="1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center"/>
              <w:ind w:left="1030"/>
              <w:spacing w:after="0" w:line="196" w:lineRule="exact"/>
              <w:rPr>
                <w:sz w:val="20"/>
                <w:szCs w:val="20"/>
                <w:color w:val="auto"/>
              </w:rPr>
            </w:pPr>
            <w:r>
              <w:rPr>
                <w:rFonts w:ascii="Times New Roman" w:cs="Times New Roman" w:eastAsia="Times New Roman" w:hAnsi="Times New Roman"/>
                <w:sz w:val="18"/>
                <w:szCs w:val="18"/>
                <w:color w:val="auto"/>
                <w:w w:val="99"/>
              </w:rPr>
              <w:t>347,714</w:t>
            </w: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31, 2024, the total intrinsic value of outstanding and exercisable options was approximately zero. As of October 31, 2024, approximately 164,000 options were unvested, which had an intrinsic value of zero and a weighted average remaining contractual term of 8.0 years. There was approximately $26,000 and $98,000 of total recognized compensation cost related to stock options during each of the six months ended October 31, 2024 and 2023, respectively. There was approximately $7,000 and $20,000 of total recognized compensation cost related to stock options during each of the three months ended October 31, 2024 and 2023, respectively. As of October 31, 2024, there was approximately $56,000 of total unrecognized compensation cost related to non-vested stock options granted under the plans. This cost is expected to be recognized over a weighted-average period of 1.0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2024, there were no performance stock units outstanding. As of April 30, 2023 there were 66,667 units outstanding which were all canceled during the quarter ended July 31, 2023. There was approximately zero and $43,000 of total recognized compensation cost related to performance stock units during the six months ended October 31,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RSUs is generally recorded based on the market value on the date of grant and recognized ratably over the associated service and performance period. During the six months ended October 31, 2024 and 2023, the Company granted zero and 58,000 shares, respectively, that were subject to both service-based and market-based vesting requirements.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unvested RSU’s under the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5,124,529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872,982</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(599,842)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5,387,669</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approximately $525,000 and $532,000 of total recognized compensation cost related to RSUs for the six months ended October 31, 2024 and 2023, respectively. There was approximately $285,000 and $252,000 of total recognized compensation cost related to RSUs for the three months ended October 31, 2024 and 2023, respectively. As of October 31, 2024, there was approximately $667,000 of unrecognized compensation cost remaining related to unvested RSUs. This cost is expected to be recognized over a weighted-average period of 1.3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that are unobservable for the asset or liability.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2024, the Company paid $100,000 in cash and issued 2,864,808 in shares worth $0.5 million to partially satisfy the final earnout period related to its acquisition of MAR in November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either of the three and six months ended October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expects results of the appeal to conclude during fiscal year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Paragon Technologies,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2023, Paragon Technologies, Inc., a Delaware corporation that is a stockholder of the Company (“Paragon”), informed the Company that Paragon was planning a proxy contest against the Company and intended to nominate candidates for election to the Company Board of Directors (the “OPT Board”) at the Company’s 2023 Annual Meeting (the “2023 Annual Meeting”). Subsequently, Paragon disclosed its intention to replace a majority of the six-member OPT Board with initially five purported nominees, including three members of the Paragon Board of Directors, and, thereby, seek control of the Company. In furtherance of Paragon’s threatened agenda, Paragon brought three litigation matters against the Company in the Delaware Court of Chancery.</w:t>
      </w:r>
    </w:p>
    <w:p>
      <w:pPr>
        <w:spacing w:after="0" w:line="185" w:lineRule="exact"/>
        <w:rPr>
          <w:sz w:val="20"/>
          <w:szCs w:val="20"/>
          <w:color w:val="auto"/>
        </w:rPr>
      </w:pPr>
    </w:p>
    <w:p>
      <w:pPr>
        <w:jc w:val="both"/>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 Code §220 Complaint) </w:t>
      </w:r>
      <w:r>
        <w:rPr>
          <w:rFonts w:ascii="Times New Roman" w:cs="Times New Roman" w:eastAsia="Times New Roman" w:hAnsi="Times New Roman"/>
          <w:sz w:val="18"/>
          <w:szCs w:val="18"/>
          <w:color w:val="auto"/>
        </w:rPr>
        <w:t>On July 27, 2023, Paragon filed a complaint in the Court of Chancery of the State of Delaware against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to compel the inspection of certain books and records of the Company pursuant to 8 Del. Code § 220. On January 31, 2024, the Court issued a ruling for the Company to deliver certain books and records to Paragon, and the books and records that were subject to the Court’s final order were produced to Paragon on April 8, 2024. No additional activity has occurred and the case is now closed.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(Breach of Fiduciary Duties Complaint) </w:t>
      </w:r>
      <w:r>
        <w:rPr>
          <w:rFonts w:ascii="Times New Roman" w:cs="Times New Roman" w:eastAsia="Times New Roman" w:hAnsi="Times New Roman"/>
          <w:sz w:val="18"/>
          <w:szCs w:val="18"/>
          <w:color w:val="auto"/>
        </w:rPr>
        <w:t>On October 10, 2023, Paragon filed an additional complaint in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The status of the in the amended complaint is still pending. On February 28, 2024, the Company successfully finalized its 2023 annual meeting of stockholders in spite of Paragon’s repeated attempts to contest the meeting. In an August 12, 2024 Press Release and its Form 10-Q report for the second quarter of 2024, Paragon announced that it was no longer pursuing litigation against the Company.</w:t>
      </w:r>
    </w:p>
    <w:p>
      <w:pPr>
        <w:spacing w:after="0" w:line="18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 Code §225 Complaint) </w:t>
      </w:r>
      <w:r>
        <w:rPr>
          <w:rFonts w:ascii="Times New Roman" w:cs="Times New Roman" w:eastAsia="Times New Roman" w:hAnsi="Times New Roman"/>
          <w:sz w:val="18"/>
          <w:szCs w:val="18"/>
          <w:color w:val="auto"/>
        </w:rPr>
        <w:t>On April 11, 2024, Paragon filed an action in the Delaware Court of Chancery against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its Board of Directors, challenging the results of the 2023 Annual Meeting (concluded on February 28, 2024), alleging that a quorum was not present for the meeting. On May 7, 2024, the Company filed its answer, including that the Final Report of the Inspector of Election (which Paragon selected) confirmed that a quorum was present. On June 20, 2024, Paragon filed a Motion to Dismiss the case “without prejudice.” On September 19, 2024, the Court granted Paragon’s request, and the case is now dismissed.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has appealed the results of the income tax audit in Spain for the period from 2011 to 2014, when the Company’s Spanish branch was closed (see Note 14). At October 31, 2024,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Preservation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4.99% or more of the outstanding common stock without approval by potentially subjecting any such person or group to significant dilution. The Plan was approved by shareholders by a non-binding advisory vote at the Company’s Annual Meeting held on February 28,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Rights using an option-pricing model. The amount was immaterial to the consolidated financial statements and deemed to be de minimis, and accordingly was not recorded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New Jersey NOL’s and R&amp;D Tax Credits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monetize their attributes, the Company has historically sold the Net Operating Losses (NOL’s) and R&amp;D credit generated in New Jersey. In September 2024 the Company was notified that it received a preliminary award of approximately $1.1 million for, New Jersey State for the sale of the fiscal year 2024 NOL. The final allocation is expected to be determined during the fourth quarter of OPT’s 2025 fiscal year when the sale of the NOL’s and credit are finalized. The Company has elected to recognize the gain on the sale as a component of tax expense at the time of the sale. Historically the Company has received over 90% of the amount of the preliminary award upon final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reportable segment as the revenues associated with its different business lines are not material enough to justify segment reporting or to make it meaningful to investors, and the Company’s chief operating decision maker does not view the Company’s operations on a segment basis. The Company operates worldwide, with its U.S. operations in New Jersey and California and one operating subsidiary in the UK. Revenues and expenses are generally attributed to the operating unit that bills the customers. During each of the three and six months ended October 31, 2024 and 2023, the Company’s primary business operations were in North America, South America and EMEA.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 References to “we,” “us,” “our”, and “OPT” refer to Ocean Power Technologies, Inc. and its subsidiaries, as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solutions focus on three major service areas: Data as a Service (“DaaS”), which includes data collected by our Wave Adaptive Modular Vessel (WAM-V®) autonomous vehicles or our PowerBuoy® (“PB”) product lines; Robotics as a Service (“RaaS”), which provides a lower cost subscription model for our customers to access use of our WAM-V’s®; and Power as a Service (“PaaS”), which includes our PowerBuoy® products.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 The Company is involved in the entire life cycle of product development, from product design through assembly,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 The data collected by OPT’s technologies underscores the Company’s unique position as a system of systems provider. What sets OPT apart is its ability to enhance these data collection capabilities by integrating the WAM-V and PB systems. This integration enables the use of artificial intelligence and machine learning not only to improve data accuracy and operational efficiency but also delivery of persistent actionable intelligence over greater distances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DaaS solution is at the forefront of our strategic goal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and provide harbor or port security as well as logistics support. We have the ability to support aquaculture and gather information on ocean currents, water quality, wind and other weather metrics, provide photography, and map shorelines or subsurface bathymetry, objects and activity frequently required for obtaining development and operational permits with environmental studies.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2024, the Company received additional funding from the Naval Postgraduate School for the year-long deployment of a PowerBuoy® in Monterey Bay.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diverse operational needs. We have further expanded our DaaS offering through field demonstration such as ANTX Coastal Trident, as well as the Naval Task Force 59 for the Digital Horizon field exercise and the International Maritime Exercise (IMX) in Bahrain. Additional DaaS contracts include Sulmara for survey services with our WAM-V® platform and Phase I funding through National Oceanic and Atmospheric Administration’s (NOAA) Small Business Innovation Research (SBIR) program.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the Company received an award of three separate Indefinite Delivery Indefinite Quantity (IDIQ) Multiple-Award Contracts (MAC) from the NOAA. NOAA has selected OPT as one of several Multiple Award IDIQ contract holders to provide Uncrewed Maritime Systems (UMS) Services to NOAA’s Office of Marine and Aviation Operations (OMAO), Uncrewed Systems Operation Center (UxSOC). Under these contracts, OPT will bring its expertise to utilize cutting-edge UMS to support NOAA in conducting vital marine resource surveys and research while also playing a pivotal role in enhancing NOAA’s meteorological and oceanographic observations, further advancing our understanding of the natural world. Finally, OPT will collaborate with NOAA to explore and characterize the depths of our oceans, contributing to the discovery and preservation of invaluable marine ecosystems.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legacy PB3 PowerBuoy® equipped with our Maritime Domain Awareness (MDA) solution. The project will be deployed in support of security efforts to detect illegal, unreported, and unregulated (“IUU”) fishing, dark vessels, and human/drug trafficking in operation 24/7/365. As further discussed under “Commercial Activities,” the Company was awarded a contract in support of foreign law enforcement partners. This collaboration aims to protect vital marine species and combat illegal, unreported, and IUU fishing activities in critical habitats using our state-of-the-art uncrewed technologies and demonstrates unprecedented, networked surveillance capabilities and evidence collection.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defines Maritime Domain Awareness as the effective understanding of any activity that could impact the security, safety, economy, or environment related to and within our oceans and seas. Since 2002, the U.S. has had an active strategy to secure the maritime domain, primarily through the U.S. Navy. Furthermore, the U.S. Coast Guard has elevated IUU fishing, one aspect of MDA security, as a leading global maritime threat.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legacy PB3 and NextGen PB or WAM-V®, and then, utilizing integrated command and control software, data would be sent to us and to our customers via secure communications channels. Multiple sensors can be used on a single unit based on the comprehensiveness of the needs of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MDAS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can be securely stored in our cloud, or the customer’s cloud environment and is accessible for as long as required by the customer for further analysis and reference. We refer to the integrated Command, Control, Communications, Computers, Cyber, Intelligence, Surveillance, and Reconnaissance systems as Merrows.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launched the first commercially ready MDAS on a test buoy off the coast of New Jersey in September 2021. The system includes our proprietary integration of sensors, hardware and software, supported by cloud infrastructure as well as having a web-based user interface that displays camera, radar, AIS and live chart data. During the first half of calendar 2024 we successfully demonstrated the system multiple times for potential customers, including a remote demonstrations using assets deployed off New Jersey for potential customers active in the Mediterranean, South America and Middle East.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Autonomous Vehicles business incorporates the patented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 in ten countries for commercial, military defense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WAM-V® product line highly complements the Company’s business strategy and can be used inshore, nearshore, and offshore. This business continues to grow and is further expanding into core marine survey and maritime security markets in the Middle East, Europe, Asia, Oceania and the Americas. We continue to find ways to integrate Autonomous Vehicles with the Company’s existing platforms and service offerings and expect to take advantage of new synergistic opportunities as they arise. In addition, in connection with our Merrows offering noted below, we are already integrating data streams relating to all aspects of, on, under, adjacent to, or bordering on a sea, ocean, or other navigable waterway onto the WAM-V® to expand our offering to provide a roaming MDA solution to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Technological Advancements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2024 we completed the second set of exercises of the previously announced follow-on contract as a subcontractor to EpiSci and successfully deployed several WAM-V autonomous surface vehicles during the Mission Autonomy Proving Grounds (MAPG) as part of Project Overmatch. Project Overmatch is a United States Navy initiative aimed at achieving a seamless and highly integrated warfighting capability by leveraging advanced data networks, artificial intelligence (AI), and machine learning. Under this contract, OPT continues to ruggedize and enhance the operational capability of its autonomous maritime technologies to support the U.S. military and its allies. The first set of exercises was concluded over the summer and the completion of these most recent exercises contributed to the revenue recognition noted above.</w:t>
      </w:r>
    </w:p>
    <w:p>
      <w:pPr>
        <w:spacing w:after="0" w:line="19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September 2024, we announced that we completed more than four months of offshore testing of our Next Generation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(“PB”) in the Atlantic Ocean off New Jersey. The solar and wind power equipped Next Generation PB was equipped with OPT’s AI capable Merrows™ suite of solutions. The system maintained 100% data uptime and the state of charge of the batteries remained over 90% throughout the deployment. During the deployment, several intelligence, surveillance, and reconnaissance demonstrations for potential customers were completed.</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Company announced Merrows, a projected significant step forward to enhance maritime domain awareness and underline the critical importance of ocean security’s role in national security. Merrows is OPT’s consolidated solution offering comprehensive ocean surveillance and involves the deployment of sophisticated Command, Control, Communications, Computers, Cyber, Intelligence, Surveillance, and Reconnaissance systems. These systems are integrated within OPT’s roaming technologies, such as the WAM-V, and geostationary technologies, like the PB, to offer an unparalleled level of surveillance and data analysis capability. This initiative, which builds on OPT’s recently completed R&amp;D efforts, demonstrates OPT’s commitment to safeguarding the world’s oceans through advanced technology and innovation.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the Company announced it was approaching 15MWh of renewable energy production from its family of PBs. The recent launch of its Next Generation PB off the coast of New Jersey has materially accelerated average energy production by combining solar, wind, and wave energy production capabilities. The energy generation numbers are based on deployments in the Atlantic, Pacific, Mediterranean, and North Sea. OPT has demonstrated and delivered use cases as a proven solution for Anti-Submarine Warfare, Intelligence, Surveillance, and Reconnaissance, USV Charging, and Environmental Sensing. These numbers show that non-grid connected marine energy production is not just for the R&amp;D community but is a commercially available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Robotics as a Service (“RaaS”)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the Company introduced the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 (“PaaS”)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PaaS solutions deliver value to customers by utilizing our managed power platforms. We continue to commercialize our proprietary power platforms that generate electricity primarily by harnessing the renewable energy of ocean waves. In addition to offering our commercial legacy PB3, we have added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provides this power continuously without requiring ongoing battery replacement or older technologies such as shore station power cables. Many of the lessons learned from the deployments of both our legacy PB3 and demonstrator systems have been used to develop the next generation of PowerBuoy®. The NextGen PBs are designed to be modular for both WEC and non-WEC applications. The legacy PB3 will continue to be available and supported in addition to the NextGen PB, which was fully commercialized during fiscal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PowerBuoy® (“NextGen PB”)</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NextGen PB is our future platform that integrates the lessons learned from the legacy PB3 and our demonstrator systems. It consists of two versions, one utilizing solar and wind power and one utilizing solar and wind power plus wave energy conversion capability, to provide reliable power in remote offshore locations, regardless of ocean wave conditions. Both versions utilize the same spar shape, thus increasing modularity and decreasing part count and costs. The WEC technology in the NextGen PB is based on our Mass on Spring Wave Energy Converter (MOSWEC) development which has the advantages of smaller size, lower cost, sealed to the environment design, and increased energy generation capability. The solar and wind PowerBuoy® is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now commercially available and the prototype of the MOSWEC PowerBuoys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has been tested off the coast of New Jersey and the solar and wind system was used during the MDAS demonstration for ANTX during fiscal 2023.</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and surface communications applications, for electric remotely operated vehicles (“eROV”) and autonomous underwater vehicles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lithium-ion batteries which can power subsea and topside payloads. The control system uses sensors and an onboard computer to continuously monitor the subsystems. The NextGen PB is designed to be able to operate over a broad range of temperature and ocean wave conditions. It has a 50kW-hour battery system which can be expanded up to 100 kW-hour energy.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PB3 PowerBuoy</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legacy PB3 uses proprietary technologies that convert the hydrokinetic energy of ocean waves into electricity. The legacy PB3 generates a nominal nameplate capacity rating of up to three kilowatts (“kW”) of peak power. Our Energy Storage System (“ESS”) has a capacity of up to a nominal 150 kW-hours to meet specific application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legacy PB3 is designed to generate power for use independent of the power grid in offshore locations. As ocean waves pass the legacy PB3, the rising and falling of the waves are converted into mechanical energy, which in turn, drives the electric generator. The power electronics system then conditions the electrical output which is stored within the 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the legacy PB3 is controlled by our customized, proprietary control system. The control system uses sensors and an onboard computer to continuously monitor the legacy PB3 subsystems. We believe that this ability to optimize and manage the electric power output of the legacy PB3 is a significant advantage of our technology.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Consulting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OPT divested its non-core strategic consulting team so that it can more fully focus its efforts and resources on the commercialization of its cutting-edge pipeline of products – particularly for the national security and defense markets. Going forward, the focus of our Strategic Consulting Services will be on delivering value to our customers through services which can be integrated in support of our broader PaaS, DaaS and/or RaaS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integrated solutions and services, including autonomous and cloud-based delivery systems for ocean intelligence, ocean data and predictive analytics to provide actionable intelligence including our product offering Merrows. We also have a number of resellers and strategic alliances, including partnerships recently entered into in the Middle East and U.S., to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primarily focused on military and government applications.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recent market analysis reveals evolving dynamics within the offshore MDA sector, notably influenced by the technological revolution that enhances MDA capabilities through advanced, low-cost unmanned systems. This shift, highlighted by the National Plan to achieve MDA by the Department of Homeland Security (“DHS”) and the Government Accountability Office (“GAO”) in their 2022 ‘Unmanned Maritime Systems’ report on Maritime Security, is further exemplified by the U.S. Coast Guard’s March 2023 Unmanned System Strategic Plan. This plan outlines a vision to effectively employ, defend against, and regulate unmanned systems in maritime operations, underscoring the strategic importance of collaborative international efforts in maritime security. The U.S. is actively encouraging Pacific allies to bolster their maritime surveillance capabilities to counteract regional coercive behaviors, reflecting a broader trend towards democratizing technology to enhance global maritime safety, security, and prosperity. This aligns with our company’s positioning, as our products are well-suited to enable the Coast Guard and other maritime bodies to achieve their mission-critical capabilities in surveillance, detection, classification, identification, and prosecution, which are essential for executing statutory missions. Moreover, large defense contractors’ increasing interest in the “ocean data collection” space, through acquisition of small and mid-size unmanned and autonomous surface vehicle companies, signifies a growing market and application opportunities for our unmanned system offerings. Within the United States, our MDAS deployed on NextGen PB can also be deployed domestically, enhancing our market size.</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Unmanned systems are increasingly in demand by defense and security and commercial companies to reduce costs and improve safety in offshore operations. Also, geopolitical developments such as conflict in the Middle East and Eastern Europe demonstrate the need for countries to protect their borders. In addition, the need to protect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technologies, such as aerial drones, deployment of underwater vehicles, that can then communicate via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deployed secure communication links.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serving defense and security organizations, while also targeting offshore wind, science and research, and ports and harbors. Our pipeline continues to grow and comprises primarily participants in defense and security markets. In addition, we continue to see a growing number of commercial opportunities from offshore wind companies for autonomous monitoring, surveillance and survey-related services during various stages of the project development cycle, including initial permitting that can reduce risk in permit obtainment and legal challenge. Further, we are attracting interest targeted toward subsea applications, using proprietary sensor payloads for environmental monitoring and subsea intelligence. We believe that our buoys and WAM-Vs® are uniquely able to deliver these services either as a standalone solutions, together or in combination with other systems. Furthermore, we are becoming a trusted provider of solutions for the hydrography survey market, especially for shallow water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noted above, we are now primarily focused on commercial activities. We have built a suite of products that we believe will be the basis for our current and future commercial success resulting in meaningful progress in orders, pipeline, and backlog.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three-month periods ended October 31, 2024 and 2023, the Company had two and four customers, respectively, whose revenue accounted for at least 10% of the Company’s consolidated revenue, respectively. These revenues accounted for approximately 84% and 73% of the Company’s total revenue for the respective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achieve success in ongoing commercialization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Contracts and Commercial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commercially notable activities occurred during the first and second quarter of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720840" cy="1234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20840" cy="1234440"/>
                    </a:xfrm>
                    <a:prstGeom prst="rect">
                      <a:avLst/>
                    </a:prstGeom>
                    <a:noFill/>
                  </pic:spPr>
                </pic:pic>
              </a:graphicData>
            </a:graphic>
          </wp:anchor>
        </w:drawing>
      </w:r>
    </w:p>
    <w:p>
      <w:pPr>
        <w:spacing w:after="0" w:line="205" w:lineRule="exact"/>
        <w:rPr>
          <w:sz w:val="20"/>
          <w:szCs w:val="20"/>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made significant advancements to our expansion of our defense and security business in the Middle East by signing a Distributor Agreement with Remah International Group (“RIG”), a privately held and UAE headquartered company with a focus on both military and civilian services. The agreement calls for the parties to explore additional expansion and integration of services as demand for OPT’s solutions continues to grow in the UAE. In addition, we signed an agreement with 3B General Trading &amp; Contracting Co. W.L.L. (3B) to explore projects in the offshore energy and maritime industry in Kuwait, including deployment of WAM-V® autonomous and unmanned surface vehicles and Next Generation PowerBuoys® equipped with AI capable Merrows™. We are also actively collaborating with Unique Group (UG) for WAM-V 22 demonstrations to potential energy and hydrographic survey customers throughout the Middle East. UG will also be modifying the vehicle from gas to diesel-electric outboards per regulatory requirements in O&amp;G fields in the region.</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announced that we have received a further contract by the Naval Postgraduate School (NPS) in Monterey, California. This contract adds to the deployment of OPT’s PowerBuoy® as part of an ongoing initiative to enhance maritime domain awareness and connectivity in Monterey Bay and demonstrate the use of PowerBuoys® for multi-domain drone and communication integration. Building on the success of the previously announced NPS contract, which included installing AT&amp;T 5G technology on a PowerBuoy®, this new order focuses on integrating advanced subsea sensors into a PowerBuoy® equipped with OPT’s latest Merrows™ suite for AI capable seamless integration of MDA across platforms and utilizing communication technologies from AT&amp;T for NPS.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announced the signing of the latest of four new reseller agreements targeted at supporting global critical services. These agreements include opportunities for partnering with allied nations in areas like the South China Sea, previously announced efforts in Latin America and the Middle East and serving global commercial markets. These partnerships provide leverage to proactively serve the demand for our autonomous maritime technologies in geographies remote from OPT.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announced a patent pending for our docking and recharging buoy technology, specifically designed for the WAM-V. This advanced system has already been successfully demonstrated, showcasing its potential to revolutionize the operational efficiency and endurance of autonomous surface vessels. This development aligns with our broader strategy to enhance the functionality and versatility of our Merrows Platform, bringing artificial intelligence capable solutions to the ocean.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signing of a reseller agreement with Geos Telecom, a prominent provider of maritime communication and navigation solutions in Costa Rica. This partnership marks a significant expansion of our presence in the Latin American market. We believe this agreement not only enhances our footprint in Latin America but also enables us to deliver advanced USV capabilities to a new customer base.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we had been awarded a contract for immediate delivery of a PowerBuoy equipped with Merrows in the Midde East. We had previously announced our selection as a preferred supplier for our Merrows equipped buoys in the region. We believe this order for a solar and wind powered system highlights our ability to provide carbon free, renewable Merrows platforms in most all marine environments across the globe. Offering field tested technology solutions as complementary building blocks makes it possible for our customers to integrate WAM-Vs and PowerBuoys into their operations and to put configurable ocean intelligence into their hands.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-3711575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-8255</wp:posOffset>
            </wp:positionV>
            <wp:extent cx="67208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signing of a reseller agreement with Survey Equipment Services, Inc. (“SES”), a specialist in the supply of Marine Survey and Navigation equipment. The agreement focuses on the provision of our WAM-Vs in the USA. This agreement allows us to leverage SES’s offering of survey and navigation equipment and deploy WAM-V’s to SES’s customer base.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a partnership with Unique Group (“Unique”), a UAE headquartered global innovator in subsea technologies and engineering, offering multiple products and services to customers in a range of industry sectors. Unique has more than 600 employees and 20 operational bases around the world. Unique Group will collaborate with OPT to deploy our WAM-V in the UAE and other countries in the Gulf Collaboration Council (“GCC”) region. Integrating our commercially available vehicles with Unique’s leading position in the offshore energy industry in the UAE will accelerate the adoption of USVs in the region. Working with Unique Group will further facilitate our efforts to deploy USVs globally.</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announced the signing of an OEM agreement with Teledyne Marine, a division of Teledyne Technologies Inc. (NYSE: TDY) (“Teledyne”), a key supplier in the maritime technology inclusive of connectors, instruments, and vehicles. This strategic partnership aims to enhance our product offerings and drive innovation within the industry providing customers with a turnkey system. This agreement allows us to leverage Teledyne’s best-in-class offerings to deliver superior sensor and ocean technology products to our customers.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announced we launched our Global 24/7 Service Support (“Services”). We were already servicing its Artificial Intelligence Capable Maritime Domain Awareness Solution, Merrows, in regions such as Latin America and Sub-Saharan Africa. The new Services offering gives customers the opportunity for 24/7 support with tiered options to maintain operations around the globe. This new Services offering enables our customers to choose from a menu of options and determine the most cost-effective way to operate our PowerBuoys and USVs.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transitioning our focus from our third-party software company to our internal software team, allowing us to have faster response to customer needs and more significant control over our MDAS solution. In addition, our internal software team will be supporting a more integrated solution between the PB and WAM-V products, moving the Merrows initiative forward. The platform will continue to have a flexible architecture that allows the Company to integrate new sensor technologies and third-party analytics capabilities and share MDAS data with customers and partners. We also keep in contact with several offshore specialists and marine operations partners globally to support our deployment, maintenance, and recovery operations and projects.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six months of fiscal 2024, we have continued to advance our marketing programs, products, and solutions (including Merrows noted above). We intend to build on these efforts by introducing additional processes and making investments in appropriate human capital, operations, and manufacturing capabilities. In support of our focus on the national security and defense markets, we have developed a defense specific sales team, including veterans from the U.S. Navy and Swedish Navy.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demonstration projects have been a requisite step towards broad solution deployment and revenue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access to WAM-Vs® assets for demonstrations and has successfully demonstrated the capabilities of many of its solutions on its own or in customer-sponsored evaluation projects and remains focused on further demonstrations to build customer awareness and confidence in our products and services and ultimately to drive revenue.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refine NextGen PB and WAM-V® products for use in offshore power, data acquisition, and real-time data communications applications, and to achieve this goal, we are pursuing the following business objectives:</w:t>
      </w:r>
    </w:p>
    <w:p>
      <w:pPr>
        <w:spacing w:after="0" w:line="180" w:lineRule="exact"/>
        <w:rPr>
          <w:sz w:val="20"/>
          <w:szCs w:val="20"/>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turn-key solutions, purchases or leases. We believe our DaaS, RaaS and PaaS solutions, together with our platforms, are well suited to enable unmanned, autonomous (non-grid connected) offshore applications, such as intelligence, surveillance, and reconnaissance (ISR), mine counter measure operations,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 as well as Counter Unmanned Underwater Vehicle (“CUUV”) WAM-V ® capability. CUUV represents emerging technologies designed to detect, track, and neutralize unmanned underwater vehicles and is an important area of growth in ensuring maritime security. Recent demonstrations successfully showcased the ability to detect multiple underwater threats, including singular and swarming micro–AUV.</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WAM-Vs® on the defense and security, hydrographic survey, and surveillance industries. We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sales efforts on key global markets in the U.S., Middle East, Latin America, and Sub-Saharan Africa.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the geographic diversity of our customers and strengthen our dialogue with our solution partners located on both the east and west coasts of the U.S.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survey and security market applications. Through our WAM-V® products, we can increase our ability to lease vehicles specifically to support shoreline and offshore survey markets as well as security applications while integrating MDA into these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October 31, 2024, the Company incurred a net loss of approximately $8.4 million and used cash in operations of approximately $10.9 million. In addition, the Company has continued to make investments to build inventory, support order backlog and future growth.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As of October 31, 2024, the Company had received proceeds of approximately $8.0 million under this facility and an additional $2.0 million between October 31, 2024 and December 13,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$0.001 per share (the “Common Stock”), for aggregate gross proceeds of $1.5 million, before deducting offering expenses payable by the Company. The First RDO Shares were issued upon issuance of a funding notice by the Company to the investor. The First RDO Shares were issued at a price per share equal to 80% of the lowest traded price of the Common Stock ten days prior to the closing date for the purchase of the shares. In addition, the Company has the right, but not the obligation, to sell to this investor up to an additional $3.5 million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RDO Purchase Agreement contained customary representations, warranties and agreements by the Company and customary conditions for closing. Pursuant to the First RDO Purchase Agreement, the Company also agreed to indemnify the purchaser against certain liabilities, including liabilities under the Securities Act and liabilities arising from breaches of representations and warranties contained therein. The First RDO Purchase Agreement also included a covenant on the investor to vote their shares of common stock in favor of all Company director nominees and other proxy proposals, but only for so long as the investor owns more than 5% of the outstanding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can use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$1.5 million, before deducting offering expenses payable by the Company. The Second RDO Shares were issued upon issuance of a funding notice by the Company to the investor. The Second RDO Shares were issued at a price per share equal to 80% of the lowest traded price of the Common Stock five days prior to the closing date for the purchase of the shares. In addition, the Company has the right, but not the obligation, to sell to this investor up to an additional $2.5 million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RDO Purchase Agreement contains customary representations, warranties and agreements by the Company and customary conditions to closing. Pursuant to the Second RDO Purchase Agreement, the Company also agreed to indemnify the purchaser against certain liabilities, including liabilities under the Securities Act and liabilities arising from breaches of representations and warranties contained therein. The Second RDO Purchase Agreement also included a covenant on the investor to vote their shares of common stock in favor of all Company director nominees and other proxy proposals, but only for so long as the investor owns more than 5% of the outstanding stock.</w:t>
      </w:r>
    </w:p>
    <w:p>
      <w:pPr>
        <w:sectPr>
          <w:pgSz w:w="11900" w:h="16878" w:orient="portrait"/>
          <w:cols w:equalWidth="0" w:num="1">
            <w:col w:w="11240"/>
          </w:cols>
          <w:pgMar w:left="320" w:top="229" w:right="339" w:bottom="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used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current cash balance may not be sufficient to fund its planned expenditures through December 2025.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2024, the Company’s backlog was $3.8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policy requires significant judgment and estimates by us in the preparation of our consolidated financial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2024. There were no material changes to our critical accounting estimates or accounting policies during the three and six months ended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October 31,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six-month period ended October 31, 2024, the Company recognized approximately $3.6 million in revenue related to performance obligations satisfied at a point in time and approximately $0.1 million in revenue related to performance obligations satisfied over time. During the three month period ended October 31, 2024, the Company recognized approximately $2.3 million in revenue related to performance obligations satisfied at a point in time and approximately $0.1 million in revenue related to performance obligations satisfied over time.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three- and six-month period ended October 31, 2024 and 2023, the majority of the Company’s contracts were classified as firm fixed-price and the balance were cost-sharing.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guidance was effective for the Company on May 1, 2024. The Company expects to provide incremental qualitative segment-related disclosures beginning with the Company’s Annual Report on Form 10-K for the fiscal year ended April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efforts in key global markets in North America, South America, Europe and Asia. The following table shows the percentage of our revenues by geographical location of our customers for the three and six months ended October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r>
      <w:tr>
        <w:trPr>
          <w:trHeight w:val="223"/>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4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&amp; South America</w:t>
            </w:r>
          </w:p>
        </w:tc>
        <w:tc>
          <w:tcPr>
            <w:tcW w:w="1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1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1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EMEA</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&amp; Australia</w:t>
            </w:r>
          </w:p>
        </w:tc>
        <w:tc>
          <w:tcPr>
            <w:tcW w:w="1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U.S. Government contracts, the revenue is classified as North American however, location of operations may differ.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the process of winding down its Australian subsidiary during fiscal 2024. The Company began the process of winding down its UK subsidiary during fiscal 2024 and expects this to be completed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2024 compared to the three months ended October 31,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October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8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2,418</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401</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4,710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7,995</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October 31, 2024 and 2023 were approximately $2.4 million and $0.9 million, respectively. The year-over-year increase primarily reflects higher levels of revenue stemming from the sales and leases of WAM-Vs.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October 31, 2024 and 2023 increased to $1.6 million from $0.4 million, respectively. The year-over-year increase is related primarily to a revenue increase, partially offset by changes in product mix, with the current year’s quarterly revenue containing a larger amount of third-party equipment, and associated lower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change in fair value of contingent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from change in fair value of contingent consideration for the three months ended October 31, 2024 and 2023 was zero and a $23,000 decrease in the liabilities value, respectively. The prior year amount was due to changes in actual and forecasted bookings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three months ended October 31, 2024 and 2023 were $4.7 million and $8.0 million, respectively. The decrease of approximately $3.3 million was primarily the result of the significant cost reduction activities we implemented at the end of fiscal 2024 including headcount optimization, material reductions in third party spend, and efforts to tightly control and contain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October 31, 2024 and 2023 was less than $0.1 million and $0.3 million, respectively, with the decrease primarily related to lower investment balances in the current year.</w:t>
      </w:r>
    </w:p>
    <w:p>
      <w:pPr>
        <w:sectPr>
          <w:pgSz w:w="11900" w:h="16838" w:orient="portrait"/>
          <w:cols w:equalWidth="0" w:num="1">
            <w:col w:w="11240"/>
          </w:cols>
          <w:pgMar w:left="320" w:top="229" w:right="339" w:bottom="501"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501"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October 31, 2024 compared to the six months ended October 31, 2023</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six months ended October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8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3,719</w:t>
            </w:r>
          </w:p>
        </w:tc>
        <w:tc>
          <w:tcPr>
            <w:tcW w:w="1240" w:type="dxa"/>
            <w:vAlign w:val="bottom"/>
            <w:gridSpan w:val="2"/>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8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2,477</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9,630</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80" w:type="dxa"/>
            <w:vAlign w:val="bottom"/>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w:t>
            </w:r>
          </w:p>
        </w:tc>
        <w:tc>
          <w:tcPr>
            <w:tcW w:w="1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r>
      <w:tr>
        <w:trPr>
          <w:trHeight w:val="209"/>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8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8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3"/>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20" w:type="dxa"/>
            <w:vAlign w:val="bottom"/>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six months ended October 31, 2024 and 2023 were approximately $3.7 million and $2.2 million, respectively. The year-over-year increase primarily reflects higher levels of revenue stemming from the sales and leases of WAM-Vs.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six months ended October 31, 2024 and 2023 increased to $2.5 million from $1.0 million, respectively. The year-over-year increase is related to an increase in revenue and a change in product mix, with the current year’s quarterly revenue containing a larger amount of third-party equipment, and associated lower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change in fair value of contingent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six months ended October 31, 2024 and 2023 was zero and a $0.1 million decrease in the liabilities value, respectively. The prior year amount was due to changes in actual and forecasted bookings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six months ended October 31, 2024 and 2023 were $9.6 million and $16.1 million, respectively. The decrease of approximately $6.5 million was primarily the result of the significant cost reduction activities we implemented at the end of fiscal 2024 including headcount optimization, material reductions in third party spend, and efforts to tightly control and contain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six months ended October 31, 2024 and 2023 was $0.0 million and $0.6 million, respectively, with the decrease primarily related to lower investment balances in the current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six months ended October 31, 2024 and 2023 was $17 thousand and zero, respectively. The 2024 balance is related to proceeds received from the sale of fixed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$8.4 million and $14.3 million for the six months ended October 31, 2024 and 2023, respectively.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31, 2024, net cash flows used in operating activities was $10.9 million, a decrease of $4.6 million compared to net cash used in operating activities during the six months ended October 31, 2023 of $15.5 million. This primarily reflects a decrease in the net loss, of $5.7 million, partially offset timing of payments of trade payables.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October 31, 2024 was ($128,000), compared to $11.9 million cash provided by investing activities during the six months ended October 31, 2023, a change of 12.0 million. The net cash of ($128,000) million used in investing activities during the six months ended October 31, 2024 was due to the purchase of property, plant and equipment.</w:t>
      </w:r>
    </w:p>
    <w:p>
      <w:pPr>
        <w:sectPr>
          <w:pgSz w:w="11900" w:h="16838" w:orient="portrait"/>
          <w:cols w:equalWidth="0" w:num="1">
            <w:col w:w="11240"/>
          </w:cols>
          <w:pgMar w:left="320" w:top="229" w:right="339"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financing activities during the six months ended October 31, 2024 and October 31, 2023 was $10.0 million and $27,000,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quarter activity was driven by the issuance of common stock under the Company’s At the Market Facility discussed above under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effect of exchange rates on cash and cash equivalents during the six months ended October 31, 2024 and October 31,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As of October 31, 2024, our year-to-date revenues were $3.7 million, our year-to-date net losses were $8.4 million, and our year-to-date net cash used in operating activities was $10.9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devote substantial resources to expand our sales, marketing and manufacturing programs associated with the continued commercialization of our products. Our future capital requirements will depend on several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import, export, ITAR, anti-bribery and related statutes and regulations;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Russia’s invasion of Ukraine, the Israel/Palestine conflict and recent attacks on merchant ships in the Red Sea;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through October 31, 2024, we have been funding our business principally through sales of our securities. As of October 31, 2024, our cash and cash equivalents and long-term restricted cash balance was $2.2 million and we expect to fund our business with this amount and, to a lesser extent, with our cash flow generated from operations. Management believes the Company’s current cash and cash equivalents, and long-term restricted cash, may not be sufficient to fund its planned expenditures through December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2024 (the “2024 10-K”).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described in </w:t>
      </w:r>
      <w:r>
        <w:rPr>
          <w:rFonts w:ascii="Times New Roman" w:cs="Times New Roman" w:eastAsia="Times New Roman" w:hAnsi="Times New Roman"/>
          <w:sz w:val="18"/>
          <w:szCs w:val="18"/>
          <w:i w:val="1"/>
          <w:iCs w:val="1"/>
          <w:color w:val="auto"/>
        </w:rPr>
        <w:t>Part II – Item 9A – Controls and Procedures</w:t>
      </w:r>
      <w:r>
        <w:rPr>
          <w:rFonts w:ascii="Times New Roman" w:cs="Times New Roman" w:eastAsia="Times New Roman" w:hAnsi="Times New Roman"/>
          <w:sz w:val="18"/>
          <w:szCs w:val="18"/>
          <w:color w:val="auto"/>
        </w:rPr>
        <w:t xml:space="preserve"> of the 2024 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 Please see below for the remediation actions taken by management.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trained our employees to reinforce the importance of a strong control environment and communicated expectations to emphasize responsibilities and the technical requirements for controls, and to set the appropriate expectations on internal controls.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established a business process control remediation plan, which included frequent communications between our Audit Committee and senior management regarding the progression of remediation of our financial reporting and internal control environment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establishing IT General Controls and investing in people and technology to address gaps in IT Systems Security controls. In addition, there is now a formal process for System and Organization Controls (“SOC”) Report reviews and templates that are being performed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engaged third-party consultants to assist with process mapping and internal control design.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has been made against management’s plan to remediate these material weaknesses, but for Management to consider a material weakness remediated, the related controls are required to function as anticipated for a minimum period which varies based upon the specified control. As part of its remediation plan, management will put mitigating controls in place to minimize risk associated with any open material weaknesses.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described in the 2024 10-K, the Company reviewed the design of its controls and began remediation activities to alleviate the noted control deficiencies. Other than these items, there was no change in the Company’s internal control over financial reporting that occurred during the quarter ended July 31, 2024, that has materially affected, or is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matters in dispute, see Note 14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2024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25,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$8.4 million during the first six months of fiscal year 2025 and $14.3 million during the same six-month period in fiscal year 2024. As of October 31, 2024, we had an accumulated deficit of $316.9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encounter seasonality and revenue variability due to the markets and customers we serve which may impact our ability to attain forecasted revenue, earnings and cash flow targets consistently on a quarterly basis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continue to grow and scale, we anticipate some quarterly variability in both bookings and revenue recognition going forward. This is a natural outcome of our business model, which involves securing large, complex contracts that may span multiple quarters before revenue is fully recognized. We believe this variability will continue to be offset by our existing “as a Service” solutions that provide recurring revenue, but there may be quarters in our business where this cannot be the case. Our focus remains on long-term execution, delivering on our commitments, and driving sustained value creation. By maintaining this disciplined approach, we believe we will successfully navigate these natural variances as we scale, but there can be no assurance that this will be the case consistently on a quarterly basis. In turn, our ability to attain forecasted revenue, earnings and cash flow target</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 xml:space="preserve"> could be negatively impacted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10.1</w:t>
            </w:r>
          </w:p>
        </w:tc>
        <w:tc>
          <w:tcPr>
            <w:tcW w:w="640" w:type="dxa"/>
            <w:vAlign w:val="bottom"/>
          </w:tcPr>
          <w:p>
            <w:pPr>
              <w:spacing w:after="0"/>
              <w:rPr>
                <w:sz w:val="17"/>
                <w:szCs w:val="17"/>
                <w:color w:val="auto"/>
              </w:rPr>
            </w:pPr>
          </w:p>
        </w:tc>
        <w:tc>
          <w:tcPr>
            <w:tcW w:w="9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Amended and Restated Common Stock Purchase Agreement, dated as of September 19, 2024 (incorporated by reference to</w:t>
              </w:r>
            </w:hyperlink>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Exhibit 10.1 to the Company’s Current Report on Form 8-K filed on September 20, 2024.</w:t>
              </w:r>
            </w:hyperlink>
          </w:p>
        </w:tc>
        <w:tc>
          <w:tcPr>
            <w:tcW w:w="3480" w:type="dxa"/>
            <w:vAlign w:val="bottom"/>
            <w:gridSpan w:val="3"/>
          </w:tcPr>
          <w:p>
            <w:pPr>
              <w:spacing w:after="0"/>
              <w:rPr>
                <w:sz w:val="17"/>
                <w:szCs w:val="17"/>
                <w:color w:val="auto"/>
              </w:rPr>
            </w:pPr>
          </w:p>
        </w:tc>
      </w:tr>
      <w:tr>
        <w:trPr>
          <w:trHeight w:val="412"/>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10.2</w:t>
            </w:r>
          </w:p>
        </w:tc>
        <w:tc>
          <w:tcPr>
            <w:tcW w:w="640" w:type="dxa"/>
            <w:vAlign w:val="bottom"/>
          </w:tcPr>
          <w:p>
            <w:pPr>
              <w:spacing w:after="0"/>
              <w:rPr>
                <w:sz w:val="24"/>
                <w:szCs w:val="24"/>
                <w:color w:val="auto"/>
              </w:rPr>
            </w:pPr>
          </w:p>
        </w:tc>
        <w:tc>
          <w:tcPr>
            <w:tcW w:w="99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Securities Purchase Agreement, dated as of September 13, 2024 (incorporated by reference to Exhibit 10.2 to the Company’s</w:t>
              </w:r>
            </w:hyperlink>
          </w:p>
        </w:tc>
      </w:tr>
      <w:tr>
        <w:trPr>
          <w:trHeight w:val="196"/>
        </w:trPr>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Quarterly Report on Form 10-Q filed on September 16, 2024).</w:t>
              </w:r>
            </w:hyperlink>
          </w:p>
        </w:tc>
        <w:tc>
          <w:tcPr>
            <w:tcW w:w="5440" w:type="dxa"/>
            <w:vAlign w:val="bottom"/>
            <w:gridSpan w:val="4"/>
          </w:tcPr>
          <w:p>
            <w:pPr>
              <w:spacing w:after="0"/>
              <w:rPr>
                <w:sz w:val="17"/>
                <w:szCs w:val="17"/>
                <w:color w:val="auto"/>
              </w:rPr>
            </w:pPr>
          </w:p>
        </w:tc>
      </w:tr>
      <w:tr>
        <w:trPr>
          <w:trHeight w:val="412"/>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31.1</w:t>
            </w:r>
          </w:p>
        </w:tc>
        <w:tc>
          <w:tcPr>
            <w:tcW w:w="640" w:type="dxa"/>
            <w:vAlign w:val="bottom"/>
          </w:tcPr>
          <w:p>
            <w:pPr>
              <w:spacing w:after="0"/>
              <w:rPr>
                <w:sz w:val="24"/>
                <w:szCs w:val="24"/>
                <w:color w:val="auto"/>
              </w:rPr>
            </w:pP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12"/>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31.2</w:t>
            </w:r>
          </w:p>
        </w:tc>
        <w:tc>
          <w:tcPr>
            <w:tcW w:w="640" w:type="dxa"/>
            <w:vAlign w:val="bottom"/>
          </w:tcPr>
          <w:p>
            <w:pPr>
              <w:spacing w:after="0"/>
              <w:rPr>
                <w:sz w:val="24"/>
                <w:szCs w:val="24"/>
                <w:color w:val="auto"/>
              </w:rPr>
            </w:pPr>
          </w:p>
        </w:tc>
        <w:tc>
          <w:tcPr>
            <w:tcW w:w="71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r>
      <w:tr>
        <w:trPr>
          <w:trHeight w:val="412"/>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32.1</w:t>
            </w:r>
          </w:p>
        </w:tc>
        <w:tc>
          <w:tcPr>
            <w:tcW w:w="105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80" w:type="dxa"/>
            <w:vAlign w:val="bottom"/>
            <w:gridSpan w:val="4"/>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12"/>
        </w:trPr>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5"/>
              </w:rPr>
              <w:t>32.2</w:t>
            </w:r>
          </w:p>
        </w:tc>
        <w:tc>
          <w:tcPr>
            <w:tcW w:w="105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300" w:hanging="1292"/>
        <w:spacing w:after="0" w:line="255"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October 31, 2024, formatted in eXtensible Business Reporting Language (XBRL): (i) Consolidated Balance Sheets – October 31, 2024 (unaudited) and April 30, 2024, (ii) Consolidated Statements of Operations (unaudited) – three and three months ended October 31, 2024 and 2023, (iii) Consolidated Statements of Comprehensive Loss (unaudited) – three and three months ended October 31, 2024 and 2021,</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5" w:lineRule="auto"/>
        <w:tabs>
          <w:tab w:leader="none" w:pos="1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 of Shareholders’ Equity (unaudited) – three and three months ended October 31, 2024 and 2023 (v) Consolidated Statements of Cash Flows (unaudited) –three months ended October 31, 2024 and 2023, (vi) Notes to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300" w:hanging="129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3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1300" w:hanging="320"/>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Ocean Power Technologies, Inc.</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7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(Registrant)</w:t>
            </w:r>
          </w:p>
        </w:tc>
        <w:tc>
          <w:tcPr>
            <w:tcW w:w="0" w:type="dxa"/>
            <w:vAlign w:val="bottom"/>
          </w:tcPr>
          <w:p>
            <w:pPr>
              <w:spacing w:after="0"/>
              <w:rPr>
                <w:sz w:val="1"/>
                <w:szCs w:val="1"/>
                <w:color w:val="auto"/>
              </w:rPr>
            </w:pPr>
          </w:p>
        </w:tc>
      </w:tr>
      <w:tr>
        <w:trPr>
          <w:trHeight w:val="44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2024</w:t>
            </w:r>
          </w:p>
        </w:tc>
        <w:tc>
          <w:tcPr>
            <w:tcW w:w="194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Philipp Stratmann</w:t>
            </w: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44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2024</w:t>
            </w:r>
          </w:p>
        </w:tc>
        <w:tc>
          <w:tcPr>
            <w:tcW w:w="194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Robert Powers</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Robert Powers</w:t>
            </w:r>
          </w:p>
        </w:tc>
        <w:tc>
          <w:tcPr>
            <w:tcW w:w="0" w:type="dxa"/>
            <w:vAlign w:val="bottom"/>
          </w:tcPr>
          <w:p>
            <w:pPr>
              <w:spacing w:after="0"/>
              <w:rPr>
                <w:sz w:val="1"/>
                <w:szCs w:val="1"/>
                <w:color w:val="auto"/>
              </w:rPr>
            </w:pPr>
          </w:p>
        </w:tc>
      </w:tr>
      <w:tr>
        <w:trPr>
          <w:trHeight w:val="236"/>
        </w:trPr>
        <w:tc>
          <w:tcPr>
            <w:tcW w:w="3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32"/>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2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2024</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2024</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2024,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7" w:lineRule="auto"/>
        <w:tabs>
          <w:tab w:leader="none" w:pos="3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16,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October 31, 2024,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7" w:lineRule="auto"/>
        <w:tabs>
          <w:tab w:leader="none" w:pos="3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December 16,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2"/>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01"/>
    </w:lvl>
    <w:lvl w:ilvl="1">
      <w:lvlJc w:val="left"/>
      <w:lvlText w:val="(%2)"/>
      <w:numFmt w:val="lowerRoman"/>
      <w:start w:val="4"/>
    </w:lvl>
  </w:abstractNum>
  <w:abstractNum w:abstractNumId="13">
    <w:nsid w:val="333AB105"/>
    <w:multiLevelType w:val="hybridMultilevel"/>
    <w:lvl w:ilvl="0">
      <w:lvlJc w:val="left"/>
      <w:lvlText w:val="%1"/>
      <w:numFmt w:val="decimal"/>
      <w:start w:val="104"/>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bullet"/>
      <w:start w:val="1"/>
    </w:lvl>
  </w:abstractNum>
  <w:abstractNum w:abstractNumId="21">
    <w:nsid w:val="4353D0CD"/>
    <w:multiLevelType w:val="hybridMultilevel"/>
    <w:lvl w:ilvl="0">
      <w:lvlJc w:val="left"/>
      <w:lvlText w:val="2"/>
      <w:numFmt w:val="bullet"/>
      <w:start w:val="1"/>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5"/>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7" Type="http://schemas.openxmlformats.org/officeDocument/2006/relationships/hyperlink" Target="https://www.sec.gov/Archives/edgar/data/1378140/000149315224037590/ex10-1.htm" TargetMode="External"/><Relationship Id="rId68" Type="http://schemas.openxmlformats.org/officeDocument/2006/relationships/hyperlink" Target="https://www.sec.gov/Archives/edgar/data/1378140/000149315224036423/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2024-12-16T15:26:24Z</dcterms:created>
  <dcterms:modified xsi:type="dcterms:W3CDTF">2024-12-16T15:26:24Z</dcterms:modified>
</cp:coreProperties>
</file>