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20549</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252" w:lineRule="exact"/>
        <w:rPr>
          <w:sz w:val="24"/>
          <w:szCs w:val="24"/>
          <w:color w:val="auto"/>
        </w:rPr>
      </w:pPr>
    </w:p>
    <w:p>
      <w:pPr>
        <w:ind w:left="1500" w:right="1180" w:hanging="776"/>
        <w:spacing w:after="0" w:line="261" w:lineRule="auto"/>
        <w:tabs>
          <w:tab w:leader="none" w:pos="1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April 30, 2014</w:t>
      </w: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1500" w:hanging="776"/>
        <w:spacing w:after="0"/>
        <w:tabs>
          <w:tab w:leader="none" w:pos="1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1500"/>
        <w:spacing w:after="0"/>
        <w:tabs>
          <w:tab w:leader="none" w:pos="4260" w:val="left"/>
          <w:tab w:leader="none" w:pos="4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001-33417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17145</wp:posOffset>
            </wp:positionV>
            <wp:extent cx="180086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2440"/>
        <w:spacing w:after="0"/>
        <w:tabs>
          <w:tab w:leader="none" w:pos="81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22-2535818</w:t>
      </w:r>
    </w:p>
    <w:p>
      <w:pPr>
        <w:spacing w:after="0" w:line="27" w:lineRule="exact"/>
        <w:rPr>
          <w:sz w:val="24"/>
          <w:szCs w:val="24"/>
          <w:color w:val="auto"/>
        </w:rPr>
      </w:pPr>
    </w:p>
    <w:p>
      <w:pPr>
        <w:ind w:left="620"/>
        <w:spacing w:after="0"/>
        <w:tabs>
          <w:tab w:leader="none" w:pos="7320" w:val="left"/>
        </w:tabs>
        <w:rPr>
          <w:sz w:val="20"/>
          <w:szCs w:val="20"/>
          <w:color w:val="auto"/>
        </w:rPr>
      </w:pPr>
      <w:r>
        <w:rPr>
          <w:rFonts w:ascii="Arial" w:cs="Arial" w:eastAsia="Arial" w:hAnsi="Arial"/>
          <w:sz w:val="18"/>
          <w:szCs w:val="18"/>
          <w:i w:val="1"/>
          <w:iCs w:val="1"/>
          <w:color w:val="auto"/>
        </w:rPr>
        <w:t>(State or other jurisdiction of incorporation or organization)</w:t>
      </w:r>
      <w:r>
        <w:rPr>
          <w:sz w:val="20"/>
          <w:szCs w:val="20"/>
          <w:color w:val="auto"/>
        </w:rPr>
        <w:tab/>
      </w:r>
      <w:r>
        <w:rPr>
          <w:rFonts w:ascii="Arial" w:cs="Arial" w:eastAsia="Arial" w:hAnsi="Arial"/>
          <w:sz w:val="16"/>
          <w:szCs w:val="16"/>
          <w:i w:val="1"/>
          <w:iCs w:val="1"/>
          <w:color w:val="auto"/>
        </w:rPr>
        <w:t>(I.R.S. Employer Identification No.)</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1590 REED ROAD</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PENNINGTON, NJ 08534</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2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(609) 730-0400</w:t>
      </w:r>
    </w:p>
    <w:p>
      <w:pPr>
        <w:spacing w:after="0" w:line="239"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9" w:lineRule="exact"/>
        <w:rPr>
          <w:sz w:val="24"/>
          <w:szCs w:val="24"/>
          <w:color w:val="auto"/>
        </w:rPr>
      </w:pPr>
    </w:p>
    <w:p>
      <w:pPr>
        <w:ind w:left="2140"/>
        <w:spacing w:after="0"/>
        <w:tabs>
          <w:tab w:leader="none" w:pos="706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Name of Exchange on Which Registered</w:t>
      </w:r>
    </w:p>
    <w:p>
      <w:pPr>
        <w:sectPr>
          <w:pgSz w:w="11900" w:h="16838" w:orient="portrait"/>
          <w:cols w:equalWidth="0" w:num="1">
            <w:col w:w="11460"/>
          </w:cols>
          <w:pgMar w:left="240" w:top="895" w:right="199" w:bottom="1440" w:gutter="0" w:footer="0" w:header="0"/>
        </w:sectPr>
      </w:pPr>
    </w:p>
    <w:p>
      <w:pPr>
        <w:spacing w:after="0" w:line="229"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Common Stock, par value $0.001</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The Nasdaq Global Market</w:t>
      </w:r>
    </w:p>
    <w:p>
      <w:pPr>
        <w:spacing w:after="0" w:line="200" w:lineRule="exact"/>
        <w:rPr>
          <w:sz w:val="24"/>
          <w:szCs w:val="24"/>
          <w:color w:val="auto"/>
        </w:rPr>
      </w:pPr>
    </w:p>
    <w:p>
      <w:pPr>
        <w:sectPr>
          <w:pgSz w:w="11900" w:h="16838" w:orient="portrait"/>
          <w:cols w:equalWidth="0" w:num="2">
            <w:col w:w="6920" w:space="720"/>
            <w:col w:w="3820"/>
          </w:cols>
          <w:pgMar w:left="240" w:top="895" w:right="199" w:bottom="1440" w:gutter="0" w:footer="0" w:header="0"/>
          <w:type w:val="continuous"/>
        </w:sectPr>
      </w:pP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60"/>
          </w:cols>
          <w:pgMar w:left="240" w:top="895" w:right="199" w:bottom="1440" w:gutter="0" w:footer="0" w:header="0"/>
          <w:type w:val="continuous"/>
        </w:sectPr>
      </w:pPr>
    </w:p>
    <w:p>
      <w:pPr>
        <w:spacing w:after="0" w:line="1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000" w:space="240"/>
            <w:col w:w="2220"/>
          </w:cols>
          <w:pgMar w:left="240" w:top="895" w:right="19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80" w:space="220"/>
            <w:col w:w="2060"/>
          </w:cols>
          <w:pgMar w:left="240" w:top="895" w:right="199" w:bottom="1440" w:gutter="0" w:footer="0" w:header="0"/>
          <w:type w:val="continuous"/>
        </w:sectPr>
      </w:pPr>
    </w:p>
    <w:p>
      <w:pPr>
        <w:spacing w:after="0" w:line="94"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7"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7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920" w:type="dxa"/>
            <w:vAlign w:val="bottom"/>
          </w:tcPr>
          <w:p>
            <w:pPr>
              <w:ind w:left="8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20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20" w:type="dxa"/>
            <w:vAlign w:val="bottom"/>
          </w:tcPr>
          <w:p>
            <w:pPr>
              <w:ind w:left="40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r>
      <w:tr>
        <w:trPr>
          <w:trHeight w:val="230"/>
        </w:trPr>
        <w:tc>
          <w:tcPr>
            <w:tcW w:w="2720" w:type="dxa"/>
            <w:vAlign w:val="bottom"/>
          </w:tcPr>
          <w:p>
            <w:pPr>
              <w:spacing w:after="0"/>
              <w:rPr>
                <w:sz w:val="20"/>
                <w:szCs w:val="20"/>
                <w:color w:val="auto"/>
              </w:rPr>
            </w:pPr>
          </w:p>
        </w:tc>
        <w:tc>
          <w:tcPr>
            <w:tcW w:w="6120" w:type="dxa"/>
            <w:vAlign w:val="bottom"/>
            <w:gridSpan w:val="2"/>
          </w:tcPr>
          <w:p>
            <w:pPr>
              <w:ind w:left="1320"/>
              <w:spacing w:after="0"/>
              <w:rPr>
                <w:sz w:val="20"/>
                <w:szCs w:val="20"/>
                <w:color w:val="auto"/>
              </w:rPr>
            </w:pPr>
            <w:r>
              <w:rPr>
                <w:rFonts w:ascii="Arial" w:cs="Arial" w:eastAsia="Arial" w:hAnsi="Arial"/>
                <w:sz w:val="18"/>
                <w:szCs w:val="18"/>
                <w:color w:val="auto"/>
              </w:rPr>
              <w:t>(Do not check if a smaller reporting company)</w:t>
            </w:r>
          </w:p>
        </w:tc>
        <w:tc>
          <w:tcPr>
            <w:tcW w:w="2620" w:type="dxa"/>
            <w:vAlign w:val="bottom"/>
          </w:tcPr>
          <w:p>
            <w:pPr>
              <w:spacing w:after="0"/>
              <w:rPr>
                <w:sz w:val="20"/>
                <w:szCs w:val="20"/>
                <w:color w:val="auto"/>
              </w:rPr>
            </w:pPr>
          </w:p>
        </w:tc>
      </w:tr>
      <w:tr>
        <w:trPr>
          <w:trHeight w:val="466"/>
        </w:trPr>
        <w:tc>
          <w:tcPr>
            <w:tcW w:w="8840" w:type="dxa"/>
            <w:vAlign w:val="bottom"/>
            <w:gridSpan w:val="3"/>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26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760"/>
        </w:trPr>
        <w:tc>
          <w:tcPr>
            <w:tcW w:w="2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61"/>
        </w:trPr>
        <w:tc>
          <w:tcPr>
            <w:tcW w:w="2720" w:type="dxa"/>
            <w:vAlign w:val="bottom"/>
            <w:shd w:val="clear" w:color="auto" w:fill="808080"/>
          </w:tcPr>
          <w:p>
            <w:pPr>
              <w:spacing w:after="0"/>
              <w:rPr>
                <w:sz w:val="5"/>
                <w:szCs w:val="5"/>
                <w:color w:val="auto"/>
              </w:rPr>
            </w:pPr>
          </w:p>
        </w:tc>
        <w:tc>
          <w:tcPr>
            <w:tcW w:w="2920" w:type="dxa"/>
            <w:vAlign w:val="bottom"/>
            <w:shd w:val="clear" w:color="auto" w:fill="808080"/>
          </w:tcPr>
          <w:p>
            <w:pPr>
              <w:spacing w:after="0"/>
              <w:rPr>
                <w:sz w:val="5"/>
                <w:szCs w:val="5"/>
                <w:color w:val="auto"/>
              </w:rPr>
            </w:pPr>
          </w:p>
        </w:tc>
        <w:tc>
          <w:tcPr>
            <w:tcW w:w="320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95" w:right="199" w:bottom="1440" w:gutter="0" w:footer="0" w:header="0"/>
          <w:type w:val="continuous"/>
        </w:sectPr>
      </w:pPr>
    </w:p>
    <w:bookmarkStart w:id="1" w:name="page2"/>
    <w:bookmarkEnd w:id="1"/>
    <w:p>
      <w:pPr>
        <w:ind w:right="80"/>
        <w:spacing w:after="0" w:line="264"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2013, the last business day of the registrant's most recently completed second fiscal quarter, was $25.9 million based on the closing sale price of the registrant's common stock on that date as reported on the Nasdaq Global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June 30, 2014 was 17,545,599.</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our Proxy Statement for the 2014 Annual Meeting of Stockholders, to be filed within 120 days of April 30, 2014, are incorporated by reference in Part III. Such Proxy Statement, except for the parts therein which have been specifically incorporated by reference, shall not be deemed “filed” for the purposes of this Annual Report or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OCEAN POWER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96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0"/>
        </w:trPr>
        <w:tc>
          <w:tcPr>
            <w:tcW w:w="90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960" w:type="dxa"/>
            <w:vAlign w:val="bottom"/>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tcPr>
          <w:p>
            <w:pPr>
              <w:ind w:left="260"/>
              <w:spacing w:after="0"/>
              <w:rPr>
                <w:sz w:val="20"/>
                <w:szCs w:val="20"/>
                <w:color w:val="auto"/>
              </w:rPr>
            </w:pPr>
            <w:r>
              <w:rPr>
                <w:rFonts w:ascii="Arial" w:cs="Arial" w:eastAsia="Arial" w:hAnsi="Arial"/>
                <w:sz w:val="18"/>
                <w:szCs w:val="18"/>
                <w:color w:val="auto"/>
              </w:rPr>
              <w:t>Business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960" w:type="dxa"/>
            <w:vAlign w:val="bottom"/>
          </w:tcPr>
          <w:p>
            <w:pPr>
              <w:ind w:left="260"/>
              <w:spacing w:after="0"/>
              <w:rPr>
                <w:sz w:val="20"/>
                <w:szCs w:val="20"/>
                <w:color w:val="auto"/>
              </w:rPr>
            </w:pPr>
            <w:r>
              <w:rPr>
                <w:rFonts w:ascii="Arial" w:cs="Arial" w:eastAsia="Arial" w:hAnsi="Arial"/>
                <w:sz w:val="18"/>
                <w:szCs w:val="18"/>
                <w:color w:val="auto"/>
              </w:rPr>
              <w:t>Unresolved Staff Comments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Properties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r>
      <w:tr>
        <w:trPr>
          <w:trHeight w:val="216"/>
        </w:trPr>
        <w:tc>
          <w:tcPr>
            <w:tcW w:w="90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960" w:type="dxa"/>
            <w:vAlign w:val="bottom"/>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rPr>
              <w:t>PART II</w:t>
            </w:r>
          </w:p>
        </w:tc>
        <w:tc>
          <w:tcPr>
            <w:tcW w:w="5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960" w:type="dxa"/>
            <w:vAlign w:val="bottom"/>
          </w:tcPr>
          <w:p>
            <w:pPr>
              <w:ind w:left="2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Selected Financial Data</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996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9960" w:type="dxa"/>
            <w:vAlign w:val="bottom"/>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996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960" w:type="dxa"/>
            <w:vAlign w:val="bottom"/>
            <w:shd w:val="clear" w:color="auto" w:fill="CCEEFF"/>
          </w:tcPr>
          <w:p>
            <w:pPr>
              <w:jc w:val="center"/>
              <w:ind w:right="230"/>
              <w:spacing w:after="0"/>
              <w:rPr>
                <w:sz w:val="20"/>
                <w:szCs w:val="20"/>
                <w:color w:val="auto"/>
              </w:rPr>
            </w:pPr>
            <w:r>
              <w:rPr>
                <w:rFonts w:ascii="Arial" w:cs="Arial" w:eastAsia="Arial" w:hAnsi="Arial"/>
                <w:sz w:val="18"/>
                <w:szCs w:val="18"/>
                <w:b w:val="1"/>
                <w:bCs w:val="1"/>
                <w:color w:val="auto"/>
              </w:rPr>
              <w:t>PART III</w:t>
            </w:r>
          </w:p>
        </w:tc>
        <w:tc>
          <w:tcPr>
            <w:tcW w:w="5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9960" w:type="dxa"/>
            <w:vAlign w:val="bottom"/>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Executive Compensation</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960" w:type="dxa"/>
            <w:vAlign w:val="bottom"/>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9960" w:type="dxa"/>
            <w:vAlign w:val="bottom"/>
          </w:tcPr>
          <w:p>
            <w:pPr>
              <w:ind w:left="26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16"/>
        </w:trPr>
        <w:tc>
          <w:tcPr>
            <w:tcW w:w="90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9960" w:type="dxa"/>
            <w:vAlign w:val="bottom"/>
          </w:tcPr>
          <w:p>
            <w:pPr>
              <w:jc w:val="center"/>
              <w:ind w:right="23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Exhibits, Financial Statement Schedules</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249" w:lineRule="exact"/>
        <w:rPr>
          <w:sz w:val="20"/>
          <w:szCs w:val="20"/>
          <w:color w:val="auto"/>
        </w:rPr>
      </w:pPr>
    </w:p>
    <w:p>
      <w:pPr>
        <w:jc w:val="both"/>
        <w:ind w:firstLine="389"/>
        <w:spacing w:after="0" w:line="183"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The Ocean Power Technologies logo, CellBuoy</w:t>
      </w:r>
      <w:r>
        <w:rPr>
          <w:rFonts w:ascii="Arial" w:cs="Arial" w:eastAsia="Arial" w:hAnsi="Arial"/>
          <w:sz w:val="30"/>
          <w:szCs w:val="30"/>
          <w:color w:val="auto"/>
          <w:vertAlign w:val="superscript"/>
        </w:rPr>
        <w:t>®</w:t>
      </w:r>
      <w:r>
        <w:rPr>
          <w:rFonts w:ascii="Arial" w:cs="Arial" w:eastAsia="Arial" w:hAnsi="Arial"/>
          <w:sz w:val="18"/>
          <w:szCs w:val="18"/>
          <w:color w:val="auto"/>
        </w:rPr>
        <w:t>, Talk on Water</w:t>
      </w:r>
      <w:r>
        <w:rPr>
          <w:rFonts w:ascii="Arial" w:cs="Arial" w:eastAsia="Arial" w:hAnsi="Arial"/>
          <w:sz w:val="30"/>
          <w:szCs w:val="30"/>
          <w:color w:val="auto"/>
          <w:vertAlign w:val="superscript"/>
        </w:rPr>
        <w:t>®</w:t>
      </w:r>
      <w:r>
        <w:rPr>
          <w:rFonts w:ascii="Arial" w:cs="Arial" w:eastAsia="Arial" w:hAnsi="Arial"/>
          <w:sz w:val="18"/>
          <w:szCs w:val="18"/>
          <w:color w:val="auto"/>
        </w:rPr>
        <w:t>, Making Waves in Power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Powertower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are trademarks or service marks of Ocean Power Technologies, Inc. All other trademarks appearing in this annual report are the property of their respective holders.</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78"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3"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fiscal year ends on April 30. References to fiscal 2014 are to the fiscal year ended April 30, 2014.</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9, 2014, Charles F. Dunleavy was terminated as the Chief Executive Officer of the Company and as an employee of the Company and its subsidiaries. His termination was for cause, and Mr. Dunleavy did not receive any severance payments under his employment agreement with the Company. David Keller, who has served as a Non-Executive Director of the Company since October 2013, assumed the position of Interim Chief Executive Officer, effective immediately. Mr. Keller has continued to serve on the board of directors (the “Board”). On July 28, 2014, Mr. Dunleavy resigned from the Board and the boards of directors of the Company’s subsidiaries.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June 9, 2014, the Board appointed a Special Committee, composed of the Interim Chief Executive Officer and two outside directors of the Company, to conduct an internal investigation into the agreement between Victorian Wave Partners Pty Ltd (“VWP”), a project-specific operating entity wholly-owned by the Company’s subsidiary Ocean Power Technologies (Australasia) Pty Ltd (“OPTA”), and the Australian Renewable Energy Agency (“ARENA”), and related public statements concerning the project.</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Special Committee has retained outside counsel to assist in this investigation. Please see our Item 8.01 Form 8-K dated July 29, 2014 for a discussion of initial findings from the investigation to date.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6"/>
          <w:szCs w:val="16"/>
          <w:color w:val="auto"/>
        </w:rPr>
        <w:t>We are developing and are seeking to commercialize proprietary systems that generate electricity by harnessing the renewable energy of ocean waves. Our 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systems use proprietary technologies that convert the mechanical energy created by the rising and falling of ocean waves into electricity. We currently have and continue to develop two prototype PowerBuoy product lines: our utility scale PowerBuoy and our autonomous PowerBuoy. Since fiscal 2002, government agencies have accounted for a significant portion of our revenues. These revenues were largely for the support of our product development efforts. Our goal is that an increased portion of our revenues be from the sale of products and services, as compared to revenue from grants to support our product development efforts. As we continue to advance our proprietary technologies, we expect to have a net use of cash from operating activities unless and until we achieve positive cash flow from the planned commercialization of our products and services.</w:t>
      </w:r>
    </w:p>
    <w:p>
      <w:pPr>
        <w:spacing w:after="0" w:line="18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Our PowerBuoy system is based on modular, ocean-going buoys, which we have been periodically ocean testing since 1997. The rising and falling of the waves moves the buoy-like structure, creating mechanical energy that our proprietary technologies convert into electricity. We have tested and developed wave power generation and control technology in novel applications and have deployed and maintained our systems in the ocean for testing. We are developing PowerBuoy technology that has the unique, patented capability to electronically "tune" its performance as wave characteristics change. We expect this will enable the PowerBuoy to optimize its efficiency and resulting power output in dynamic ocean wave conditions. Our two PowerBuoy prototype products are designed for the following applications:</w:t>
      </w:r>
    </w:p>
    <w:p>
      <w:pPr>
        <w:spacing w:after="0" w:line="193" w:lineRule="exact"/>
        <w:rPr>
          <w:sz w:val="20"/>
          <w:szCs w:val="20"/>
          <w:color w:val="auto"/>
        </w:rPr>
      </w:pPr>
    </w:p>
    <w:p>
      <w:pPr>
        <w:jc w:val="both"/>
        <w:ind w:left="660" w:hanging="328"/>
        <w:spacing w:after="0" w:line="28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utility scale prototype PowerBuoy product is designed to supply electricity to a local or regional electric power grid and/or stand-alone power user. Wave power stations may be comprised of a single PowerBuoy system or an integrated array of PowerBuoy systems, plus the remaining components required to deliver electricity to a power grid or directly to large sources of demand that are not grid-connected. We intend to sell our utility PowerBuoy system to utilities and other electrical power producers seeking to add electricity generated by wave energy to their existing electricity supply as well as to select non-grid power users. In July 2007, our PowerBuoy interface with the electrical utility power grid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utility scale PowerBuoy design (the “150kW PowerBuoy” or “PB150”) structure and mooring system achieved independent certification from Lloyd’s Register. This certification confirmed that the PB150B1 design complies with certain international standards promulgated for floating offshore installations. The Lloyd’s Register (1999 Rules and Regulations for the classification of Floating Offshore Installation at Fixed Locations) process included detailed design analysis and appraisals, addressing the PB150B1 structure, hydrodynamics, mooring and anchoring. This PowerBuoy was deployed off the coast of Scotland from April 2011 through October 2011. While the PowerBuoy did not produce significant or anticipated power during its deployment period, learning from the deployment was incorporated into subsequent PowerBuoy designs. Best practices from the certification have been incorporated into ongoing design improvements.</w:t>
      </w:r>
    </w:p>
    <w:p>
      <w:pPr>
        <w:spacing w:after="0" w:line="177"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autonomous prototype PowerBuoy system is designed to generate power for use independent of an existing power grid in remote locations. In 2011, we deployed and operated off the coast of New Jersey an autonomous prototype PowerBuoy (the “APB-350”), which we designed and manufactured for the US Navy’s Littoral Expeditionary Autonomous PowerBuoy (LEAP) contract for coastal security and maritime surveillance. The prototype APB-350 PowerBuoy structure, incorporating a unique power take-off and onboard system for energy storage and management, is significantly smaller than our utility scale PowerBuoy. With the partial funding from the US Navy, we were able to continue to improve our prototype PowerBuoy system. The prototype APB-350 Autonomous PowerBuoy aims at potentially providing persistent, off-grid clean energy in remote ocean locations. We believe there are a variety of potential applications for this system, including homeland security, offshore oil and gas platforms, aquaculture and ocean-based communication and data gathering such as for tsunami warnings and seismic surveys. Within the Homeland Security market sector, in 2012, we executed a Cooperative Research and Development Agreement, or CRADA, with the U.S. Department of Homeland Security, which utilized the same prototype APB-350 Autonomous PowerBuoy. An additional 2013 deployment provided critical data to inform the next design iteration of the prototype APB-350, which will incorporate major modifications to address critical operations and reliability improvements.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316" w:gutter="0" w:footer="0" w:header="0"/>
        </w:sectPr>
      </w:pPr>
    </w:p>
    <w:bookmarkStart w:id="5" w:name="page6"/>
    <w:bookmarkEnd w:id="5"/>
    <w:p>
      <w:pPr>
        <w:jc w:val="both"/>
        <w:ind w:firstLine="405"/>
        <w:spacing w:after="0" w:line="277" w:lineRule="auto"/>
        <w:rPr>
          <w:sz w:val="20"/>
          <w:szCs w:val="20"/>
          <w:color w:val="auto"/>
        </w:rPr>
      </w:pPr>
      <w:r>
        <w:rPr>
          <w:rFonts w:ascii="Arial" w:cs="Arial" w:eastAsia="Arial" w:hAnsi="Arial"/>
          <w:sz w:val="18"/>
          <w:szCs w:val="18"/>
          <w:color w:val="auto"/>
        </w:rPr>
        <w:t>Our product development and engineering efforts are focused primarily on technologies that aim to increase energy output, reliability and scalability of the design of our PowerBuoy system, with the goal of generating electricity at a competitive levelized cost of energy.</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we achieve economies of scale for our prototype PowerBuoy systems and improve energy conversion efficiencies, we expect them to be able to provide a renewable electricity solution that competes in certain local markets where wave energy resources are very strong, where the current retail price of electricity is relatively high, and/or where sufficient subsidies are available.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2014, we made a decision to discontinue development efforts on an undersea substation pod (“USP”) as it was deemed non-core and commercial products are available in the market from other companies.</w:t>
      </w:r>
    </w:p>
    <w:p>
      <w:pPr>
        <w:spacing w:after="0" w:line="170"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An important element of our business strategy is to expand our partnerships in key market areas. Our current and recent relationships include, but are not limited to, the following:</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Lockheed Martin, with which we have several project teaming agreements and license agreements dating back to 2004.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Mitsui Engineering and Shipbuilding, with which we are working to develop a demonstration PowerBuoy in Japan.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United States Navy and Department of Homeland Security:</w:t>
      </w:r>
    </w:p>
    <w:p>
      <w:pPr>
        <w:spacing w:after="0" w:line="225" w:lineRule="exact"/>
        <w:rPr>
          <w:rFonts w:ascii="Arial" w:cs="Arial" w:eastAsia="Arial" w:hAnsi="Arial"/>
          <w:sz w:val="18"/>
          <w:szCs w:val="18"/>
          <w:color w:val="auto"/>
        </w:rPr>
      </w:pPr>
    </w:p>
    <w:p>
      <w:pPr>
        <w:ind w:left="820" w:hanging="326"/>
        <w:spacing w:after="0" w:line="342" w:lineRule="auto"/>
        <w:tabs>
          <w:tab w:leader="none" w:pos="820" w:val="left"/>
        </w:tabs>
        <w:numPr>
          <w:ilvl w:val="1"/>
          <w:numId w:val="4"/>
        </w:numPr>
        <w:rPr>
          <w:rFonts w:ascii="Arial" w:cs="Arial" w:eastAsia="Arial" w:hAnsi="Arial"/>
          <w:sz w:val="16"/>
          <w:szCs w:val="16"/>
          <w:color w:val="auto"/>
        </w:rPr>
      </w:pPr>
      <w:r>
        <w:rPr>
          <w:rFonts w:ascii="Arial" w:cs="Arial" w:eastAsia="Arial" w:hAnsi="Arial"/>
          <w:sz w:val="16"/>
          <w:szCs w:val="16"/>
          <w:color w:val="auto"/>
        </w:rPr>
        <w:t>From 2009 to 2011, we ocean-tested our PowerBuoy at the US Marine Corps Base Hawaii at Kaneohe Bay. The Oahu PowerBuoy was launched under our program with the US Navy for ocean testing and demonstration of PowerBuoys, including connection to the Oahu power grid.</w:t>
      </w:r>
    </w:p>
    <w:p>
      <w:pPr>
        <w:spacing w:after="0" w:line="123" w:lineRule="exact"/>
        <w:rPr>
          <w:rFonts w:ascii="Arial" w:cs="Arial" w:eastAsia="Arial" w:hAnsi="Arial"/>
          <w:sz w:val="16"/>
          <w:szCs w:val="16"/>
          <w:color w:val="auto"/>
        </w:rPr>
      </w:pPr>
    </w:p>
    <w:p>
      <w:pPr>
        <w:ind w:left="820" w:hanging="326"/>
        <w:spacing w:after="0" w:line="277"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operated in 2011 an autonomous PowerBuoy off the coast of New Jersey, designed and manufactured by us under the US Navy’s Littoral Expeditionary Autonomous PowerBuoy (“LEAP”) contract for coastal security and maritime security.</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fabricated and deployed two separate autonomous PowerBuoys, which were subsequently deemed obsolete, as an alternate power source for the Navy's Deep Water Active Detection System (“DWADS”).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Scottish government, to develop a utility scale PowerBuoy, which was deployed for testing off the coast of Invergordon, Scotland in 2011.</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European Union (“EU”) has awarded partial funding to deploy a PowerBuoy off the coast of northern Spain for our WavePort project. We commenced work under the EU grant in fiscal year 2012 and continued work during fiscal years 2013 and 2014. This would be the first such deployment of a PowerBuoy using our modular power take-off (“MPTO”) technology.</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Department of Energy (“DOE”) and the UK Government’s Technology Strategy Board to help fund technology improvements to increase the power output of our prototype PowerBuoys.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2010, we had been working with ARENA on a project to deploy a wave power station off the coast of Australia. In July 2014, the VWP Board of Directors determined that the project contemplated by the Funding Deed was no longer commercially viable and tendered a notice of its intent to terminate the Funding Deed and return to ARENA the grant funds received.</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were incorporated under the laws of the State of New Jersey in April 1984 and began commercial operations in 1994. On April 23, 2007, we reincorporated in Delaware. Our principal executive offices are located at 1590 Reed Road, Pennington, New Jersey 08534, and our telephone number is</w:t>
      </w:r>
    </w:p>
    <w:p>
      <w:pPr>
        <w:jc w:val="both"/>
        <w:ind w:firstLine="8"/>
        <w:spacing w:after="0" w:line="295" w:lineRule="auto"/>
        <w:tabs>
          <w:tab w:leader="none" w:pos="438" w:val="left"/>
        </w:tabs>
        <w:numPr>
          <w:ilvl w:val="0"/>
          <w:numId w:val="5"/>
        </w:numPr>
        <w:rPr>
          <w:rFonts w:ascii="Arial" w:cs="Arial" w:eastAsia="Arial" w:hAnsi="Arial"/>
          <w:sz w:val="16"/>
          <w:szCs w:val="16"/>
          <w:color w:val="auto"/>
        </w:rPr>
      </w:pPr>
      <w:r>
        <w:rPr>
          <w:rFonts w:ascii="Arial" w:cs="Arial" w:eastAsia="Arial" w:hAnsi="Arial"/>
          <w:sz w:val="16"/>
          <w:szCs w:val="16"/>
          <w:color w:val="auto"/>
        </w:rPr>
        <w:t>730-0400. Our website address is www.oceanpowertechnologies.com. We make available free of charge on our website our annual reports on Form 10-K, quarterly reports on Form 10-Q, current reports on Form 8-K and all amendments to those reports as soon as reasonably practicable after such material is filed electronically with the Securities and Exchange Commission, or SEC. The information on our website is not a part of this Annual Report. Our common stock has been listed on the NASDAQ Global Market since April 24, 2007, the date on which we commenced our initial public offering in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Market</w:t>
      </w:r>
    </w:p>
    <w:p>
      <w:pPr>
        <w:spacing w:after="0" w:line="24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World Energy Council has stated that wave energy has the potential to produce around 2,000 teraWatt-hours of electricity a year, or enough power to meet 6% of the world’s current energy needs. Global demand for electric power is expected to increase by 29% from 3.8 billion kiloWatt-hours in 2012 to 4.9 billion kiloWatt-hours by 2040 according to Energy Information Administration’s Outlook 2014.</w:t>
      </w:r>
    </w:p>
    <w:p>
      <w:pPr>
        <w:spacing w:after="0" w:line="18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According to an April 2013 report from Bloomberg New Energy Finance, annual spending on clean energy projects that do not contribute to greenhouse-gas pollution may rise to $630 billion by 2030 from $189 billion in 2012. There are a variety of factors contributing to the increasing development of renewable energy systems that capture energy from replenishable natural resources, including ocean waves, tides, flowing water, wind and sunlight, and convert it into electricity. These factors include:</w:t>
      </w:r>
    </w:p>
    <w:p>
      <w:pPr>
        <w:spacing w:after="0" w:line="241" w:lineRule="exact"/>
        <w:rPr>
          <w:sz w:val="20"/>
          <w:szCs w:val="20"/>
          <w:color w:val="auto"/>
        </w:rPr>
      </w:pPr>
    </w:p>
    <w:p>
      <w:pPr>
        <w:ind w:left="660" w:hanging="328"/>
        <w:spacing w:after="0" w:line="277" w:lineRule="auto"/>
        <w:tabs>
          <w:tab w:leader="none" w:pos="66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Rising cost of fossil fuels. </w:t>
      </w:r>
      <w:r>
        <w:rPr>
          <w:rFonts w:ascii="Arial" w:cs="Arial" w:eastAsia="Arial" w:hAnsi="Arial"/>
          <w:sz w:val="18"/>
          <w:szCs w:val="18"/>
          <w:color w:val="auto"/>
        </w:rPr>
        <w:t>Although subject to short-term fluctuations, the cost of fossil fuel used to generate electricity has been generally rising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likely to continue to rise in the future.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Dependence on energy from foreign sources. </w:t>
      </w:r>
      <w:r>
        <w:rPr>
          <w:rFonts w:ascii="Arial" w:cs="Arial" w:eastAsia="Arial" w:hAnsi="Arial"/>
          <w:sz w:val="18"/>
          <w:szCs w:val="18"/>
          <w:color w:val="auto"/>
        </w:rPr>
        <w:t>Many countries, including the United States, Japan and much of Europe, depend on foreign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significant portion of their domestic energy needs. Concerns over political and economic instability in some of the leading fossil fuel producing regions of the world are encouraging consuming countries to diversify their sources of energy.</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Environmental concerns. </w:t>
      </w:r>
      <w:r>
        <w:rPr>
          <w:rFonts w:ascii="Arial" w:cs="Arial" w:eastAsia="Arial" w:hAnsi="Arial"/>
          <w:sz w:val="18"/>
          <w:szCs w:val="18"/>
          <w:color w:val="auto"/>
        </w:rPr>
        <w:t>Environmental concerns regarding the contamination, pollution and by-products from fossil fuels have led many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several US states to pass legislation aimed at reducing emissions of carbon dioxide and other gases associated with the use of fossil fuels and to adopt policies promoting the development of cleaner technologies.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Government incentives. </w:t>
      </w:r>
      <w:r>
        <w:rPr>
          <w:rFonts w:ascii="Arial" w:cs="Arial" w:eastAsia="Arial" w:hAnsi="Arial"/>
          <w:sz w:val="18"/>
          <w:szCs w:val="18"/>
          <w:color w:val="auto"/>
        </w:rPr>
        <w:t>Many countries have adopted policies to provide incentives for the development and use of renewable energy sources,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subsidies to encourage the commercialization of renewable energy power generation.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significant challenges for this nascent industry as elaborated in the Risk Factors.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Wave Energy</w:t>
      </w:r>
    </w:p>
    <w:p>
      <w:pPr>
        <w:spacing w:after="0" w:line="239"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The energy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tops of the waves becomes longer. The size of the waves, and the amount of energy contained in the waves, depend on the wind speed, the time the wind blows over the waves and the distance covered. The rising and falling of the waves move the float portion of our PowerBuoy system, creating mechanical energy that our proprietary technologies convert into usable electricity.</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are a variety of benefits to using wave energy for electricity generation.</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wave power stations can be installed in a relatively small area.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as we continue to mature our PowerBuoy system, we will be able to construct a wave power station that we expect would have a smaller footprint and occupy less of the ocean surface than many other competing technologies.</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Predictability. </w:t>
      </w:r>
      <w:r>
        <w:rPr>
          <w:rFonts w:ascii="Arial" w:cs="Arial" w:eastAsia="Arial" w:hAnsi="Arial"/>
          <w:sz w:val="17"/>
          <w:szCs w:val="17"/>
          <w:color w:val="auto"/>
        </w:rPr>
        <w:t>The supply of electricity from wave energy can be forecasted several days in advance. The amount of energy a wave hundreds of</w:t>
      </w:r>
      <w:r>
        <w:rPr>
          <w:rFonts w:ascii="Arial" w:cs="Arial" w:eastAsia="Arial" w:hAnsi="Arial"/>
          <w:sz w:val="17"/>
          <w:szCs w:val="17"/>
          <w:i w:val="1"/>
          <w:iCs w:val="1"/>
          <w:color w:val="auto"/>
        </w:rPr>
        <w:t xml:space="preserve"> </w:t>
      </w:r>
      <w:r>
        <w:rPr>
          <w:rFonts w:ascii="Arial" w:cs="Arial" w:eastAsia="Arial" w:hAnsi="Arial"/>
          <w:sz w:val="17"/>
          <w:szCs w:val="17"/>
          <w:color w:val="auto"/>
        </w:rPr>
        <w:t>miles away will have when it arrives at a wave power station days later can be calculated with a high degree of accuracy based on satellite images and meteorological data. Power producers can use this information to develop sourcing plans to meet their short-term electricity needs.</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flow of waves at specific sites can be relatively constant. Based on our studies and analysis of various sites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we anticipate that we will be able to deploy our PowerBuoys in locations where they can produce usable electricity for the majority of all hours during a year.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Close to population centers. </w:t>
      </w:r>
      <w:r>
        <w:rPr>
          <w:rFonts w:ascii="Arial" w:cs="Arial" w:eastAsia="Arial" w:hAnsi="Arial"/>
          <w:sz w:val="18"/>
          <w:szCs w:val="18"/>
          <w:color w:val="auto"/>
        </w:rPr>
        <w:t>The proximity of large population areas to large bodies of water means that on-shore power transmission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is often already in place and may be utilized for wave energy generation projects.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both"/>
        <w:ind w:firstLine="389"/>
        <w:spacing w:after="0" w:line="288" w:lineRule="auto"/>
        <w:rPr>
          <w:sz w:val="20"/>
          <w:szCs w:val="20"/>
          <w:color w:val="auto"/>
        </w:rPr>
      </w:pPr>
      <w:r>
        <w:rPr>
          <w:rFonts w:ascii="Arial" w:cs="Arial" w:eastAsia="Arial" w:hAnsi="Arial"/>
          <w:sz w:val="16"/>
          <w:szCs w:val="16"/>
          <w:color w:val="auto"/>
        </w:rPr>
        <w:t>There are a variety of approaches, in different stages of development, for capturing wave energy and converting it into electricity. Methods for generating electricity from wave energy can be divided into two general categories: onshore systems and offshore systems. Our PowerBuoy systems are offshore systems. Offshore systems are typically located one to five miles offshore and in water depths of between 100 and 300 feet. The system can be above, on or below the ocean surface. Many offshore systems utilize a floatation device to harness wave energy. The heaving or pitching of the floatation device due to the force of the waves creates mechanical energy, which is converted into electricity by various technologies. Onshore and near shore systems are often located on a shore cliff or a breakwater, or a short distance at sea from the shore line, and typically must concentrate the wave energy first before using it to drive an electrical generator. Although maintenance costs of onshore systems may be less than those associated with offshore systems, there are a variety of disadvantages to these systems. As waves approach the shore, their energy decreases; onshore and near shore wave power stations, therefore, do not take full advantage of the amount of energy that waves in deeper water produce. In addition, there are a limited number of suitable sites for onshore and near shore systems and there are environmental and possible aesthetic issues with these wave power stations due to their size and location at or near the shore.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43" w:lineRule="exact"/>
        <w:rPr>
          <w:sz w:val="20"/>
          <w:szCs w:val="20"/>
          <w:color w:val="auto"/>
        </w:rPr>
      </w:pPr>
    </w:p>
    <w:p>
      <w:pPr>
        <w:jc w:val="both"/>
        <w:ind w:right="20" w:firstLine="389"/>
        <w:spacing w:after="0" w:line="264" w:lineRule="auto"/>
        <w:rPr>
          <w:sz w:val="20"/>
          <w:szCs w:val="20"/>
          <w:color w:val="auto"/>
        </w:rPr>
      </w:pPr>
      <w:r>
        <w:rPr>
          <w:rFonts w:ascii="Arial" w:cs="Arial" w:eastAsia="Arial" w:hAnsi="Arial"/>
          <w:sz w:val="18"/>
          <w:szCs w:val="18"/>
          <w:color w:val="auto"/>
        </w:rPr>
        <w:t>We offer two types of prototype PowerBuoy product lines: our utility scale PowerBuoy system, which is designed to supply electricity to a local or regional electric power grid and/or directly to a remote large source of demand, and our autonomous PowerBuoy system, which is designed to generate power for use independent of the power grid in remote locations. Both products use the same PowerBuoy technology.</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PowerBuoy system consists of a floating buoy-like device that is loosely moored to the seabed so that it can freely move up and down in response to the rising and falling of the waves, as well as a power take-off device, an electrical generator, a power electronics system and our control system, all of which are sealed in the unit.</w:t>
      </w:r>
    </w:p>
    <w:p>
      <w:pPr>
        <w:spacing w:after="0" w:line="18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As ocean waves pass the PowerBuoy, the mechanical stroking created by waves is converted by the MPTO into rotational mechanical energy, which, in turn, drives the electrical generator. The power electronics system then conditions the output from the generator into grid-ready electricity or to meet the power requirements of larger stand-alone sources of demand. The operation of the PowerBuoy system is controlled by our customized, proprietary control system.</w:t>
      </w:r>
    </w:p>
    <w:p>
      <w:pPr>
        <w:spacing w:after="0" w:line="18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control system uses sophisticated sensors and an onboard computer to continuously monitor the PowerBuoy subsystems as well as the main characteristics of the waves interacting with the PowerBuoy system. The control system collects data from the sensors and uses proprietary algorithms to electronically adjust the performance of the PowerBuoy system. By making these electrical adjustments, the PowerBuoy system is able to maximize the amount of usable electricity generated from the waves. We believe that this ability to optimize the performance of the PowerBuoy system is a significant advantage of our technology.</w:t>
      </w:r>
    </w:p>
    <w:p>
      <w:pPr>
        <w:spacing w:after="0" w:line="188"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In the event of large storm waves, the control system for the PowerBuoy locks down the PowerBuoy system and electricity generation is suspended. When the wave heights return to a normal operating range, the control system unlocks the PowerBuoy system and electricity generation and transmission recommence. This safety feature prevents the PowerBuoy system from being damaged by the increased amount of energy in storm waves.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Utility Scale PowerBuoy System</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utility scale PowerBuoy system is designed to transmit electricity to shore by an underwater power cable, which would then be connected to a power grid and/or directly to a remote large source of demand. The utility scale PowerBuoy system is designed to be positioned in water with a depth of 100 to 300 feet, which can usually be found one to five miles offshore. This depth allows the system to capture meaningful amounts of energy from the waves, since decreasing water depth depletes the energy in the waves.</w:t>
      </w:r>
    </w:p>
    <w:p>
      <w:pPr>
        <w:spacing w:after="0" w:line="18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mooring system for keeping a utility scale PowerBuoy system in position connects the PowerBuoy by lines to three subsurface floats that, in turn, are connected by lines to three anchors. This is a well-established mooring system, referred to as three-point mooring, commonly used in various maritime applications.</w:t>
      </w:r>
    </w:p>
    <w:p>
      <w:pPr>
        <w:spacing w:after="0" w:line="18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refer to the entire utility scale power generation system at one location as a wave power station, which may either be comprised of a single PowerBuoy system or an integrated array of PowerBuoy systems connected by a undersea substation to an underwater cable to transmit the electricity to shore. By design, our system is scalable, as multiple PowerBuoy units can be integrated with one undersea substation to create a wave power station with a larger output capacity.</w:t>
      </w:r>
    </w:p>
    <w:p>
      <w:pPr>
        <w:spacing w:after="0" w:line="18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Other potential applications for our utility scale PowerBuoy system include generating electricity for large sources of demand such as off-shore oil platforms, water treatment and natural resource processing. In these instances, the power generated by the utility scale PowerBuoy system would be delivered directly to the point of electricity consumption for these special applications.</w:t>
      </w:r>
    </w:p>
    <w:p>
      <w:pPr>
        <w:spacing w:after="0" w:line="181"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Leveraging the data collected and lessons learned from a variety of in-ocean deployments and other testing, our product development and engineering efforts are focused primarily on increasing energy output, reliability and scalability of the design of our PowerBuoy system with the goal of generating electricity from our technology at a competitive levelized cost of energy. Further design optimization efforts focusing on manufacturability are on-going.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firstLine="405"/>
        <w:spacing w:after="0" w:line="264" w:lineRule="auto"/>
        <w:rPr>
          <w:sz w:val="20"/>
          <w:szCs w:val="20"/>
          <w:color w:val="auto"/>
        </w:rPr>
      </w:pPr>
      <w:r>
        <w:rPr>
          <w:rFonts w:ascii="Arial" w:cs="Arial" w:eastAsia="Arial" w:hAnsi="Arial"/>
          <w:sz w:val="18"/>
          <w:szCs w:val="18"/>
          <w:color w:val="auto"/>
        </w:rPr>
        <w:t>We anticipate that if we achieve economies of scale for our PowerBuoys and improve energy conversion efficiencies, we expect them to be able to provide a renewable electricity solution that is competitive in certain local markets where wave energy resources are very strong, where the current retail price of electricity is relatively high, and/or where sufficient subsidies are available.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Autonomous PowerBuoy System</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autonomous PowerBuoy system is based on similar technology to the utility scale PowerBuoy system, but is designed for potential persistent electricity generation of relatively low amounts of continuous power for use independent of the power grid, in remote deep-ocean locations. In addition, utility scale PowerBuoys may be utilized in an autonomous mode.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there are a variety of potential applications for this system, including homeland security, offshore oil and gas platforms, aquaculture and ocean-based communication and data gathering such as for tsunami warnings and seismic surveys.</w:t>
      </w:r>
    </w:p>
    <w:p>
      <w:pPr>
        <w:spacing w:after="0" w:line="17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2009, we received a contract from the US Navy to develop and demonstrate our prototype PowerBuoy. The LEAP contract was established to enhance the US Navy's territorial surveillance capability by providing potential persistent power at sea for port maritime surveillance in near coast, harbor, and offshore areas. In September 2010, the US Navy provided $2.75 million in additional funding to us for the second stage of this contract. During the first stage of the LEAP contract, we successfully completed delivery of the design and on-land testing of a new power take-off system for the autonomous prototype LEAP PowerBuoy. In the second stage of the contract, we built and, in 2011, deployed off the coast of New Jersey a LEAP PowerBuoy structure incorporating that new power take-off system. During its deployment, the system endured Hurricane Irene’s storm force waves as high as 50 feet. The ocean test of the LEAP PowerBuoy provided evidence in support of the use of our technology as a potential persistent power source for systems requiring remote power at sea. In 2012, we entered into a CRADA with the U.S. Department of Homeland Security that utilized the same APB-350 Autonomous PowerBuoy as was deployed off the coast of New Jersey in 2011 under the LEAP program contract. In addition to the radar system payload included under the LEAP program contract, the 2013 deployment of the APB-350 included an acoustic sensor array with the goal of expanding the maritime surveillance capability. While valuable data was collected and the performance of the acoustic sensor array was validated, the APB-350 operated for less than one month. Upon its retrieval and inspection, we determined that major design modifications were required to achieve operational reliability.</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2007 to 2008, we received two contracts from the US Navy to provide our PowerBuoy technology to a unique program for ocean data gathering. Under this program, the Navy conducted an ocean test of our autonomous PowerBuoy as an alternative power source for the Navy's Deep Water Active Detection System. We concluded work under these contracts in fiscal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We believe that our technology for generating electricity from wave energy and our commercial relationships give us several potential competitive advantages in the renewable energy market.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PowerBuoy system uses an ocean-tested technology to generate electricity.</w:t>
      </w:r>
    </w:p>
    <w:p>
      <w:pPr>
        <w:spacing w:after="0" w:line="225" w:lineRule="exact"/>
        <w:rPr>
          <w:sz w:val="20"/>
          <w:szCs w:val="20"/>
          <w:color w:val="auto"/>
        </w:rPr>
      </w:pPr>
    </w:p>
    <w:p>
      <w:pPr>
        <w:jc w:val="both"/>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conducted a number of ocean tests since 1997 in order to demonstrate the viability of our technology. Our grid-connected Hawaii system was deployed from December 2009 to January 2012. Additional ocean trials of our utility scale prototype PowerBuoy were conducted in 2011 at a site approximately 33 nautical miles from Invergordon, off Scotland’s northeast coast. The 2011 ocean test of the LEAP PowerBuoy further supported the use of our technology as a potential persistent power source for systems requiring remote power at sea. Our PowerBuoy systems have endured hurricanes, winter storms and tsunami-driven waves while installed in the ocean.</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PowerBuoy system's grid connection has been certified and one of our PowerBuoys has been successfully connected to a grid.</w:t>
      </w:r>
    </w:p>
    <w:p>
      <w:pPr>
        <w:spacing w:after="0" w:line="225"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2007, we announced that our PB40 PowerBuoy grid connection system had been certified by Intertek as compliant with designated national and international standards. This qualifies our ability to make our technology compatible with integration into utility grid systems. In September 2010, our PB40 PowerBuoy, which was tested at the US Marine Corps Base in Hawaii, became the first-ever grid-connected wave energy device in the United States; however, power generated was not sufficient to feed into the grid.</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Our PowerBuoy system is designed to be efficient in harnessing wave energy.</w:t>
      </w:r>
    </w:p>
    <w:p>
      <w:pPr>
        <w:spacing w:after="0" w:line="225" w:lineRule="exact"/>
        <w:rPr>
          <w:sz w:val="20"/>
          <w:szCs w:val="20"/>
          <w:color w:val="auto"/>
        </w:rPr>
      </w:pPr>
    </w:p>
    <w:p>
      <w:pPr>
        <w:ind w:left="660" w:right="1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intent behind our PowerBuoy system is to efficiently convert wave energy into electricity by using sensors to detect actual wave conditions and then to adjust, or "tune," the performance of the generator using our proprietary electrical and electronics-based control systems.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PowerBuoys are designed to maximize the power generated for a given location.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400"/>
        <w:spacing w:after="0"/>
        <w:rPr>
          <w:sz w:val="20"/>
          <w:szCs w:val="20"/>
          <w:color w:val="auto"/>
        </w:rPr>
      </w:pPr>
      <w:r>
        <w:rPr>
          <w:rFonts w:ascii="Arial" w:cs="Arial" w:eastAsia="Arial" w:hAnsi="Arial"/>
          <w:sz w:val="18"/>
          <w:szCs w:val="18"/>
          <w:i w:val="1"/>
          <w:iCs w:val="1"/>
          <w:color w:val="auto"/>
        </w:rPr>
        <w:t>Numerous potential sites for our wave power stations are located near major population centers worldwide.</w:t>
      </w:r>
    </w:p>
    <w:p>
      <w:pPr>
        <w:spacing w:after="0" w:line="225" w:lineRule="exact"/>
        <w:rPr>
          <w:sz w:val="20"/>
          <w:szCs w:val="20"/>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systems are designed to work at sites in many coastal locations around the world. In particular, we are targeting potential sites located near large population centers with access to existing power transmission infrastructure that have significant and increasing electricity requirements.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We have significant commercial relationships.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projects with the DOE, the US Navy, Lockheed Martin, Mitsui Engineering and Shipbuilding, the EU, US Department of Homeland Security</w:t>
      </w:r>
    </w:p>
    <w:p>
      <w:pPr>
        <w:spacing w:after="0" w:line="35"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and the UK Government’s Technology Strategy Board provide us with an initial opportunity to market our PowerBuoys for utility scale and autonomous applications. By collaborating with leaders in renewable energy development, we believe we will be able to accelerate our in-house knowledge of both the utility scale and autonomous power generation markets.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relationships with the US Navy and Department of Homeland Security have allowed us to develop an APB-350 prototype PowerBuoy system and enhanced our market visibility.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systems are environmentally benign and aesthetically non-intrusive.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believe that our PowerBuoy system does not present significant risks to marine life and does not emit significant levels of pollutants. For example, in connection with our project at the US Marine Corps Base in Hawaii, the US Navy obtained an independent environmental assessment of our PowerBuoy system prior to installation, as required by the National Environmental Policy Act. This assessment resulted in a “Finding of No Significant Impact,” the highest rating. We believe that our PowerBuoy systems would have minimal environmental impact. In addition, we received a “Finding of No Significant Impact” from the DOE after environmental assessment in connection with our Reedsport, Oregon project.</w:t>
      </w:r>
    </w:p>
    <w:p>
      <w:pPr>
        <w:spacing w:after="0" w:line="15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our PowerBuoy systems are typically located one to five miles offshore, they are usually not visible from the shore. Visual impact is often cited as one of the reasons many communities have opposed plans to develop power stations, in particular wind power stations. Our PowerBuoy system has the distinct advantage of having only a minimal visual profile. Only a small portion of the unit is visible at close range, with the bulk of the unit hidden below the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Customers/Projects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shows the percentage of our revenue we derived from significant customers for the periods indicated: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00" w:type="dxa"/>
            <w:vAlign w:val="bottom"/>
            <w:gridSpan w:val="2"/>
          </w:tcPr>
          <w:p>
            <w:pPr>
              <w:spacing w:after="0"/>
              <w:rPr>
                <w:sz w:val="19"/>
                <w:szCs w:val="19"/>
                <w:color w:val="auto"/>
              </w:rPr>
            </w:pP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 (WavePort project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Navy</w:t>
            </w:r>
          </w:p>
        </w:tc>
        <w:tc>
          <w:tcPr>
            <w:tcW w:w="1780" w:type="dxa"/>
            <w:vAlign w:val="bottom"/>
            <w:gridSpan w:val="3"/>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These revenues were largely for the support of our product development efforts. Our goal in the future is that an increased portion of our revenues be from the sale of products and maintenance services, as compared to revenue to support our product development efforts.</w:t>
      </w:r>
    </w:p>
    <w:p>
      <w:pPr>
        <w:spacing w:after="0" w:line="1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potential customer base for our utility PowerBuoy systems consists of public utilities, independent power producers and other governmental entities and agencies. Our potential customer base for our autonomous PowerBuoy systems consists of different public and private entities that use electricity in and near the ocean.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ind w:firstLine="389"/>
        <w:spacing w:after="0" w:line="283" w:lineRule="auto"/>
        <w:rPr>
          <w:sz w:val="20"/>
          <w:szCs w:val="20"/>
          <w:color w:val="auto"/>
        </w:rPr>
      </w:pPr>
      <w:r>
        <w:rPr>
          <w:rFonts w:ascii="Arial" w:cs="Arial" w:eastAsia="Arial" w:hAnsi="Arial"/>
          <w:sz w:val="16"/>
          <w:szCs w:val="16"/>
          <w:color w:val="auto"/>
        </w:rPr>
        <w:t>In 2008, we announced a Joint Development Agreement with Leighton Contractors Pty. Ltd. (Leighton) for the development of wave power projects off the coast of Australia. In 2009,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tendered a notice of its intent to terminate the Funding Deed and return the Initial Funding to ARENA.</w:t>
      </w:r>
    </w:p>
    <w:p>
      <w:pPr>
        <w:spacing w:after="0" w:line="3" w:lineRule="exact"/>
        <w:rPr>
          <w:sz w:val="20"/>
          <w:szCs w:val="20"/>
          <w:color w:val="auto"/>
        </w:rPr>
      </w:pPr>
    </w:p>
    <w:p>
      <w:pPr>
        <w:jc w:val="right"/>
        <w:ind w:right="10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960"/>
        <w:spacing w:after="0"/>
        <w:rPr>
          <w:sz w:val="20"/>
          <w:szCs w:val="20"/>
          <w:color w:val="auto"/>
        </w:rPr>
      </w:pPr>
      <w:r>
        <w:rPr>
          <w:rFonts w:ascii="Arial" w:cs="Arial" w:eastAsia="Arial" w:hAnsi="Arial"/>
          <w:sz w:val="15"/>
          <w:szCs w:val="15"/>
          <w:b w:val="1"/>
          <w:bCs w:val="1"/>
          <w:i w:val="1"/>
          <w:iCs w:val="1"/>
          <w:color w:val="auto"/>
        </w:rPr>
        <w:t>Japan</w:t>
      </w:r>
    </w:p>
    <w:p>
      <w:pPr>
        <w:spacing w:after="0" w:line="24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 fiscal 2014, we worked with Mitsui Engineering &amp; Shipbuilding (“MES”) under a contract worth approximately US$2.8 million. This contract funded additional work to enhance our PowerBuoy technology for Japanese sea conditions. Under this contract and prior work with MES, we analyzed methods to maximize buoy power capture, performed modeling and wave tank testing, evaluated novel mooring strategies and conducted preliminary design reviews with MES. In fiscal 2015, we expect a decision to be made by MES on the next steps toward ocean trials of a demonstration PowerBuoy off the coast of Japan.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Reedsport, Oregon Project</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had obtained a permit from the Federal Regulatory Commission (“FERC”) for a multi-stage wave power project 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are taking the steps necessary to close out this project with DOE. In May 2014, we filed an application to surrender the FERC permit for the remaining phases. We are currently working with the State of Oregon Department of State Lands to remove all anchoring and mooring equipment from the seabed off the coast of Oregon, and expect to continue this work over the next several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Navy</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September 2009, we received $2.4 million from the US Navy for the first stage of the US Navy’s LEAP contract prototype contract to provide our PowerBuoy. In September 2010, the US Navy awarded $2.75 million in additional funding to us for the second stage of this program. The LEAP contract is being developed to enhance the US Navy's territorial protection capability by providing potential persistent power at sea for port maritime surveillance in the near coast, harbor, piers and offshore areas. During the first stage of the LEAP contract in 2011, we completed delivery of the design and on-land testing of a new power take-off system for the autonomous LEAP PowerBuoy. In the second stage of the contract, we built and deployed in 2011 a LEAP PowerBuoy structure, incorporating that new power take-off system. The LEAP system was deployed during 2011 by a US Coast Guard vessel and was ocean-tested approximately 20 miles off the coast of New Jersey. It was integrated with the Rutgers University-operated land-based radar network that provides ocean current mapping data for the National Oceanographic and Atmospheric Administration (NOAA) and US Coast Guard search and rescue operations. The ocean test of the LEAP vessel detection system demonstrated dual-use capability of the radar network and helped to verify our technology as a potential persistent power source for systems requiring remote power at sea while withstanding the high storm waves of Hurricane Irene. In 2012, we executed a CRADA with the U.S. Department of Homeland Security to collaborate and demonstrate persistent maritime vessel detection. The ocean demonstration in 2013 utilized the same APB-350 Autonomous PowerBuoy that was deployed off the coast of New Jersey during 2011 under the LEAP contract.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Scotland Project</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 2007, we received a $1.8 million contract from the Scottish Executive toward the construction and testing of a PB150B1 PowerBuoy system. Ocean trials of that PowerBuoy were conducted in 2011. These ocean trials were conducted at a site approximately 33 nautical miles from Invergordon, off Scotland’s northeast coast. Our utility scale PB150B1 structure and mooring system achieved independent certification from Lloyd’s Register. This certification from Lloyd’s Register confirms that the PB150B1 design complies with the requirements of Lloyd’s 1999 Rules and Regulations for the Classification of Floating Offshore Installations at Fixed Locations.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Spain: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2006 Spain Project</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July 2006, Iberdrola Energias Marinas de Cantabria, S.A., or Ibermar, was formed to construct and operate a wave power station off the coast of Santoña, Spain. Iberdrola Energias Renovables II, S.A. (Iberdrola Energias), an affiliate of Iberdrola, was the largest shareholder of Ibermar. Minority shareholders include OPT, Sociedad para el Desarrollo Regional de Cantabria, S.A., or SODERCAN, an industrial development agency of the Spanish region of Cantabria, Total Eolica, an affiliate of Total S.A., and Instituto para la Diversificacion y Ahorro de la Energia, S.A. (IDAE), a Spanish government agency dedicated to energy conservation and diversification efforts. Funding was shared among the shareholders based on agreed-upon percentages that reflect the parties' anticipated ownership interest in the wave power station. OPT owned 10% of Iberdrola Cantabria through our UK subsidiary, Ocean Power Technologies Limited (“OPT LTD”).</w:t>
      </w:r>
    </w:p>
    <w:p>
      <w:pPr>
        <w:spacing w:after="0" w:line="18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In July 2006, we entered into an agreement for the first phase of the construction of a wave power station with our customer Ibermar (“2006 Spain Construction Agreement”). In January 2007, the parties entered into a corresponding Operations and Maintenance Agreement. Under the 2006 Spain Construction Agreement, we agreed to manufacture and deploy one 40kW rated PowerBuoy system and the ocean-based substation and infrastructure required to connect nine additional PowerBuoy systems by December 31, 2009. The terms of the construction of the nine additional PowerBuoy units and the installation of the underwater transmission cable and underwater substation pod were not covered by the 2006 Spain Construction Agreement and were to be separately agreed upon.</w:t>
      </w:r>
    </w:p>
    <w:p>
      <w:pPr>
        <w:spacing w:after="0" w:line="19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PB40 PowerBuoy for this project was deployed in September 2008. After a short testing period, the buoy was removed from the water for remedial work to the power take-off and control systems and was not subsequently re-installed. In November 2010, we commenced negotiations with Ibermar with the goal of cancelling the remaining obligations between the parties under the Construction and Operations and Maintenance agreements, transferring ownership of the equipment manufactured or purchased by OPT under the construction agreement to Ibermar, and having Ibermar pay certain amounts due to OPT. During fiscal 2014, the dissolution of Ibermar was unanimously approved by the shareholders of Ibermar. In connection with the dissolution of this entity, OPT LTD signed an agreement with Ibermar to cancel all obligations under both the 2006 Spain Construction Agreement and the Operations and Maintenance Agreement between Ibermar and OPT LTD. In addition, we paid the final 5% stake in the entity that had been accrued in a prior period and received partial payment of an account receivable under the 2006 Spain Construction Agreement that had been fully reserved in a prior period.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April 30, 2014, there are no outstanding or future obligations between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WavePort Project</w:t>
      </w:r>
    </w:p>
    <w:p>
      <w:pPr>
        <w:spacing w:after="0" w:line="22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In March 2010, we announced the award of €2.2 million under the European Commission's Seventh Framework Programme (“FP7”) by the European Commission's Directorate (“EC”) responsible for new and renewable sources of energy, energy efficiency and innovation. This grant is part of a total award of €4.5 million to a consortium of companies, including OPT, to deliver a PowerBuoy wave energy device under a project entitled WavePort, with an innovative wave prediction capability and a "wave-by-wave" tuning system. We commenced work under this grant in fiscal 2012. This cost-sharing contract expires on July 31, 2014, and the contract will not be extended. We have reduced our backlog as of April 30, 2014 by $0.5 million to reflect the estimated impact of expiration. Our intention is to proceed with this project using our own funding or with the use of other external funding. We expect to deploy this PowerBuoy in calendar 2015.</w:t>
      </w:r>
    </w:p>
    <w:p>
      <w:pPr>
        <w:spacing w:after="0" w:line="189"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During fiscal 2014, we installed the innovative modular power take-off in the PowerBuoy spar, started the final PowerBuoy assembly, developed a mooring design and progressed commercial and logistics arrangements for deployment and the use of a suitable trial site. Initially the deployment site was intended to be the same location as the 2006 Spain Project site. With the dissolution of Ibermar in December 2013, this site became unavailable. We have identified an alternate site and are currently in negotiations to finalize the contract. It is anticipated that the PowerBuoy will be deployed at a site off the north coast of Spain, along with other components of the project to be provided by members of the consortium. In July 2014, we were awarded a grant of up to Euro 1.13 million ($1.56 million) by the Basque regional energy agency, Ente Vasco de la Energia (“EVE”) which can be applied to the WavePort project. The amount of grant actually received will depend on the amount of eligible project spending incurred as well as amounts received from the EC related to the project. The performance period for the EVE grant runs to December 31,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WaveHub site in South West England is operated by a company wholly owned by the UK government and consists of a pre-consented area of ocean with a fully constructed shore connection and sub-sea export cable with a capacity up to 20MW, with the express purpose of enabling ocean trials of offshore energy devices. In 2009, we had negotiated and maintained in force a Commitment Agreement with WaveHub that gave us first refusal rights to negotiate a full Berthing Agreement. During fiscal 2014, the Commitment Agreement expired and was not renewed or extended. We are no longer actively planning the development of a project at WaveHub, but because it remains a promising deployment location, we are keeping under review opportunities that may lead to the development of a future project at this location.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PowerBuoy Development Projects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2010, we received a $1.5 million award from the DOE for a feasibility study of a PowerBuoy with the ability to produce up to 500kW of power (PB500/Mark4). In fiscal 2011, we received additional awards totaling $4.7 million for the PB500 structure and PTO optimization study; $2.3 million from the UK Government’s Technology Strategy Board and $2.4 million from the DOE. In fiscal 2014, upon completion of the concept design and associated trade studies that included detailed mechanical analyses, manufacturability and overall projected performance, the study concluded that a PB500 would not be technically feasible or economically viable. Our development efforts since that time have focused on further optimization of our modular and optimized power takeoff technology.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748"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At April 30, 2014, our total negotiated backlog was $4.9 million compared with $3.8 million at April 30, 2013. Approximately $1.2 million of our backlog at April 30, 2014 was for our Oregon project; we are discussing the necessary steps with the DOE to close out this project. In addition, approximately $0.9 million of our backlog at April 30, 2014 was for our WavePort project off the coast of Spain. This cost-sharing contract expires on July 31, 2014 and the contract will not be extended. We have reduced our backlog as of April 30, 2014 by $0.5 million to reflect the estimated impact of expiration. Our intention is to proceed with this project using our own funding or with the use of other external funding. In July 2014, we were awarded a grant of up to Euro 1.13 million ($1.56 million) by EVE which can be applied to the WavePort project. The amount of grant actually received will depend on the amount of eligible project spending incurred as well as amounts received from the EC related to the project. Most of our backlog at April 30, 2014 and 2013 consisted of cost-sharing contracts as described in the Financial Operations Overview section of Management’s Discussion and Analysis in this Annual Report on Form 10-K.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Our backlog was fully funded at April 30, 2014 and 2013. Further, in September 2013, we were selected for a $1.0 million award from the DOE to enhance the commercial viability of our PowerBuoy system through mechanical component design changes. As of April 30, 2014, the receipt of funds under this award is pending further negotiations, and this award is not included in our negotiated backlog.</w:t>
      </w:r>
    </w:p>
    <w:p>
      <w:pPr>
        <w:spacing w:after="0" w:line="17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fiscal 2014, we generated revenues of $1.5 million and incurred a net loss attributable to Ocean Power Technologies, Inc. of $11.0 million, and for fiscal 2013, we generated revenues of $3.6 million and incurred a net loss attributable to Ocean Power Technologies, Inc. of $14.7 million. As of April 30, 2014, our accumulated deficit was $151.6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Currently, the cost of electricity generated from wave energy, without the benefit of subsidies or other economic incentives, substantially exceeds the prevailing price of electricity in all significant markets in the world. As a result, the near-term growth of the market opportunity for our utility PowerBuoy systems, which are designed with the capability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many incentive and subsidy programs have specific expiration dates, and there can be no assurance that our technology will qualify for current or future subsidies. The timing, scope and size of new government programs for renewable energy are uncertain, and there can be no assurances that we or our customers will be successful in obtaining any additional government funding or that projects will be profitable even with available funding.</w:t>
      </w:r>
    </w:p>
    <w:p>
      <w:pPr>
        <w:spacing w:after="0" w:line="197"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majority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Our business goals are to strengthen our leadership in developing wave energy technologies and to achieve commercial status for our utility and autonomous product lines. In order to achieve these goals, we are pursuing the following business strategies:</w:t>
      </w:r>
    </w:p>
    <w:p>
      <w:pPr>
        <w:spacing w:after="0" w:line="170" w:lineRule="exact"/>
        <w:rPr>
          <w:sz w:val="20"/>
          <w:szCs w:val="20"/>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increase PowerBuoy system output. </w:t>
      </w:r>
      <w:r>
        <w:rPr>
          <w:rFonts w:ascii="Arial" w:cs="Arial" w:eastAsia="Arial" w:hAnsi="Arial"/>
          <w:sz w:val="18"/>
          <w:szCs w:val="18"/>
          <w:color w:val="auto"/>
        </w:rPr>
        <w:t>Our product development and engineering efforts are focused on increasing the energy output, the</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expected operating life, as well as optimizing manufacturability of the design of our PowerBuoys, with the goal of generating electricity from our technology at a competitive levelized cost of energy We believe that by increasing system output of the individual PowerBuoy, and also by increasing volume production of the PowerBuoys, we will be able to decrease the cost per megawatt of our PowerBuoy system and the cost per megawatt hour of the energy generated.</w:t>
      </w:r>
    </w:p>
    <w:p>
      <w:pPr>
        <w:spacing w:after="0" w:line="188"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Sell PowerBuoys. </w:t>
      </w:r>
      <w:r>
        <w:rPr>
          <w:rFonts w:ascii="Arial" w:cs="Arial" w:eastAsia="Arial" w:hAnsi="Arial"/>
          <w:sz w:val="17"/>
          <w:szCs w:val="17"/>
          <w:color w:val="auto"/>
        </w:rPr>
        <w:t>Our fundamental long-term business plan for the utility market sector is to market and sell PowerBuoys, rather than to take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requirements of building and owning power stations and selling the energy generated. In addition, in order to create recurring revenue streams, we seek to support the planning and training required for maintenance over the life-cycle of the buoys.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Expand revenue streams from our autonomous PowerBuoy system. </w:t>
      </w:r>
      <w:r>
        <w:rPr>
          <w:rFonts w:ascii="Arial" w:cs="Arial" w:eastAsia="Arial" w:hAnsi="Arial"/>
          <w:sz w:val="18"/>
          <w:szCs w:val="18"/>
          <w:color w:val="auto"/>
        </w:rPr>
        <w:t>The autonomous PowerBuoy system addresses specific power generation needs</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customers requiring off-grid electricity generation in remote locations in the open ocean. Since our autonomous PowerBuoy concept is well suited for many of these uses, we do not expect that they will require subsidies or other price incentives for commercial acceptance. We believe there are a variety of potential applications for this system, including homeland security, offshore oil and gas platforms, and ocean-based communication and data gathering such as for tsunami warnings and seismic surveys.</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Outsource most of the plant construction and deployment. </w:t>
      </w:r>
      <w:r>
        <w:rPr>
          <w:rFonts w:ascii="Arial" w:cs="Arial" w:eastAsia="Arial" w:hAnsi="Arial"/>
          <w:sz w:val="18"/>
          <w:szCs w:val="18"/>
          <w:color w:val="auto"/>
        </w:rPr>
        <w:t>We outsource all metal fabrication, anchoring, mooring, cabling supply and deployment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minimize our capital requiremen</w:t>
      </w:r>
      <w:r>
        <w:rPr>
          <w:rFonts w:ascii="Arial" w:cs="Arial" w:eastAsia="Arial" w:hAnsi="Arial"/>
          <w:sz w:val="18"/>
          <w:szCs w:val="18"/>
          <w:i w:val="1"/>
          <w:iCs w:val="1"/>
          <w:color w:val="auto"/>
        </w:rPr>
        <w:t>t</w:t>
      </w:r>
      <w:r>
        <w:rPr>
          <w:rFonts w:ascii="Arial" w:cs="Arial" w:eastAsia="Arial" w:hAnsi="Arial"/>
          <w:sz w:val="18"/>
          <w:szCs w:val="18"/>
          <w:color w:val="auto"/>
        </w:rPr>
        <w:t>s as we scale our business. The high value-added MPTO is assembled and tested at our facilities and shipped to project sites for integration into the PowerBuoys.</w:t>
      </w:r>
    </w:p>
    <w:p>
      <w:pPr>
        <w:spacing w:after="0" w:line="181"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Concentrate sales and marketing efforts on four geographic markets. </w:t>
      </w:r>
      <w:r>
        <w:rPr>
          <w:rFonts w:ascii="Arial" w:cs="Arial" w:eastAsia="Arial" w:hAnsi="Arial"/>
          <w:sz w:val="17"/>
          <w:szCs w:val="17"/>
          <w:color w:val="auto"/>
        </w:rPr>
        <w:t>We are currently focusing our sales and marketing efforts on the west coast of</w:t>
      </w:r>
      <w:r>
        <w:rPr>
          <w:rFonts w:ascii="Arial" w:cs="Arial" w:eastAsia="Arial" w:hAnsi="Arial"/>
          <w:sz w:val="17"/>
          <w:szCs w:val="17"/>
          <w:i w:val="1"/>
          <w:iCs w:val="1"/>
          <w:color w:val="auto"/>
        </w:rPr>
        <w:t xml:space="preserve"> </w:t>
      </w:r>
      <w:r>
        <w:rPr>
          <w:rFonts w:ascii="Arial" w:cs="Arial" w:eastAsia="Arial" w:hAnsi="Arial"/>
          <w:sz w:val="17"/>
          <w:szCs w:val="17"/>
          <w:color w:val="auto"/>
        </w:rPr>
        <w:t>North America, the west coast of Europe, the coasts of Australia and the east coast of Japan. We believe that each of these areas represent a strong potential market for our utility and autonomous PowerBuoys because they combine appropriate wave conditions, political and economic stability, large population centers, high levels of industrialization and significant and increasing electricity requirements.</w:t>
      </w:r>
    </w:p>
    <w:p>
      <w:pPr>
        <w:spacing w:after="0" w:line="204" w:lineRule="exact"/>
        <w:rPr>
          <w:rFonts w:ascii="Arial" w:cs="Arial" w:eastAsia="Arial" w:hAnsi="Arial"/>
          <w:sz w:val="17"/>
          <w:szCs w:val="17"/>
          <w:color w:val="auto"/>
        </w:rPr>
      </w:pPr>
    </w:p>
    <w:p>
      <w:pPr>
        <w:jc w:val="both"/>
        <w:ind w:left="660" w:hanging="328"/>
        <w:spacing w:after="0" w:line="198" w:lineRule="auto"/>
        <w:tabs>
          <w:tab w:leader="none" w:pos="660" w:val="left"/>
        </w:tabs>
        <w:numPr>
          <w:ilvl w:val="0"/>
          <w:numId w:val="16"/>
        </w:numPr>
        <w:rPr>
          <w:rFonts w:ascii="Arial" w:cs="Arial" w:eastAsia="Arial" w:hAnsi="Arial"/>
          <w:sz w:val="43"/>
          <w:szCs w:val="43"/>
          <w:color w:val="auto"/>
          <w:vertAlign w:val="subscript"/>
        </w:rPr>
      </w:pPr>
      <w:r>
        <w:rPr>
          <w:rFonts w:ascii="Arial" w:cs="Arial" w:eastAsia="Arial" w:hAnsi="Arial"/>
          <w:sz w:val="18"/>
          <w:szCs w:val="18"/>
          <w:i w:val="1"/>
          <w:iCs w:val="1"/>
          <w:color w:val="auto"/>
        </w:rPr>
        <w:t xml:space="preserve">Maximize customer funding of technology development. </w:t>
      </w:r>
      <w:r>
        <w:rPr>
          <w:rFonts w:ascii="Arial" w:cs="Arial" w:eastAsia="Arial" w:hAnsi="Arial"/>
          <w:sz w:val="18"/>
          <w:szCs w:val="18"/>
          <w:color w:val="auto"/>
        </w:rPr>
        <w:t>We actively seek to obtain external funding for the development of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cost-sharing obligations under some of our customer contracts. In April 2010, we were awarded $1.5 million from the DOE for the development of our utility scale product line. In fiscal year 2011, we were awarded an additional $2.4 million from the DOE and $2.3 million from the UK Government’s Technology Strategy Board for utility scale product development that continued to fund our technology development through fiscal year 2014.</w:t>
      </w:r>
    </w:p>
    <w:p>
      <w:pPr>
        <w:spacing w:after="0" w:line="259" w:lineRule="exact"/>
        <w:rPr>
          <w:rFonts w:ascii="Arial" w:cs="Arial" w:eastAsia="Arial" w:hAnsi="Arial"/>
          <w:sz w:val="43"/>
          <w:szCs w:val="43"/>
          <w:color w:val="auto"/>
          <w:vertAlign w:val="subscript"/>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Expand our partnerships in key market areas. </w:t>
      </w:r>
      <w:r>
        <w:rPr>
          <w:rFonts w:ascii="Arial" w:cs="Arial" w:eastAsia="Arial" w:hAnsi="Arial"/>
          <w:sz w:val="18"/>
          <w:szCs w:val="18"/>
          <w:color w:val="auto"/>
        </w:rPr>
        <w:t>We believe that an important element of our business strategy is to collaborate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to leverage our combined expertise, market presence and core competences. We have formed such partnerships with Lockheed Martin in the US and Australia, and with MES in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We are developing our sales capabilities and have begun pre-commercial marketing of our prototype PowerBuoy systems. Because our products use a new technology, we expect that the decision process of a potential customer will require us to make substantial educational efforts.</w:t>
      </w:r>
    </w:p>
    <w:p>
      <w:pPr>
        <w:spacing w:after="0" w:line="147"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Additionally, we intend to continue to enter into development agreements with strategic partners such as DOE and MES. In particular markets, we may grant licenses to local businesses to sell, manufacture or operate PowerBuoy hardware components.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Autonomous PowerBuoy System Marketing</w:t>
      </w:r>
    </w:p>
    <w:p>
      <w:pPr>
        <w:spacing w:after="0" w:line="279"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There are a variety of potential customers, such as companies within the offshore oil and gas industry, the US Department of Homeland Security and US Department of Defense, and similar governmental agencies in other countries that have specific needs for off-grid power generation that can be supplied by our autonomous PowerBuoy system. Potential applications for off-grid power supply include homeland security, offshore oil and gas platforms, aquaculture and ocean-based communication and data gathering such as for tsunami warnings and seismic surveys.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Utility PowerBuoy System Marketing</w:t>
      </w:r>
    </w:p>
    <w:p>
      <w:pPr>
        <w:spacing w:after="0" w:line="279"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plan to market our utility scale prototype PowerBuoy systems to utilities and independent power producers interested in adding electricity generated from renewable sources to their existing electricity supply. In addition, we are exploring the use of our utility scale PowerBuoy systems for applications that include supplying power to off shore oil platforms, desalination of water, water treatment and natural resource processing. In these instances, the power generated by the utility PowerBuoy system would bypass the grid and be delivered directly to the point of electricity consumption for these special applications.</w:t>
      </w:r>
    </w:p>
    <w:p>
      <w:pPr>
        <w:spacing w:after="0" w:line="188"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expect to be able to use the availability of subsidies and other incentives to market the electricity generated by wave power stations as an alternative to fossil fuel generated electricity. We plan to educate potential customers on the availability of these incentives and, where appropriate, work with them to prepare and file the necessary applications, select sites to meet program requirements and take advantage of these incentives.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Manufacturing and Deployment</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Manufacturing and Raw Materials</w:t>
      </w:r>
    </w:p>
    <w:p>
      <w:pPr>
        <w:spacing w:after="0" w:line="27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engage in two types of manufacturing activities: the manufacturing of the high value-added PTO components, for systems control, power generation and power conversion for each PowerBuoy system, and contracting with outside companies for the fabrication of the buoy-like structure, anchoring and mooring, and cabling.</w:t>
      </w:r>
    </w:p>
    <w:p>
      <w:pPr>
        <w:spacing w:after="0" w:line="23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Our core in-house manufacturing activity is the assembly and testing of the power generation and control modules at our Pennington, New Jersey facility. The power generation and control modules include the critical electrical and electronic systems that convert the mechanical energy into usable electrical energy. The sensors and control systems use sophisticated technology to monitor ocean conditions and optimize the performance of the PowerBuoy system in response to those changing conditions. We maintain a portfolio of patents, including those that cover our power generation, power conversion and control technologies.</w:t>
      </w:r>
    </w:p>
    <w:p>
      <w:pPr>
        <w:spacing w:after="0" w:line="242"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purchase the remaining components of, and raw materials for, each PowerBuoy system from various vendors. We provide specifications to each vendor, and they are responsible for performing quality analysis and quality control over the course of construction, subject to our review of the quality test procedures and results. After each vendor completes testing of the component, it is transported ready-to-install to the project site.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Our research and development team consists of employees with a broad range of experience in mechanical engineering, electrical engineering, hydrodynamics and systems engineering. We engage in extensive research and development efforts to improve PowerBuoy efficiency, reliability and power output and to reduce manufacturing cost and complexity. Our research and development efforts are currently focused on increasing the output and reliability of our PowerBuoys, our MPTO technology, and to the research and development of new products, product applications and complementary technologies.</w:t>
      </w:r>
    </w:p>
    <w:p>
      <w:pPr>
        <w:spacing w:after="0" w:line="208"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Research and development expenses are reflected on our consolidated statements of operations as product development costs. Research and development expenses were $4.6 million for fiscal 2014 and $7.3 million for fiscal 2013.</w:t>
      </w:r>
    </w:p>
    <w:p>
      <w:pPr>
        <w:spacing w:after="0" w:line="224"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We plan to continue work on the design for next-generation utility scale PowerBuoy and autonomous PowerBuoys. The key to increasing the energy output of the PowerBuoy system is to increase the system's efficiency. If we increase the efficiency of the wave capture portion of the PowerBuoy system, we will be able to increase the amount of wave energy the system can capture and, in turn, increase the output of the system. We believe that we will be able to further increase the output capacity of the PowerBuoy system using technology that we are developing, as well as our work on design, manufacture, testing and deployment of the higher capacity systems. We are exploring design and construction techniques that will enable the larger PowerBuoy arrays to be deployed cost effectively and safely without damage. For example, our complete 40kW-rated PowerBuoy systems are transported to the onshore deployment sites using standard flatbed trucks; however, the other PowerBuoy systems are too large for these trucks and need to be transported in modules and assembled on-site.</w:t>
      </w:r>
    </w:p>
    <w:p>
      <w:pPr>
        <w:spacing w:after="0" w:line="24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also plan to continue our technology development of specific applications for our PowerBuoy systems to expand our growth opportunities. For example, we are exploring applications that would allow our PowerBuoys to provide power for desalination of water, water treatment and natural resource processing.</w:t>
      </w:r>
    </w:p>
    <w:p>
      <w:pPr>
        <w:spacing w:after="0" w:line="23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 or reduce the scope of our activities as necessary.</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believe that our technology differentiates us from other providers of wave and other renewable energy technologies. As a result, our success depends in part on our ability to obtain and maintain proprietary protection for our products, technology and know-how, to operate without infringing the proprietary rights of others and to prevent others from infringing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261"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As of April 30, 2014, we owned a total of 56 issued United States patents and have 9 United States patent applications. We have pending foreign counterparts to 22 of our issued patents and 5 of our pending non-provisional patent applications.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color w:val="auto"/>
        </w:rPr>
        <w:t>Our patent portfolio includes patents and patent applications with claims directed to:</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expiration dates for our issued United States patents range from 2014 to 2028.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227" w:lineRule="exact"/>
        <w:rPr>
          <w:sz w:val="20"/>
          <w:szCs w:val="20"/>
          <w:color w:val="auto"/>
        </w:rPr>
      </w:pPr>
    </w:p>
    <w:p>
      <w:pPr>
        <w:jc w:val="both"/>
        <w:ind w:firstLine="389"/>
        <w:spacing w:after="0" w:line="209" w:lineRule="auto"/>
        <w:rPr>
          <w:sz w:val="20"/>
          <w:szCs w:val="20"/>
          <w:color w:val="auto"/>
        </w:rPr>
      </w:pPr>
      <w:r>
        <w:rPr>
          <w:rFonts w:ascii="Arial" w:cs="Arial" w:eastAsia="Arial" w:hAnsi="Arial"/>
          <w:sz w:val="18"/>
          <w:szCs w:val="18"/>
          <w:color w:val="auto"/>
        </w:rPr>
        <w:t>We use trademarks on nearly all of our products and believe that having distinctive marks is an important factor in marketing our products. We have registered our PowerBuoy</w:t>
      </w:r>
      <w:r>
        <w:rPr>
          <w:rFonts w:ascii="Arial" w:cs="Arial" w:eastAsia="Arial" w:hAnsi="Arial"/>
          <w:sz w:val="30"/>
          <w:szCs w:val="30"/>
          <w:color w:val="auto"/>
          <w:vertAlign w:val="superscript"/>
        </w:rPr>
        <w:t>®</w:t>
      </w:r>
      <w:r>
        <w:rPr>
          <w:rFonts w:ascii="Arial" w:cs="Arial" w:eastAsia="Arial" w:hAnsi="Arial"/>
          <w:sz w:val="18"/>
          <w:szCs w:val="18"/>
          <w:color w:val="auto"/>
        </w:rPr>
        <w:t>, Talk on Water</w:t>
      </w:r>
      <w:r>
        <w:rPr>
          <w:rFonts w:ascii="Arial" w:cs="Arial" w:eastAsia="Arial" w:hAnsi="Arial"/>
          <w:sz w:val="30"/>
          <w:szCs w:val="30"/>
          <w:color w:val="auto"/>
          <w:vertAlign w:val="superscript"/>
        </w:rPr>
        <w:t>®</w:t>
      </w:r>
      <w:r>
        <w:rPr>
          <w:rFonts w:ascii="Arial" w:cs="Arial" w:eastAsia="Arial" w:hAnsi="Arial"/>
          <w:sz w:val="18"/>
          <w:szCs w:val="18"/>
          <w:color w:val="auto"/>
        </w:rPr>
        <w:t>, CellBuoy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PowerTower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marks and our Making Waves in Power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service mark in the United States. Trademark ownership is generally of indefinite duration when marks are properly maintained in commercial use.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We compete and will compete with power generation equipment suppliers in all segments of the electric power industry, including wave energy, other forms of renewable energy and traditional fossil fuel. The renewable energy industry is both highly competitive and continually evolving as participants strive to differentiate themselves within their markets and compete within the larger electric power industry. Many of our competitors in certain of these segments have established a stronger market position than ours and have greater resources and name recognition than we have. In addition, there are many companies, including some of the largest multinational energy companies, that are developing or sponsoring innovative technologies for renewable energy production. Accordingly, our success depends in part on developing and demonstrating the commercial viability of wave energy solutions and identifying markets for and applications of our PowerBuoy systems and technology.</w:t>
      </w:r>
    </w:p>
    <w:p>
      <w:pPr>
        <w:spacing w:after="0" w:line="178"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Although the market for equipment that generates electricity from wave energy is in its early stage of pre-commercial development, there are a number of companies, some with institutional funding, developing technologies to generate electricity from wave energy, and we compete or will compete with them. We believe there are over 100 companies worldwide developing wave energy technologies. Many of these companies are located in the United Kingdom, continental Europe, Japan, Israel, the United States and Australia, and most are focused on offshore systems. Only a few of these companies have conducted long-term ocean testing of their systems, which is a critical factor in proving the survivability and performance of any wave energy system.</w:t>
      </w:r>
    </w:p>
    <w:p>
      <w:pPr>
        <w:spacing w:after="0" w:line="226" w:lineRule="exact"/>
        <w:rPr>
          <w:sz w:val="20"/>
          <w:szCs w:val="20"/>
          <w:color w:val="auto"/>
        </w:rPr>
      </w:pPr>
    </w:p>
    <w:p>
      <w:pPr>
        <w:jc w:val="both"/>
        <w:ind w:right="20" w:firstLine="389"/>
        <w:spacing w:after="0" w:line="264" w:lineRule="auto"/>
        <w:rPr>
          <w:sz w:val="20"/>
          <w:szCs w:val="20"/>
          <w:color w:val="auto"/>
        </w:rPr>
      </w:pPr>
      <w:r>
        <w:rPr>
          <w:rFonts w:ascii="Arial" w:cs="Arial" w:eastAsia="Arial" w:hAnsi="Arial"/>
          <w:sz w:val="18"/>
          <w:szCs w:val="18"/>
          <w:color w:val="auto"/>
        </w:rPr>
        <w:t>To compete effectively, we have to demonstrate that our PowerBuoy systems are commercially attractive, compared to other wave energy systems and other renewable energy systems, by differentiating our systems on the basis of performance, survivability in operation and storm wave conditions and cost effectiveness.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electric power industry is subject to extensive regulation, which varies by jurisdiction. For example, the electricity industry in the United States is governed by both federal and state laws and regulations, with the federal government having jurisdiction over the sale and transmission of electricity at the wholesale level in interstate commerce, and the states having jurisdiction over the sale and distribution of electricity at the retail level. The electricity industry in the EU is primarily governed by national law, but a number of EU-level regulations impose obligations on member states, notably with respect to the liberalization of the electricity markets.</w:t>
      </w:r>
    </w:p>
    <w:p>
      <w:pPr>
        <w:spacing w:after="0" w:line="18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renewable energy industry has also been subject to increasing regulation. As the renewable energy industry continues to evolve and as the wave energy industry in particular develops, we anticipate that wave energy technology and our PowerBuoy systems and their deployment will be subject to increased oversight and regulation in accordance with international, national and local regulations relating to safety, sites, environmental protection, utility interconnection and metering and related matters.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389"/>
        <w:spacing w:after="0" w:line="259" w:lineRule="auto"/>
        <w:rPr>
          <w:sz w:val="20"/>
          <w:szCs w:val="20"/>
          <w:color w:val="auto"/>
        </w:rPr>
      </w:pPr>
      <w:r>
        <w:rPr>
          <w:rFonts w:ascii="Arial" w:cs="Arial" w:eastAsia="Arial" w:hAnsi="Arial"/>
          <w:sz w:val="18"/>
          <w:szCs w:val="18"/>
          <w:color w:val="auto"/>
        </w:rPr>
        <w:t>Our PowerBuoy systems currently face regulation in the US and in foreign jurisdictions concerning, among other areas, the sale and transmission of electricity, site approval and environmental approval and compliance. In order to encourage the adoption of renewable energy systems, many governments offer subsidies and other financial incentives and have mandated renewable energy targets. These subsidies, incentives and targets may not be applicable to our wave energy technology and therefore may not be available to us or our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and Transmission of Electricity</w:t>
      </w:r>
    </w:p>
    <w:p>
      <w:pPr>
        <w:spacing w:after="0" w:line="27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US government regulates the electricity wholesale and transmission business through FERC. FERC regulates the rates and terms for sales of electricity at the wholesale level, and the organization, governance and financing of the companies engaged in electricity sales. As a result, FERC regulates the rates charged for sales of electric power from a wave power station into the wholesale market, although it is possible to obtain an exemption from FERC that would allow those sales to occur at market-based rates. FERC also regulates the construction, operation and maintenance of any dam, water conduit, reservoir or powerhouse along or in any of the navigable waters of the United States for the purpose of generating electric power. As a result, the construction and operation of a wave power station in the United States requires the issuance of a license by FERC. The sale and transmission of electricity outside the US is also subject to governmental rules and regulations.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Site Approval</w:t>
      </w:r>
    </w:p>
    <w:p>
      <w:pPr>
        <w:spacing w:after="0" w:line="27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Generally, we expect that we will deploy our PowerBuoy systems in the range of one to five miles from the shore, subject to water depth and overall wave heights.</w:t>
      </w:r>
    </w:p>
    <w:p>
      <w:pPr>
        <w:spacing w:after="0" w:line="224"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 the United States, federal agencies regulate the siting of renewable energy and related-uses located on the outer continental shelf, which is generally more than three miles offshore. For projects located within three miles of the US shore,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federal and local regulatory and environmental requirements.</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Environmental Approval and Compliance</w:t>
      </w:r>
    </w:p>
    <w:p>
      <w:pPr>
        <w:spacing w:after="0" w:line="27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are subject to various foreign, federal, state and local environmental protection and health and safety laws and regulations governing, among other things: the generation, storage, handling, use and transportation of hazardous materials; the emission and discharge of hazardous materials into the ground, air or water; and the health and safety of our employees. In addition, in the United States, the construction and operation of a power system offshore would require permits and approvals from FERC, the Coast Guard, the Army Corps of Engineers and other governmental authorities. These required permits and approvals evaluate, among other things, whether the proposed project is in the public interest and ensure that the project would not create a hazard to navigation. Other foreign and international laws may require similar approvals.</w:t>
      </w:r>
    </w:p>
    <w:p>
      <w:pPr>
        <w:spacing w:after="0" w:line="23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believe that a significant potential advantage of our PowerBuoy systems is that they do not present significant environmental risks when compared to traditional power generation technologies, as there is no significant visual or audible impact and such systems have not been shown to have a significant negative effect on fish or sea mammals.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Subsidies and Incentives</w:t>
      </w:r>
    </w:p>
    <w:p>
      <w:pPr>
        <w:spacing w:after="0" w:line="27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Several governments have enacted subsidies and incentives designed to encourage the development of renewable energy resources. Because of the relative novelty of wave energy generation, these government programs often do not apply specifically to wave energy generation, and so these programs may not be available to our customers or us in all cases.</w:t>
      </w:r>
    </w:p>
    <w:p>
      <w:pPr>
        <w:spacing w:after="0" w:line="235"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Under a tariff subsidy, the government sets price subsidies to be paid to electricity producers for renewable electricity generated by them. The prices are set above market rates and may be differentiated based on system size or application. Under a renewable portfolio standard, the government requires regulated utilities to supply a portion of their total electricity in the form of renewable electricity. Some programs further specify that a portion of the renewable energy quota must be from a particular renewable energy source, although none have specific quotas for wave energy. Several governments also facilitate low interest loans for renewable energy systems, either through direct lending, credit enhancement or other programs.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jc w:val="both"/>
        <w:ind w:firstLine="389"/>
        <w:spacing w:after="0" w:line="257" w:lineRule="auto"/>
        <w:rPr>
          <w:sz w:val="20"/>
          <w:szCs w:val="20"/>
          <w:color w:val="auto"/>
        </w:rPr>
      </w:pPr>
      <w:r>
        <w:rPr>
          <w:rFonts w:ascii="Arial" w:cs="Arial" w:eastAsia="Arial" w:hAnsi="Arial"/>
          <w:sz w:val="18"/>
          <w:szCs w:val="18"/>
          <w:color w:val="auto"/>
        </w:rPr>
        <w:t>Countries in Europe and Asia and several states in the United States have adopted a variety of government subsidies to allow renewable sources of electricity to compete with conventional sources of electricity, such as fossil fuels. Government subsidies and incentives generally focus on grid-connected systems and take several forms, including tariff subsidies, renewable portfolio standards, rebates, tax incentives and low interest loans. In addition, the adoption by governments of limits on carbon dioxide emissions and targets for renewable energy production has spurred a market for trading of surplus carbon credits and renewable energy certificates.</w:t>
      </w:r>
    </w:p>
    <w:p>
      <w:pPr>
        <w:spacing w:after="0" w:line="24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Each of the member states of the EU has a country-specific target for the level of consumption of electricity from renewable sources. They may be required to meet their renewables obligations, have to pay a buy-out price or purchase Renewables Obligation Certificates (“ROC”) from companies that generate electricity from renewable resources.</w:t>
      </w:r>
    </w:p>
    <w:p>
      <w:pPr>
        <w:spacing w:after="0" w:line="181"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Many countries and other local jurisdictions have established limits on carbon dioxide emissions. In particular, a key component of the Kyoto Protocol is the commitments made by certain countries to reduce carbon dioxide emissions. The country, locality or companies within the jurisdiction are given carbon emission allowances, or carbon credits, which represent the right to emit a specific amount of carbon dioxide. A country, locality or company having emissions that exceed its allocated carbon credits may purchase unused carbon credits from a country, locality or company that has reduced its emissions beyond its requirements to do so. The carbon dioxide emissions from a PowerBuoy wave power station are zero, and, therefore, a PowerBuoy wave power station may generate carbon credits that could be used and sold. However, government programs are subject to change or may require periodic renewal.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As of April 30, 2014, we had 29 full-time employees and 1 part-time employee. Of these employees, 26 are located in Pennington, New Jersey and 4 are located in Warwick, UK. We believe that our future success will depend in part on our continued ability to attract, hire and retain qualified personnel. None of our employees is represented by a labor union, and we believe our employee relations are good.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Insurance</w:t>
      </w:r>
    </w:p>
    <w:p>
      <w:pPr>
        <w:spacing w:after="0" w:line="283"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We currently have a property and liability insurance policy underwritten by Lloyd's Underwriters that covers the deployment and storage of our PowerBuoy systems.</w:t>
      </w:r>
    </w:p>
    <w:p>
      <w:pPr>
        <w:spacing w:after="0" w:line="200" w:lineRule="exact"/>
        <w:rPr>
          <w:sz w:val="20"/>
          <w:szCs w:val="20"/>
          <w:color w:val="auto"/>
        </w:rPr>
      </w:pPr>
    </w:p>
    <w:p>
      <w:pPr>
        <w:spacing w:after="0" w:line="33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97"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You should carefully consider the following risk factors together with the other information contained in this Annual Report on Form 10-K, and in prior reports pursuant to the Securities Exchange Act of 1934, as amended and the Securities Act of 1933,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7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have incurred negative operating cash flows since our inception. We will require additional equity and/or debt financing. If we are unable to raise additional funds when needed, our ability to operate and grow our business could be impaired. We do not know whether we will be able to secure additional funding or funding on terms favorable to us. Our ability to obtain additional funding will be subject to a number of factors, including market conditions, our operating performance and investor sentiment. These factors may make additional funding unavailable, or the timing, amount, terms and conditions of additional funding unattractive. If we issue additional equity securities, our existing stockholders would experience dilution or may be subordinated to any rights, preferences or privileges granted to the new equity holders.</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2013, we filed a shelf registration statement on Form S-3 with the SEC registering the sale of up to $40,000,000 of debt, equity and other securities (the “S-3 Shelf”). The S-3 Shelf was declared effective in February 2013.</w:t>
      </w:r>
    </w:p>
    <w:p>
      <w:pPr>
        <w:spacing w:after="0" w:line="170" w:lineRule="exact"/>
        <w:rPr>
          <w:sz w:val="20"/>
          <w:szCs w:val="20"/>
          <w:color w:val="auto"/>
        </w:rPr>
      </w:pPr>
    </w:p>
    <w:p>
      <w:pPr>
        <w:jc w:val="both"/>
        <w:ind w:right="20" w:firstLine="389"/>
        <w:spacing w:after="0" w:line="286" w:lineRule="auto"/>
        <w:rPr>
          <w:sz w:val="20"/>
          <w:szCs w:val="20"/>
          <w:color w:val="auto"/>
        </w:rPr>
      </w:pPr>
      <w:r>
        <w:rPr>
          <w:rFonts w:ascii="Arial" w:cs="Arial" w:eastAsia="Arial" w:hAnsi="Arial"/>
          <w:sz w:val="17"/>
          <w:szCs w:val="17"/>
          <w:color w:val="auto"/>
        </w:rPr>
        <w:t>Under the S-3 Shelf, we established an at the market offering facility (the “ATM Facility”) with Ascendiant Capital Markets, LLC (the “Manager”) via an At the Market Offering Agreement in June 2013 (the “ATM Agreement”). Under the ATM Agreement, we offered and sold shares of our common stock from time to time through the Manager, acting as sales agent, in ordinary brokerage transactions at prevailing market prices.</w:t>
      </w:r>
    </w:p>
    <w:p>
      <w:pPr>
        <w:spacing w:after="0" w:line="166"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also entered into an underwriting agreement (the “Underwriting Agreement”) with Roth Capital Partners, LLC on April 4, 2014, with respect to the issuance and sale in an underwritten public offering (the “Public Offering”) of an aggregate of 3,800,000 shares of our common stock. The Underwriting Agreement contained customary representations, warranties and agreements by us, customary conditions to closing and indemnification obligations, and a 90 day lock-up period that limited transactions in our common stock by 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ind w:firstLine="405"/>
        <w:spacing w:after="0" w:line="286"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Form S-3, whether under the ATM Agreement, Underwriting Agreement or otherwise, to one third of our public float. Given the fiscal 2014 share sales, we fully utilized the ATM Agreement and reached the applicable limit under Form S-3. Approximately $18.2 million remains available for issuance under the S-3 Shelf.</w:t>
      </w:r>
    </w:p>
    <w:p>
      <w:pPr>
        <w:spacing w:after="0" w:line="166"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Sales under the S-3 Shelf or other sales of equity or convertible securities would be dilutive to our stockholders. If additional funds are raised through the issuance of preferred stock or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commercialization efforts, which could adversely affect our financial condition, operating results and the market value of our common stock.</w:t>
      </w:r>
    </w:p>
    <w:p>
      <w:pPr>
        <w:spacing w:after="0" w:line="188" w:lineRule="exact"/>
        <w:rPr>
          <w:sz w:val="20"/>
          <w:szCs w:val="20"/>
          <w:color w:val="auto"/>
        </w:rPr>
      </w:pPr>
    </w:p>
    <w:p>
      <w:pPr>
        <w:jc w:val="both"/>
        <w:ind w:right="20" w:firstLine="194"/>
        <w:spacing w:after="0" w:line="277" w:lineRule="auto"/>
        <w:rPr>
          <w:sz w:val="20"/>
          <w:szCs w:val="20"/>
          <w:color w:val="auto"/>
        </w:rPr>
      </w:pPr>
      <w:r>
        <w:rPr>
          <w:rFonts w:ascii="Arial" w:cs="Arial" w:eastAsia="Arial" w:hAnsi="Arial"/>
          <w:sz w:val="18"/>
          <w:szCs w:val="18"/>
          <w:b w:val="1"/>
          <w:bCs w:val="1"/>
          <w:i w:val="1"/>
          <w:iCs w:val="1"/>
          <w:color w:val="auto"/>
        </w:rPr>
        <w:t>If we are unable to obtain financing to meet the requirements of government or other grants, we may be unable to continue the development of our business.</w:t>
      </w:r>
    </w:p>
    <w:p>
      <w:pPr>
        <w:spacing w:after="0" w:line="170"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Certain of our current projects depend on government grants to fund research and development, testing and deployment of our PowerBuoy systems. Our receipt of funds under these government grants is frequently conditioned on our obtaining other financing as a prerequisite to receiving all or portions of funds under the grant. Any equity financing we are able to secure could be dilutive to our stockholders. If we are unable to secure sufficient external funding on a timely basis or meet performance milestones, a granting agency could determine to withdraw the grant, change the terms of the grant in ways that make the project less attractive for us, or require us to self-fund the project. We may be unable or unwilling to self-fund a project now or in the future, so our projects are subject to the risk of substantial delay or abandonment based on the availability of external funding. Our inability to obtain grants, or to meet funding or performance milestones related to grants we obtain, could jeopardize the particular project and could damage our reputation and our relations with our commercial partners, any of which could adversely affect our financial condition and results of operations.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$11.0 million in fiscal 2014 and $14.7 million in fiscal 2013. As of April 30, 2014, we had an accumulated deficit of $151.6 million. These losses have resulted primarily from costs incurred in our research and development programs and from our selling, general and administrative costs. As we continue to develop our proprietary technologies, we expect to have a net use in cash from operating activities unless or until we achieve positive cash flow from the planned commercialization of our products and services.</w:t>
      </w:r>
    </w:p>
    <w:p>
      <w:pPr>
        <w:spacing w:after="0" w:line="24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 annual basis. If we are unable to achieve and then maintain profitability, the market value of our common stock may decline.</w:t>
      </w:r>
    </w:p>
    <w:p>
      <w:pPr>
        <w:spacing w:after="0" w:line="187" w:lineRule="exact"/>
        <w:rPr>
          <w:sz w:val="20"/>
          <w:szCs w:val="20"/>
          <w:color w:val="auto"/>
        </w:rPr>
      </w:pPr>
    </w:p>
    <w:p>
      <w:pPr>
        <w:ind w:left="200"/>
        <w:spacing w:after="0" w:line="381" w:lineRule="auto"/>
        <w:rPr>
          <w:sz w:val="20"/>
          <w:szCs w:val="20"/>
          <w:color w:val="auto"/>
        </w:rPr>
      </w:pPr>
      <w:r>
        <w:rPr>
          <w:rFonts w:ascii="Arial" w:cs="Arial" w:eastAsia="Arial" w:hAnsi="Arial"/>
          <w:sz w:val="15"/>
          <w:szCs w:val="15"/>
          <w:b w:val="1"/>
          <w:bCs w:val="1"/>
          <w:i w:val="1"/>
          <w:iCs w:val="1"/>
          <w:color w:val="auto"/>
        </w:rPr>
        <w:t>Our future success in the utility power markets depends on our ability to increase the energy output of our utility PowerBuoy system. If we are unable to increase the energy output of our utility PowerBuoy system, the commercial prospects for our utility PowerBuoy system would be adversely affected.</w:t>
      </w:r>
    </w:p>
    <w:p>
      <w:pPr>
        <w:spacing w:after="0" w:line="155"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One of our goals is to increase the energy output of our utility PowerBuoy system. Our success in meeting this objective depends on our ability to significantly increase the energy output of our PowerBuoy system in a cost-effective and timely manner and our ability to overcome the engineering and deployment hurdles that we face, including developing design and construction techniques that will enable the PowerBuoy systems to be deployed cost effectively and without damage, and designing the mooring system to account for the PowerBuoy systems. We have experienced problems and delays in the development and deployment of our PowerBuoy system in the past, and could experience similar delays or other difficulties in the future. If we cannot increase the energy output of the utility PowerBuoy system, or if it takes us longer to do so than we anticipate, we may be unable to expand our utility business, maintain our competitive position, satisfy our contractual obligations or become profitable. In addition, if the cost associated with these development efforts exceeds our projections, our results of operations will be adversely affected.</w:t>
      </w:r>
    </w:p>
    <w:p>
      <w:pPr>
        <w:spacing w:after="0" w:line="23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do not reach full commercial scale, we may not be able to offer a cost competitive power station and the commercial prospects of our utility PowerBuoy system would be adversely affected.</w:t>
      </w:r>
    </w:p>
    <w:p>
      <w:pPr>
        <w:spacing w:after="0" w:line="22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Unless we reach full commercial scale, we may not be able to offer an electricity solution that competes on a non-subsidized basis with today's price of wholesale electricity in key markets. If we do not reach full commercial scale, the commercial prospects for our utility PowerBuoy system would be adversely affected.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ind w:left="200"/>
        <w:spacing w:after="0" w:line="277"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then sustain profitability.</w:t>
      </w:r>
    </w:p>
    <w:p>
      <w:pPr>
        <w:spacing w:after="0" w:line="224"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70"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reliability and cost-effectiveness of wave energy technology compared to conventional and other renewable energy sources and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relating to other renewable energy generation technologies;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economic and market conditions that affect the cost or viability of conventional and renewable energy sources, such as increases or decreases in the prices of oil and other fossil fuels;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growth in the renewable energy equipment market;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availability and terms of government subsidies and incentives to support the development of renewable energy sources, including wave energy;</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capital expenditures by utilities and independent power producers, which tend to decrease when the economy slows and interest rates increase;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development of new and profitable applications requiring the type of remote electric power provided by our autonomous wave energy systems.</w:t>
      </w: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wave energy technology does not gain broad commercial acceptance, our business will be materially harmed and we may need to curtail or cease operations.</w:t>
      </w:r>
    </w:p>
    <w:p>
      <w:pPr>
        <w:spacing w:after="0" w:line="2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sufficient demand for our PowerBuoy systems does not develop or takes longer to develop than we anticipate, our revenues may decline, and we may be unable to achieve and then sustain profitability.</w:t>
      </w:r>
    </w:p>
    <w:p>
      <w:pPr>
        <w:spacing w:after="0" w:line="224"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Even if wave energy technology achieves broad commercial acceptance, our PowerBuoy systems may not prove to be a commercially viable technology for generating electricity from ocean waves. We have invested a significant portion of our time and financial resources since our inception in the development of our PowerBuoy systems but have not yet achieved successful commercialization of our PowerBuoy systems. As we begin to manufacture, market, sell and deploy our PowerBuoy systems in greater quantities, we may encounter unforeseen hurdles that would limit the commercial viability of our PowerBuoy systems, including unanticipated manufacturing, deployment, operating, maintenance and other costs. Our target customers and we may also encounter technical obstacles to deploying, operating and maintaining PowerBuoy systems in quantities necessary to generate competitively-priced electricity.</w:t>
      </w:r>
    </w:p>
    <w:p>
      <w:pPr>
        <w:spacing w:after="0" w:line="16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If demand for our PowerBuoy systems fails to develop sufficiently, we may be unable to grow our business or generate sufficient revenues to achieve and then sustain profitability. In addition, demand for PowerBuoy systems in our presently targeted markets, including coastal North America, the west coast of Europe, the coasts of Australia and the east coast of Japan, may not develop or may develop to a lesser extent than we anticipate.</w:t>
      </w:r>
    </w:p>
    <w:p>
      <w:pPr>
        <w:spacing w:after="0" w:line="220"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If we are not successful in commercializing our PowerBuoy system, or are significantly delayed in doing so, our business, financial condition and results of operations could be adversely affected.</w:t>
      </w:r>
    </w:p>
    <w:p>
      <w:pPr>
        <w:spacing w:after="0" w:line="224"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The reduction or elimination of government subsidies and economic incentives for renewable energy sources could prevent demand for our PowerBuoy systems from developing, which in turn would adversely affect our business, financial condition and results of operations.</w:t>
      </w:r>
    </w:p>
    <w:p>
      <w:pPr>
        <w:spacing w:after="0" w:line="201"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Federal, state and local governmental bodies in many countries, including the United Kingdom, Australia, Japan and the United States,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Moreover, because the market for electricity generated from wave energy is at an early stage of development, some of the programs may not include wave energy as a renewable energy source eligible for the incentives and subsidies.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389"/>
        <w:spacing w:after="0" w:line="289" w:lineRule="auto"/>
        <w:rPr>
          <w:sz w:val="20"/>
          <w:szCs w:val="20"/>
          <w:color w:val="auto"/>
        </w:rPr>
      </w:pPr>
      <w:r>
        <w:rPr>
          <w:rFonts w:ascii="Arial" w:cs="Arial" w:eastAsia="Arial" w:hAnsi="Arial"/>
          <w:sz w:val="16"/>
          <w:szCs w:val="16"/>
          <w:color w:val="auto"/>
        </w:rPr>
        <w:t>Currently, the cost of electricity generated from wave energy, without the benefit of subsidies or other economic incentives, substantially exceeds the price of electricity in all significant markets in the world. As a result, the near-term growth of the market opportunity for our utility PowerBuoy systems, which are designed to feed electricity into a local or regional power grid, depends significantly on the availability and size of government incentives and subsidies for wave energy. As renewable energy becomes more of a competitive threat to conventional energy providers, companies active in the conventional energy business may increase their lobbying efforts in order to encourage governments to stop providing subsidies for renewable energy, including wave energy. We cannot predict the level of any such efforts, or how governments may react to such efforts. The reduction, elimination or expiration of government incentives and subsidies, or the exclusion of wave energy technology from those incentives and subsidies, may result in the diminished competitiveness of wave energy relative to conventional and non-wave energy renewable sources of energy. Such diminished competitiveness could materially and adversely affect the growth of the wave energy industry, which could in turn adversely affect our business, financial condition and results of operations.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product development costs are substantial and may increase in the future.</w:t>
      </w:r>
    </w:p>
    <w:p>
      <w:pPr>
        <w:spacing w:after="0" w:line="279"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Our product development costs primarily relate to our efforts to increase the output, durability and commercial scalability of our utility PowerBuoy system. Our product development costs were $4.6 million in fiscal 2014 and $7.3 million in fiscal 2013. 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invested, and will continue to invest, funds to construct demonstration wave power stations that may generate little or no direct revenue.</w:t>
      </w:r>
    </w:p>
    <w:p>
      <w:pPr>
        <w:spacing w:after="0" w:line="30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have constructed, and may construct in the future, demonstration wave power stations to establish the feasibility of wave energy technology and to encourage the market adoption of our wave power stations. Demonstration wave power stations allow potential customers to see first-hand the viability of wave energy technology as a source of electricity. We incur significant costs in constructing and maintaining these demonstration wave power stations, and we may generate little or no direct revenue from them.</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PowerBuoy systems do not have a sufficient operating history to confirm how they will perform over their estimated 25-year useful life.</w:t>
      </w:r>
    </w:p>
    <w:p>
      <w:pPr>
        <w:spacing w:after="0" w:line="248"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We began developing and testing wave energy technology over 15 years ago. However, to date we have only manufactured 15 PowerBuoy systems for use in ocean testing and development. The longest continuous in-ocean deployment of our PowerBuoy system had been from December 2009 to January 2012. As a result, our PowerBuoy systems do not have a sufficient operating history to confirm how they will perform over their estimated 20 to 25-year useful life. Our technology has not yet demonstrated that our engineering and test results can be duplicated in volume commercial production. We have conducted and plan to continue to conduct practical testing of our PowerBuoy system. If our PowerBuoy system ultimately proves ineffective or unfeasible, we may not be able to engage in commercial production of our products or we may become liable to our customers for quantities we are obligated but are unable to produce. If our PowerBuoy systems perform below expectations, we could lose customers and face substantial repair and replacement expense which could in turn adversely affect our business, financial condition and results of operations.</w:t>
      </w:r>
    </w:p>
    <w:p>
      <w:pPr>
        <w:spacing w:after="0" w:line="179" w:lineRule="exact"/>
        <w:rPr>
          <w:sz w:val="20"/>
          <w:szCs w:val="20"/>
          <w:color w:val="auto"/>
        </w:rPr>
      </w:pPr>
    </w:p>
    <w:p>
      <w:pPr>
        <w:ind w:left="200" w:right="160" w:firstLine="207"/>
        <w:spacing w:after="0" w:line="264" w:lineRule="auto"/>
        <w:rPr>
          <w:sz w:val="20"/>
          <w:szCs w:val="20"/>
          <w:color w:val="auto"/>
        </w:rPr>
      </w:pPr>
      <w:r>
        <w:rPr>
          <w:rFonts w:ascii="Arial" w:cs="Arial" w:eastAsia="Arial" w:hAnsi="Arial"/>
          <w:sz w:val="18"/>
          <w:szCs w:val="18"/>
          <w:b w:val="1"/>
          <w:bCs w:val="1"/>
          <w:i w:val="1"/>
          <w:iCs w:val="1"/>
          <w:color w:val="auto"/>
        </w:rPr>
        <w:t>We have not yet deployed a wave power station consisting of an array of two or more PowerBuoy systems in a single geographic location. If we are unable to successfully deploy a multiple-system wave power station, our revenues may not increase, and we may be unable to achieve and then maintain profitability.</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have not yet deployed a wave power station consisting of an array of two or more PowerBuoy systems. Whether we are able to do so is contingent upon, among other things, receipt of required governmental permits, obtaining adequate financing, successful array design implementation and, finally, successful deployment and connection of the PowerBuoy systems.</w:t>
      </w:r>
    </w:p>
    <w:p>
      <w:pPr>
        <w:spacing w:after="0" w:line="181"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We have not yet conducted ocean testing or otherwise installed in the ocean a multiple-system wave power station. In particular, unlike single-system wave power stations, multiple-system wave power stations require the use of an underwater substation to connect the power transmission cables from, and collect the electricity generated by, each PowerBuoy system in the array. We have not yet deployed an underwater substation connected to multiple PowerBuoys. In addition, unanticipated issues may arise with the logistics and mechanics of deploying and maintaining multiple PowerBuoy systems at a single site and the additional equipment associated with these multiple-system wave power stations.</w:t>
      </w:r>
    </w:p>
    <w:p>
      <w:pPr>
        <w:spacing w:after="0" w:line="17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development and deployment of an array of PowerBuoy systems may require us to incur significant expenses for preliminary engineering, permitting and legal and other expenses before we can determine whether a project is feasible, economically attractive or capable of being financed. We may be unsuccessful in accomplishing any of these tasks or doing so on a timely basis.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389"/>
        <w:spacing w:after="0" w:line="293" w:lineRule="auto"/>
        <w:rPr>
          <w:sz w:val="20"/>
          <w:szCs w:val="20"/>
          <w:color w:val="auto"/>
        </w:rPr>
      </w:pPr>
      <w:r>
        <w:rPr>
          <w:rFonts w:ascii="Arial" w:cs="Arial" w:eastAsia="Arial" w:hAnsi="Arial"/>
          <w:sz w:val="16"/>
          <w:szCs w:val="16"/>
          <w:color w:val="auto"/>
        </w:rPr>
        <w:t>We will need to build larger arrays in order to increase the output of our current PowerBuoy systems. The larger arrays may be more difficult to deploy cost effectively. Our current deployment methodologies, including transportation to the installation site and the mooring of the PowerBuoy systems, will need to be revised as PowerBuoy systems achieve greater output. If we cannot develop cost effective methodologies for deployment of the larger PowerBuoy systems, or if it takes us longer to do so than we anticipate, we may not be able to deploy such systems in the time we anticipate or at all. Therefore, even if we succeed in increasing the power output of our PowerBuoy system arrays, if we are unable to deploy these larger PowerBuoy system arrays or encounter problems in doing so, we may be unable to expand our business, maintain our competitive position, satisfy our contractual obligations or become profitable.</w:t>
      </w:r>
    </w:p>
    <w:p>
      <w:pPr>
        <w:spacing w:after="0" w:line="21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70"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An important element of our business strategy is to maximize our revenue opportunities with our existing and future customers by seeking to enter into service contracts with them under which we would be paid fees for services related to wave power stations that they have purchased from us. Even if customers purchase our PowerBuoy systems, they may not enter into service contracts with us. We may not be able to negotiate service contracts that provide us with any profit opportunities. Even if we successfully negotiate and enter into such service contracts, our customers may terminate them prematurely or they may not be profitable for a variety of reasons, including the presence of unforeseen hurdles or costs. In addition, our inability to perform adequately under such service contracts could impair our efforts to successfully market the PowerBuoy systems. Any one of these outcomes could have a material adverse effect on our business, financial condition and results of operations.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inability to effectively manage our growth could adversely affect our business and operations.</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will be necessary to achieve profitable operations. Our current personnel, facilities, systems and internal procedures and controls are not adequate to support our projected future growth. As such growth is realized, we may add sales, marketing and engineering offices in additional locations, which may include Australia, Japan, and continental Europe.</w:t>
      </w:r>
    </w:p>
    <w:p>
      <w:pPr>
        <w:spacing w:after="0" w:line="187"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 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Problems with the quality or performance of our PowerBuoy systems could adversely affect our business, financial condition and results of operations.</w:t>
      </w:r>
    </w:p>
    <w:p>
      <w:pPr>
        <w:spacing w:after="0" w:line="260"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agreements with customers will generally include guarantees with respect to the quality and performance of our PowerBuoy systems. Because of the limited operating history of our PowerBuoy systems, we have been required to make assumptions regarding the durability, reliability and performance of the systems, and we cannot predict whether and to what extent we may be required to perform under the guarantees that we expect to give our customers. Our assumptions could prove to be materially different from the actual performance of our PowerBuoy systems, causing us to incur substantial expense to repair or replace defective systems in the future. We will bear the risk of claims long after we have sold our PowerBuoy systems and recognized revenue. Moreover, any widespread product failures could adversely affect our business, financial condition and results of operations.</w:t>
      </w:r>
    </w:p>
    <w:p>
      <w:pPr>
        <w:spacing w:after="0" w:line="23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currently depend on a limited number of customers for substantially all of our revenues. The loss of, or a significant reduction in revenues from, any of these customers could significantly reduce our revenues and harm our operating results.</w:t>
      </w:r>
    </w:p>
    <w:p>
      <w:pPr>
        <w:spacing w:after="0" w:line="224"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The DOE accounted for 34% of our revenues and MES accounted for 38% of our revenues during fiscal 2014. In fiscal 2013, revenues from the DOE accounted for 51% of our total revenues and MES accounted for 20% of our revenues. After existing contracts expire, in order to receive future funding from the DOE, we would be required to enter into additional contracts with the DOE, which would require appropriation by the US Congress. Additional funding for projects may not be approved or we may not be able to negotiate future agreements on acceptable terms, if at all.</w:t>
      </w:r>
    </w:p>
    <w:p>
      <w:pPr>
        <w:spacing w:after="0" w:line="225"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can adversely affect our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389"/>
        <w:spacing w:after="0" w:line="312" w:lineRule="auto"/>
        <w:rPr>
          <w:sz w:val="20"/>
          <w:szCs w:val="20"/>
          <w:color w:val="auto"/>
        </w:rPr>
      </w:pPr>
      <w:r>
        <w:rPr>
          <w:rFonts w:ascii="Arial" w:cs="Arial" w:eastAsia="Arial" w:hAnsi="Arial"/>
          <w:sz w:val="16"/>
          <w:szCs w:val="16"/>
          <w:color w:val="auto"/>
        </w:rPr>
        <w:t>Historically, we have relied on a small group of customers for substantially all of our revenue, and such concentration will continue for the foreseeable future. A customer’s payment default, or the loss of a customer as a result of competition, creditworthiness, our failure to perform, our inability to negotiate extensions or replacements of contracts or otherwise could adversely affect our business, financial condition and results of operations.</w:t>
      </w:r>
    </w:p>
    <w:p>
      <w:pPr>
        <w:spacing w:after="0" w:line="14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relationships with our alliance partners may not be successful, and we may not be successful in establishing additional relationships, either of which could adversely affect our ability to commercialize our products and services.</w:t>
      </w:r>
    </w:p>
    <w:p>
      <w:pPr>
        <w:spacing w:after="0" w:line="224"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An important element of our business strategy is to enter into development agreements and strategic alliances with regional utilities and energy and other companies committed to providing electricity from renewable energy sources. If we are unable to reach agreements with suitable alliance partners, we may fail to meet our business objectives for the commercialization of our PowerBuoy system.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There can be no assurance that we will receive such additional funding. In addition, strategic relationships may not be successful, and we may be unable to sell and market our PowerBuoy systems to these companies and their affiliates and customers in the future, or growth opportunities may not materialize, any of which could adversely affect our business, financial condition and results of operations.</w:t>
      </w:r>
    </w:p>
    <w:p>
      <w:pPr>
        <w:spacing w:after="0" w:line="17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investments in joint ventures could be adversely affected by our lack of sole decision-making authority, our reliance on a co-venturer's financial condition and disputes between us and our co-venturers.</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It is part of our strategy to co-invest in some of our wave power projects with third parties through joint ventures by acquiring non-controlling interests in special purpose entities. In these situations, we will not be in a position to exercise sole decision-making authority regarding the joint venture. Investments in joint ventures involve risks that would not be present were a third party not involved, including the possibility that our co-venturers might become bankrupt or fail to fund their share of required capital contributions. Our co-venturers may have economic or other business interests or goals that are inconsistent with our business interests or goals and may be in a position to take actions that are contrary to our policies or objectives. Disputes between us and our co-venturers may result in litigation or arbitration that would increase our expenses and prevent our officers and/or directors from focusing their time and effort on our business. Consequently, actions by, or disputes with, partners or co-venturers might result in additional risk to wave power projects undertaken by the joint venture.</w:t>
      </w:r>
    </w:p>
    <w:p>
      <w:pPr>
        <w:spacing w:after="0" w:line="192"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targeted markets are highly competitive. We compete with other renewable energy companies and may have to compete with larger companies that enter into the renewable energy business. If we are unable to compete effectively, we may be unable to increase our revenues and achieve or maintain profitability.</w:t>
      </w:r>
    </w:p>
    <w:p>
      <w:pPr>
        <w:spacing w:after="0" w:line="23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renewable energy industry is highly competitive and continually evolving as participants strive to distinguish themselves and compete with the larger electric power industry. Competition in the renewable energy industry is likely to continue to increase with the advent of several renewable energy technologies, including tidal and ocean current technologies.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electricity, we will not be able to respond effectively to competitive pressures from other renewable energy technologies or improvements to existing technologies.</w:t>
      </w:r>
    </w:p>
    <w:p>
      <w:pPr>
        <w:spacing w:after="0" w:line="24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Moreover, the success of renewable energy generation technologies may cause larger electric utility and other energy companies with substantial financial resources to enter into the renewable energy industry. These companies, due to their greater capital resources and substantial technical expertise, may be better positioned than we are to develop new or improve existing technologies.</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inability to respond effectively to such competition could adversely affect our business, financial condition and results of operations.</w:t>
      </w: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224"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We plan to manufacture key components of our PowerBuoy systems, including the advanced control and generation systems. However, we have only manufactured our PowerBuoy systems in limited quantities for use in development and testing and have limited commercial manufacturing experience. Our future success depends on our ability to significantly increase both our manufacturing capacity and production throughput in a cost-effective and efficient manner. In order to meet our growth objectives, we will need to increase our engineering and manufacturing staff. There is intense competition for hiring qualified technical and engineering personnel, and we may not be able to hire a sufficient number of qualified personnel to allow us to meet our growth objectives.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389"/>
        <w:spacing w:after="0" w:line="302" w:lineRule="auto"/>
        <w:rPr>
          <w:sz w:val="20"/>
          <w:szCs w:val="20"/>
          <w:color w:val="auto"/>
        </w:rPr>
      </w:pPr>
      <w:r>
        <w:rPr>
          <w:rFonts w:ascii="Arial" w:cs="Arial" w:eastAsia="Arial" w:hAnsi="Arial"/>
          <w:sz w:val="16"/>
          <w:szCs w:val="16"/>
          <w:color w:val="auto"/>
        </w:rPr>
        <w:t>We may be unable to develop efficient, low-cost manufacturing capabilities and processes that will enable us to meet the quality, price, engineering, design and production standards or production volumes necessary to successfully commercialize our PowerBuoy systems.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224"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are highly dependent on third parties to supply or manufacture components of our PowerBuoy systems. If, for any reason, our third-party manufacturers or vendors are not willing or able to provide us with components or supplies in a timely fashion, or at all, our ability to manufacture and sell many of our products could be impaired.</w:t>
      </w:r>
    </w:p>
    <w:p>
      <w:pPr>
        <w:spacing w:after="0" w:line="23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235"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addition, we rely on third parties, under our oversight, for the deployment and mooring of our PowerBuoy systems. We have utilized several different deployment methods, including towing the PowerBuoy system to the deployment location, and transporting the PowerBuoy system to the deployment location by barge or ocean workboat. If these third parties do not properly deploy our systems, cannot effectively deploy the PowerBuoy system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22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235"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manufacturing operations, in particular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232"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88"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If we become ineligible for or are otherwise unable to replace any contract with the US federal government that is not extended or is terminated, our business, financial condition and results of operations will be adversely affected.</w:t>
      </w:r>
    </w:p>
    <w:p>
      <w:pPr>
        <w:spacing w:after="0" w:line="224"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We derive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2014 and fiscal 2013, we derived 34% and 51%, respectively, of our total revenue from contracts with the DOE.</w:t>
      </w:r>
    </w:p>
    <w:p>
      <w:pPr>
        <w:spacing w:after="0" w:line="220"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US federal 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US federal government contracts are subject to audit and potential refunds for at least three years after the final contract payment is received.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left="180"/>
        <w:spacing w:after="0" w:line="277" w:lineRule="auto"/>
        <w:rPr>
          <w:sz w:val="20"/>
          <w:szCs w:val="20"/>
          <w:color w:val="auto"/>
        </w:rPr>
      </w:pPr>
      <w:r>
        <w:rPr>
          <w:rFonts w:ascii="Arial" w:cs="Arial" w:eastAsia="Arial" w:hAnsi="Arial"/>
          <w:sz w:val="18"/>
          <w:szCs w:val="18"/>
          <w:b w:val="1"/>
          <w:bCs w:val="1"/>
          <w:i w:val="1"/>
          <w:iCs w:val="1"/>
          <w:color w:val="auto"/>
        </w:rPr>
        <w:t>We market and plan to market our products in numerous international markets. If we are unable to manage our international operations effectively, our business, financial condition and results of operations could be adversely affected.</w:t>
      </w:r>
    </w:p>
    <w:p>
      <w:pPr>
        <w:spacing w:after="0" w:line="224"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market and plan to market our products in a number of foreign countries, including the United Kingdom, Spain, Australia and Japan, and we are therefore subject to risks associated with having international operations. Revenues from customers who are based outside of the United States accounted for 66% of our revenues in fiscal 2014 and 41% of our revenues in fiscal 2013. Risks inherent in international operations include, but are not limited to, the following:</w:t>
      </w:r>
    </w:p>
    <w:p>
      <w:pPr>
        <w:spacing w:after="0" w:line="24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79"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224"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PowerBuoy systems and make us less competitive in some countries;</w:t>
      </w:r>
    </w:p>
    <w:p>
      <w:pPr>
        <w:spacing w:after="0" w:line="224"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exchange rates may affect demand for our PowerBuoy systems and may adversely affect our profitability in US dollars to the extent the price of our PowerBuoy systems and cost of raw materials and labor are denominated in a foreign currency;</w:t>
      </w:r>
    </w:p>
    <w:p>
      <w:pPr>
        <w:spacing w:after="0" w:line="224"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79"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PowerBuoy systems;</w:t>
      </w:r>
    </w:p>
    <w:p>
      <w:pPr>
        <w:spacing w:after="0" w:line="224"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79"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7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24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timing of contract awards and determinations of work scope;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availability or level of subsidies and incentives for renewable energy sources;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efficiency of our manufacturing processes.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79"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a sales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7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Existing regulations and policies and changes to these or new regulations and policies may present technical, regulatory and economic barriers to the use of wave energy technology, which may significantly reduce demand for our PowerBuoy systems.</w:t>
      </w:r>
    </w:p>
    <w:p>
      <w:pPr>
        <w:spacing w:after="0" w:line="170"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market for electricity generation equipment is heavily influenced by foreign, federal, state and local government regulations and policies concerning the electric utility industry, as well as policies promulgated by electric utilities. These regulations and policies often relate to electricity pricing and connection to the power grid. In the United States and in a number of other countries, these regulations and policies currently are being modified and may be modified again in the future. Utility company and independent power producer purchases of, or further investment in the research and development of, alternative energy sources, including wave energy technology, could be deterred by these regulations and policies, which could result in a significant reduction in the potential demand for our PowerBuoy systems.</w:t>
      </w:r>
    </w:p>
    <w:p>
      <w:pPr>
        <w:spacing w:after="0" w:line="24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If the renewable energy industry continues to develop and if the generation of power from wave energy in particular achieves commercial acceptance, we anticipate that wave energy technology and our PowerBuoy systems and their deployment will be subject to increased oversight and regulation. We are unable to predict the nature or extent of regulations that may be imposed or adopted. Any new government regulations or utility policies pertaining to wave energy or our PowerBuoy systems may result in significant additional expenses to us and our customers and, as a result, could adversely affect our business, financial condition and results of operations.</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obtain all necessary regulatory permits and approvals, we will not be able to implement our planned projects.</w:t>
      </w:r>
    </w:p>
    <w:p>
      <w:pPr>
        <w:spacing w:after="0" w:line="279"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Offshore development of electric power generating facilities is heavily regulated. Each of our planned projects is subject to multiple permitting and approval requirements. We are dependent on state, federal and regional government agencies for such permits and approvals. Due to the unique nature of large scale commercial wave power stations, we would expect our projects to receive close scrutiny by permitting agencies, approval authorities and the public, which could result in substantial delay in the permitting process. Successful challenges by any parties opposed to our planned projects could result in conditions limiting the project size or in the denial of necessary permits and approvals.</w:t>
      </w:r>
    </w:p>
    <w:p>
      <w:pPr>
        <w:spacing w:after="0" w:line="24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24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face hurricane- and storm-related risks and other risks typical of a marine environment that could adversely affect our business, financial condition and results of operations.</w:t>
      </w:r>
    </w:p>
    <w:p>
      <w:pPr>
        <w:spacing w:after="0" w:line="224"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PowerBuoy systems are deployed in the ocean where they are subject to many hazards including severe storms and hurricanes, which could damage them and result in service interruptions. Our systems are also subject to more frequent lock-downs caused by higher waves during winter storm and hurricane seasons, which will reduce annual energy output. We cannot predict whether we will be able to recover from our insurance providers the additional costs that we may incur due to damage caused to our PowerBuoy systems, or whether we will continue to be able to obtain insurance for hurricane- and storm-related damages or, if obtainable and carried, whether this insurance will be adequate to cover our liabilities. Any future hurricane-or storm-related costs could adversely affect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left="200"/>
        <w:spacing w:after="0"/>
        <w:rPr>
          <w:sz w:val="20"/>
          <w:szCs w:val="20"/>
          <w:color w:val="auto"/>
        </w:rPr>
      </w:pPr>
      <w:r>
        <w:rPr>
          <w:rFonts w:ascii="Arial" w:cs="Arial" w:eastAsia="Arial" w:hAnsi="Arial"/>
          <w:sz w:val="16"/>
          <w:szCs w:val="16"/>
          <w:b w:val="1"/>
          <w:bCs w:val="1"/>
          <w:i w:val="1"/>
          <w:iCs w:val="1"/>
          <w:color w:val="auto"/>
        </w:rPr>
        <w:t>Since our PowerBuoy systems can only be deployed in certain geographic locations, our ability to grow our business could be adversely affected.</w:t>
      </w:r>
    </w:p>
    <w:p>
      <w:pPr>
        <w:spacing w:after="0" w:line="302"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Our systems are generally designed to work in sites with average annual wave energy of at least 20kW per meter of wave front. Not all coastal areas worldwide have appropriate natural resources for our PowerBuoy systems to harness wave energy. Seasonal and local variations, water depth and the effect of particular locations of islands and other geographical features may limit our ability to deploy our PowerBuoy systems in coastal areas. If we are unable to identify and deploy PowerBuoy systems at sufficient sites near major population centers, our ability to grow our business could be adversely affected.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numerous accident and safety risks and hazards that are inherent in offshore energy operations.</w:t>
      </w:r>
    </w:p>
    <w:p>
      <w:pPr>
        <w:spacing w:after="0" w:line="279"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PowerBuoy systems. These hazards and risks could result in personal injuries, loss of life, and other damages, which may include damage to our properties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you that we will be able to maintain adequate insurance in the future at reasonable rates.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are unable to attract and retain management and other qualified personnel, we may not be able to achieve our business objectives.</w:t>
      </w:r>
    </w:p>
    <w:p>
      <w:pPr>
        <w:spacing w:after="0" w:line="23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Our success depends on the skills, experience and efforts of our senior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8"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Since March 2014, two of our executive officers have resigned or been removed, including our Executive Vice Chairman and our Chief Executive Officer. We have appointed an Interim Chief Executive Officer while our board of directors conducts a search for a permanent Chief Executive Officer.</w:t>
      </w:r>
    </w:p>
    <w:p>
      <w:pPr>
        <w:spacing w:after="0" w:line="14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the new executives gain detailed knowledge of our operations and due to cultural differences and friction that may result from changes in strategy and style. Without consistent and experienced leadership, customers, employees, creditors, stockholders, and others may lose confidence in us.</w:t>
      </w:r>
    </w:p>
    <w:p>
      <w:pPr>
        <w:spacing w:after="0" w:line="188"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During our search for a new Chief Executive Officer, it is important that we retain key personnel. Qualified individuals, including engineers and project managers, are in high demand, and we may incur significant costs to attract and retain them. All of our officers and other employees are at-will employees, which means they can terminate their employment relationship with us at any time, and their knowledge of our business and industry would be extremely difficult to replace. If we lose the services of key personnel, especially during this period of leadership transition, or do not hire or retain other personnel for key positions, including the Chief Executive Officer position, our business, results of operations and stock price could be adversely affected.</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inability to effectively manage our growth could adversely affect our business and operations.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scope of our operations to date has been limited, and we do not have experience operating on the scale that we believe will be necessary to achieve profitable operations. Our current personnel, facilities, systems and internal procedures and controls are not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growth, we may add sales, marketing and engineering offices in our existing and/or additional locations, which may include Australia, Japan, and continental Europe and which may result in additional organizational complexity.</w:t>
      </w:r>
    </w:p>
    <w:p>
      <w:pPr>
        <w:spacing w:after="0" w:line="19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 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i w:val="1"/>
          <w:iCs w:val="1"/>
          <w:color w:val="auto"/>
        </w:rPr>
        <w:t>We may not be able to maintain compliance with The NASDAQ Capital Market's continued listing requirements.</w:t>
      </w:r>
    </w:p>
    <w:p>
      <w:pPr>
        <w:spacing w:after="0" w:line="225"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Our common stock is listed on The NASDAQ Capital Market. There are a number of continued listing requirements that we must satisfy in order to maintain our listing on The NASDAQ Capital Market. If we fail to maintain compliance with all applicable continued listing requirements for The NASDAQ Capital Market and NASDAQ determines to delist our common stock, the delisting could adversely affect the market liquidity of our common stock, our ability to obtain financing and our ability to fund our operations.</w:t>
      </w:r>
    </w:p>
    <w:p>
      <w:pPr>
        <w:spacing w:after="0" w:line="187" w:lineRule="exact"/>
        <w:rPr>
          <w:sz w:val="20"/>
          <w:szCs w:val="20"/>
          <w:color w:val="auto"/>
        </w:rPr>
      </w:pPr>
    </w:p>
    <w:p>
      <w:pPr>
        <w:jc w:val="both"/>
        <w:ind w:firstLine="374"/>
        <w:spacing w:after="0" w:line="312" w:lineRule="auto"/>
        <w:rPr>
          <w:sz w:val="20"/>
          <w:szCs w:val="20"/>
          <w:color w:val="auto"/>
        </w:rPr>
      </w:pPr>
      <w:r>
        <w:rPr>
          <w:rFonts w:ascii="Arial" w:cs="Arial" w:eastAsia="Arial" w:hAnsi="Arial"/>
          <w:sz w:val="16"/>
          <w:szCs w:val="16"/>
          <w:color w:val="auto"/>
        </w:rPr>
        <w:t>One of the NASDAQ listing requirements is for us to maintain a minimum stock price of $1.00 per share. The historical per share price of our common stock has fluctuated significantly. Failure to meet the $1.00 minimum stock price for the time periods specified by NASDAQ listing requirements could result in our being delisted or our having to take other actions, such as a reverse stock split, to increase the price of our common stock.</w:t>
      </w:r>
    </w:p>
    <w:p>
      <w:pPr>
        <w:spacing w:after="0" w:line="147" w:lineRule="exact"/>
        <w:rPr>
          <w:sz w:val="20"/>
          <w:szCs w:val="20"/>
          <w:color w:val="auto"/>
        </w:rPr>
      </w:pPr>
    </w:p>
    <w:p>
      <w:pPr>
        <w:jc w:val="both"/>
        <w:ind w:firstLine="377"/>
        <w:spacing w:after="0" w:line="293" w:lineRule="auto"/>
        <w:rPr>
          <w:sz w:val="20"/>
          <w:szCs w:val="20"/>
          <w:color w:val="auto"/>
        </w:rPr>
      </w:pPr>
      <w:r>
        <w:rPr>
          <w:rFonts w:ascii="Arial" w:cs="Arial" w:eastAsia="Arial" w:hAnsi="Arial"/>
          <w:sz w:val="16"/>
          <w:szCs w:val="16"/>
          <w:color w:val="auto"/>
        </w:rPr>
        <w:t>If our common stock is delisted, trading of the stock would most likely take place on an over-the-counter market established for unlisted securities.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For these reasons and others, delisting would adversely affect the liquidity, trading volume and price of our common stock, causing the value of an investment in us to decrease and having an adverse effect on our business, financial condition and results of operations by limiting our ability to attract and retain qualified executives and employees and limiting our ability to raise capital.</w:t>
      </w:r>
    </w:p>
    <w:p>
      <w:pPr>
        <w:spacing w:after="0" w:line="16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Any acquisitions that we make or joint venture agreements that we enter into, or any failure to identify appropriate acquisition or joint venture candidates, could adversely affect our business, financial condition and results of operations.</w:t>
      </w:r>
    </w:p>
    <w:p>
      <w:pPr>
        <w:spacing w:after="0" w:line="170"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From time to time, we may evaluate potential strategic acquisitions of complementary businesses, products or technologies, as well as consider joint ventures and other collaborative projects. We may not be able to identify appropriate acquisition candidates or strategic partners, or successfully negotiate, finance or integrate any businesses, products or technologies that we acquire. We do not have any experience with acquiring companies or products. Any acquisition we pursue could diminish the capital resources otherwise available to us for other uses or be dilutive to our stockholders and could divert management's time and resources from our core operations.</w:t>
      </w:r>
    </w:p>
    <w:p>
      <w:pPr>
        <w:spacing w:after="0" w:line="188"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Strategic acquisitions, investments and alliances with third parties could subject us to a number of risks, including risks associated with sharing proprietary information and loss of control of operations that are material to our business. In addition, strategic acquisitions, investments and alliances may be expensive to implement. Moreover, strategic acquisitions, investments and alliances subject us to the risk of non-performance by a counterparty, which may in turn lead to monetary losses that materially and adversely affect our business, financial condition and results of operations.</w:t>
      </w:r>
    </w:p>
    <w:p>
      <w:pPr>
        <w:spacing w:after="0" w:line="17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224"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If we cannot provide reasonable assurance with respect to our financial reports and effectively prevent fraud, our business and operating results could be harmed.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83"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24"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Our success and ability to compete depends in part upon our ability to obtain protection in the United States and other countries for our products by establishing and maintaining intellectual property rights relating to or incorporated into our technology and products. We own a variety of patents and patent applications in the United States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United States and other countries may diminish the value of our intellectual property or narrow the scope of our patent protection, which could in turn adversely affect our business, financial condition and results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left="200" w:right="20"/>
        <w:spacing w:after="0" w:line="277" w:lineRule="auto"/>
        <w:rPr>
          <w:sz w:val="20"/>
          <w:szCs w:val="20"/>
          <w:color w:val="auto"/>
        </w:rPr>
      </w:pPr>
      <w:r>
        <w:rPr>
          <w:rFonts w:ascii="Arial" w:cs="Arial" w:eastAsia="Arial" w:hAnsi="Arial"/>
          <w:sz w:val="18"/>
          <w:szCs w:val="18"/>
          <w:b w:val="1"/>
          <w:bCs w:val="1"/>
          <w:i w:val="1"/>
          <w:iCs w:val="1"/>
          <w:color w:val="auto"/>
        </w:rPr>
        <w:t>Our contracts with the government could negatively affect our intellectual property rights, and our ability to commercialize our products could be impaired.</w:t>
      </w:r>
    </w:p>
    <w:p>
      <w:pPr>
        <w:spacing w:after="0" w:line="170"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Our agreements with the government agencies help fund research and development of our PowerBuoy system. When new technologies are developed with US federal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US government funding must be disclosed in any resulting patent applications, and our rights in such inventions will normally be subject to government license rights, periodic post-contract utilization reporting, foreign manufacturing restrictions and march-in rights.</w:t>
      </w:r>
    </w:p>
    <w:p>
      <w:pPr>
        <w:spacing w:after="0" w:line="246"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w:t>
      </w:r>
    </w:p>
    <w:p>
      <w:pPr>
        <w:spacing w:after="0" w:line="232"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20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24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infringe intellectual property rights of third parties, our business, financial condition and results of operations could be adversely affected.</w:t>
      </w:r>
    </w:p>
    <w:p>
      <w:pPr>
        <w:spacing w:after="0" w:line="224"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Our products may infringe, or be claimed to infringe, patents or patent applications under which we do not hold licenses or other rights. Third parties may own or control these patents and patent applications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infringement suit were brought against us, we could be forced to stop or delay manufacturing or sales of the product or component that is the subject of the suit.</w:t>
      </w:r>
    </w:p>
    <w:p>
      <w:pPr>
        <w:spacing w:after="0" w:line="233"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As a result of patent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infringement claims, we are unable to enter into licenses on acceptable terms. This could significantly and adversely affect our business, financial condition and results of operations.</w:t>
      </w:r>
    </w:p>
    <w:p>
      <w:pPr>
        <w:spacing w:after="0" w:line="227"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In addition to infringement claims against us, we may become a party to other types of patent litigation and other proceedings, including interference proceedings declared by the United States Patent and Trademark Office and opposition proceedings in the European Patent Office, regarding intellectual property rights with respect to our products and technology. The cost to us of any patent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180"/>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224"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2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7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approval of our board of directors, our bylaws may only be amended or repealed by the affirmative vote of the holders of at least 75% of our shares of capital stock entitled to vote.</w:t>
      </w:r>
    </w:p>
    <w:p>
      <w:pPr>
        <w:spacing w:after="0" w:line="181"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never paid cash dividends on our common stock, and we do not anticipate paying any cash dividends in the foreseeable future.</w:t>
      </w:r>
    </w:p>
    <w:p>
      <w:pPr>
        <w:spacing w:after="0" w:line="23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is likely to be volatile, and purchasers of our common stock could incur substantial losses.</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market price of our common stock may fluctuate significantly in response to factors that are beyond our control. For the year ended April 30, 2014, the 52-week high and low prices for our common stock were $7.01 and $1.47, respectively.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24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our business or with respect to our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conventional and renewable energy industries and issuance of new or changed securities analysts' reports or recommendations;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perception of our company and of the renewable energy industry;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and may become the target of additional securities litigation, which is costly and time-consuming to defend.</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the past, companies that experience significant volatility in the market price of their publicly-traded securities have become subject to class action securities litigation. Our stock price has been volatile, and we have had four class-action securities proceedings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one or more of these lawsuits, or any future lawsuits, could have a material adverse effect on our business, financial condition, results of operations and/or stock price. Even if these lawsuits, or any future lawsuits, are not resolved against us, the costs of defending such lawsuits, may be costly. Moreover, these lawsuits may divert our management’s attention from the operation of our business. For more information on our legal proceedings, see Item 3 “Legal Proceedings” of this Annual Report on Form 10-K and Note 13 “Commitments and Contingencies – Litigation” and Note 15 "Subsequent Event" in the accompanying consolidated financial statements for the year ended April 30, 2014.</w:t>
      </w:r>
    </w:p>
    <w:p>
      <w:pPr>
        <w:spacing w:after="0" w:line="18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subject to litigation and other regulatory proceedings that may negatively impact our results of operations.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time to time, we are subject to litigation and regulatory actions relating to our business. The initiation or defense of litigation or regulatory actions would require us to make certain expenditures and can divert the attention of our management away from operating our business. In addition, an unfavorable decision or outcome could result in further, potentially significant, expenditures. Where disclosure is required, we discuss current legal proceedings in which we are involved in our periodic reports filed with the SEC.</w:t>
      </w:r>
    </w:p>
    <w:p>
      <w:pPr>
        <w:spacing w:after="0" w:line="22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corporate headquarters are located in Pennington, New Jersey, where we occupy approximately 22,000 square feet under a lease expiring on April 30, 2015. We use these facilities for administration, research and development, as well as assembly and testing of the generators and control models for our PowerBuoy systems.</w:t>
      </w:r>
    </w:p>
    <w:p>
      <w:pPr>
        <w:spacing w:after="0" w:line="18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also have an office in Warwick, United Kingdom, where we occupy 860 square feet under a lease expiring on July 31, 2014 that we have extended for an additional one year. Four employees, all members of the executive, engineering, administration and business development teams, operate out of this office, which serves as a hub for our European presence.</w:t>
      </w:r>
    </w:p>
    <w:p>
      <w:pPr>
        <w:spacing w:after="0" w:line="181"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In the future, we may add sales, marketing and engineering offices in additional locations, which may include Australia, Japan and continental Europe and the west coast of North America.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6"/>
          <w:szCs w:val="16"/>
          <w:color w:val="auto"/>
        </w:rPr>
        <w:t xml:space="preserve">On June 13, 2014, the Company and its former Chief Executive Officer Charles Dunleavy were named as defendants in a putative securities class action filed in the United States District Court for the District of New Jersey captioned </w:t>
      </w:r>
      <w:r>
        <w:rPr>
          <w:rFonts w:ascii="Arial" w:cs="Arial" w:eastAsia="Arial" w:hAnsi="Arial"/>
          <w:sz w:val="16"/>
          <w:szCs w:val="16"/>
          <w:i w:val="1"/>
          <w:iCs w:val="1"/>
          <w:color w:val="auto"/>
        </w:rPr>
        <w:t>Roby v. Ocean Power Technologies, Inc., et al</w:t>
      </w:r>
      <w:r>
        <w:rPr>
          <w:rFonts w:ascii="Arial" w:cs="Arial" w:eastAsia="Arial" w:hAnsi="Arial"/>
          <w:sz w:val="16"/>
          <w:szCs w:val="16"/>
          <w:color w:val="auto"/>
        </w:rPr>
        <w:t xml:space="preserve">., Case No. 3:14-cv-03799-FLW-LHG. The complaint is brought on behalf of a putative class of investors who purchased the Company’s common stock during the period January 14, 2014 through June 9, 2014. The complaint alleges claims for violations of §10(b) and §20(a) of the Securities Exchange Act of 1934 arising out of public statements regarding an agreement between Victorian Wave Partners Pty. Ltd., a project-specific operating entity owned by the Company’s subsidiary, Ocean Power Technologies (Australasia) Pty. Ltd., and the Australian Renewable Energy Agency for the development of a wave power station (the “VWP Project”). On June 13 and June 20, 2014, two additional putative securities class actions captioned </w:t>
      </w:r>
      <w:r>
        <w:rPr>
          <w:rFonts w:ascii="Arial" w:cs="Arial" w:eastAsia="Arial" w:hAnsi="Arial"/>
          <w:sz w:val="16"/>
          <w:szCs w:val="16"/>
          <w:i w:val="1"/>
          <w:iCs w:val="1"/>
          <w:color w:val="auto"/>
        </w:rPr>
        <w:t>Chew, et al. v. Ocean Power Technologies, Inc. et. al</w:t>
      </w:r>
      <w:r>
        <w:rPr>
          <w:rFonts w:ascii="Arial" w:cs="Arial" w:eastAsia="Arial" w:hAnsi="Arial"/>
          <w:sz w:val="16"/>
          <w:szCs w:val="16"/>
          <w:color w:val="auto"/>
        </w:rPr>
        <w:t xml:space="preserve">., Case No 3:14-cv-03815-MAS-DEA, and </w:t>
      </w:r>
      <w:r>
        <w:rPr>
          <w:rFonts w:ascii="Arial" w:cs="Arial" w:eastAsia="Arial" w:hAnsi="Arial"/>
          <w:sz w:val="16"/>
          <w:szCs w:val="16"/>
          <w:i w:val="1"/>
          <w:iCs w:val="1"/>
          <w:color w:val="auto"/>
        </w:rPr>
        <w:t>Konstantinidis v. Ocean Power Technologies, Inc., et al.</w:t>
      </w:r>
      <w:r>
        <w:rPr>
          <w:rFonts w:ascii="Arial" w:cs="Arial" w:eastAsia="Arial" w:hAnsi="Arial"/>
          <w:sz w:val="16"/>
          <w:szCs w:val="16"/>
          <w:color w:val="auto"/>
        </w:rPr>
        <w:t xml:space="preserve">, Case No. 3:14-cv-04015-FLW-DEA, were filed in the same federal court alleging substantially similar claims. The </w:t>
      </w:r>
      <w:r>
        <w:rPr>
          <w:rFonts w:ascii="Arial" w:cs="Arial" w:eastAsia="Arial" w:hAnsi="Arial"/>
          <w:sz w:val="16"/>
          <w:szCs w:val="16"/>
          <w:i w:val="1"/>
          <w:iCs w:val="1"/>
          <w:color w:val="auto"/>
        </w:rPr>
        <w:t>Chew</w:t>
      </w:r>
      <w:r>
        <w:rPr>
          <w:rFonts w:ascii="Arial" w:cs="Arial" w:eastAsia="Arial" w:hAnsi="Arial"/>
          <w:sz w:val="16"/>
          <w:szCs w:val="16"/>
          <w:color w:val="auto"/>
        </w:rPr>
        <w:t xml:space="preserve"> complaint also names as a defendant Chief Financial Officer Mark Featherstone. On July 22, 2014, a fourth securities class action complaint was filed against the Company, Mr. Dunleavy, and Mr. Featherstone in federal court in New Jersey, captioned </w:t>
      </w:r>
      <w:r>
        <w:rPr>
          <w:rFonts w:ascii="Arial" w:cs="Arial" w:eastAsia="Arial" w:hAnsi="Arial"/>
          <w:sz w:val="16"/>
          <w:szCs w:val="16"/>
          <w:i w:val="1"/>
          <w:iCs w:val="1"/>
          <w:color w:val="auto"/>
        </w:rPr>
        <w:t>Turner v.</w:t>
      </w:r>
      <w:r>
        <w:rPr>
          <w:rFonts w:ascii="Arial" w:cs="Arial" w:eastAsia="Arial" w:hAnsi="Arial"/>
          <w:sz w:val="16"/>
          <w:szCs w:val="16"/>
          <w:color w:val="auto"/>
        </w:rPr>
        <w:t xml:space="preserve"> </w:t>
      </w:r>
      <w:r>
        <w:rPr>
          <w:rFonts w:ascii="Arial" w:cs="Arial" w:eastAsia="Arial" w:hAnsi="Arial"/>
          <w:sz w:val="16"/>
          <w:szCs w:val="16"/>
          <w:i w:val="1"/>
          <w:iCs w:val="1"/>
          <w:color w:val="auto"/>
        </w:rPr>
        <w:t>Ocean Power Technologies, Inc., et al</w:t>
      </w:r>
      <w:r>
        <w:rPr>
          <w:rFonts w:ascii="Arial" w:cs="Arial" w:eastAsia="Arial" w:hAnsi="Arial"/>
          <w:sz w:val="16"/>
          <w:szCs w:val="16"/>
          <w:color w:val="auto"/>
        </w:rPr>
        <w:t>., Case No. 3:14-cv-04592. The</w:t>
      </w:r>
      <w:r>
        <w:rPr>
          <w:rFonts w:ascii="Arial" w:cs="Arial" w:eastAsia="Arial" w:hAnsi="Arial"/>
          <w:sz w:val="16"/>
          <w:szCs w:val="16"/>
          <w:i w:val="1"/>
          <w:iCs w:val="1"/>
          <w:color w:val="auto"/>
        </w:rPr>
        <w:t xml:space="preserve"> Turner </w:t>
      </w:r>
      <w:r>
        <w:rPr>
          <w:rFonts w:ascii="Arial" w:cs="Arial" w:eastAsia="Arial" w:hAnsi="Arial"/>
          <w:sz w:val="16"/>
          <w:szCs w:val="16"/>
          <w:color w:val="auto"/>
        </w:rPr>
        <w:t>complaint is filed on behalf of a putative class of investors who purchased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common stock during the period January 14, 2014 to July 14, 2014 and also makes allegations relating to the VWP Project. All four complaints seek unspecified monetary damages and other relief. The cases are still in their preliminary stages and defendants have not yet responded to the complaints.</w:t>
      </w:r>
    </w:p>
    <w:p>
      <w:pPr>
        <w:spacing w:after="0" w:line="17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Board of Directors will address the Demand Letter at their next scheduled meeting in August or September and respond as appropriate to the allegations in the Demand Letter.</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Employment Litigation:</w:t>
      </w:r>
    </w:p>
    <w:p>
      <w:pPr>
        <w:spacing w:after="0" w:line="225"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but as of the date of filing of this Annual Report on Form 10-K, no claim had been asserted. On July 28, 2014, Mr. Dunleavy, citing his disagreement with the Board’s decision to terminate him for cause, resigned from the Board and the boards of directors of the Company’s subsidiaries.</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FINRA Inquiry:</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On July 9, 2014, the Financial Industry Regulatory Authority (FINRA) sent a letter requesting the Company produce, under NASDAQ Listing Rule 5250(a)(1), certain documents related to the internal investigation of the Special Committee of the Board of Directors. The Company is responding to that request with the assistance of outside counsel.</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the Company is involved from time to time in certain legal actions arising in the ordinary course of business.</w:t>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780" w:right="200" w:hanging="76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Information and Stockholders</w:t>
      </w:r>
    </w:p>
    <w:p>
      <w:pPr>
        <w:spacing w:after="0" w:line="28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common stock has been listed on the Nasdaq Global Market since April 24, 2007 under the symbol "OPTT." As of June 30, 2014, there were 230 holders of record for shares of our common stock. Since a portion of our common stock is held in "street" or nominee name, we are unable to determine the exact number of beneficial holders.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high and the low sale prices of our common stock as quoted by the Nasdaq Global Market for the period indicated.</w: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Nasdaq Global Market</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04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Low</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2014</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Third quarter</w:t>
            </w:r>
          </w:p>
        </w:tc>
        <w:tc>
          <w:tcPr>
            <w:tcW w:w="10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10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Year Ended April 30, 2013</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Second quarter</w:t>
            </w:r>
          </w:p>
        </w:tc>
        <w:tc>
          <w:tcPr>
            <w:tcW w:w="10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10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Fourth quarter</w:t>
            </w:r>
          </w:p>
        </w:tc>
        <w:tc>
          <w:tcPr>
            <w:tcW w:w="10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10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There have been no unregistered sales of equity securities or purchases of equity securities by the Company that are required to be disclosed.</w:t>
      </w: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83"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2014 are to the fiscal year ended April 30, 2014.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have and continue to develop two prototype PowerBuoy product lines, which consist of our utility scale PowerBuoy and our autonomous PowerBuoy. Since fiscal 2002, government agencies have accounted for a significant portion of our revenues. These revenues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our products and services.</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plan to market our utility scale prototype PowerBuoy system to utilities and independent power producers interested in adding electricity generated from renewable sources to their existing electricity supply. We plan to market our autonomous PowerBuoy system, which is designed to generate power for use independent of the power grid, to customers that require electricity in remote locations. We believe there are a variety of potential applications for our autonomous PowerBuoy system, including homeland security, offshore oil and gas platforms, aquaculture and ocean-based communication and data gathering such as for tsunami warnings and seismic surveys.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three wholly-owned subsidiaries: Ocean Power Technologies Ltd., organized under the laws of the United Kingdom, Reedsport OPT Wave Park LLC, organized under the laws of Oregon, and Oregon Wave Energy Partners I, LLC, organized under the laws of Delaware. We also own approximately 88% of the ordinary shares of Ocean Power Technologies (Australasia) Pty Ltd (“OPTA”), organized under the laws of Australia. OPTA owns 100% of Victorian Wave Partners Pty. Ltd. (“VWP”), which is also organized under the laws of Australia.</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(“Lockheed Martin”), in fiscal 2003, and in fiscal 2004 we entered into our first development and construction contract with Lockheed Martin for the development and construction of a prototype demonstration autonomous PowerBuoy system. Subsequently, we received a contract from the US Navy to test our autonomous PowerBuoy system as an alternate power source for the Navy’s Deep Water Active Detection System (“DWADS”). In fiscal 2012, an autonomous PowerBuoy was deployed for ocean trials off the coast of New Jersey under a contract from the US Navy under its Littoral Expeditionary Autonomous PowerBuoy (“LEAP”) contract. The LEAP PowerBuoy, or APB-350, incorporates a unique power take-off and on-board storage system, and is significantly smaller and more compact than our standard utility PowerBuoy. It is designed to provide persistent, off-grid clean energy in remote ocean locations for a wide variety of maritime security, monitoring and other commercial applications. Also, in fiscal 2012, ocean trials of our PB150B1 PowerBuoy were conducted off the northeast coast of Scotland. Our utility-scale PB150B1 PowerBuoy structure and mooring system achieved independent certification from Lloyd’s Register in December 2010. This certification confirms that the PB150B1 PowerBuoy design complies with the requirements of Lloyd’s 1999 Rules and Regulations for the Classification of Floating Offshore Installations at Fixed Locations.</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2012, 2013 and 2014 we worked on projects with partners including Mitsui Engineering &amp; Shipbuilding (“MES”) and the US Department of Homeland Security, as well as on our WavePort project in Spain and a project in Oregon. We also continued development of our PowerBuoy technology as well as our next generation PowerBuoy technology.</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2013, we filed a shelf registration statement on Form S-3 with the SEC registering the sale of up to $40,000,000 of debt, equity and other securities (the “S-3 Shelf”). The S-3 Shelf was declared effective in February 2013.</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S-3 Shelf, we established an at the market offering facility (the “ATM Facility”) with Ascendiant Capital Markets, LLC (the “Manager”) via an At the Market Offering Agreement in June 2013 (the “ATM Agreement”). Under the ATM Agreement, we offered and sold shares of our common stock from time to time through the Manager, acting as sales agent, in ordinary brokerage transactions at prevailing market prices. Under the ATM Facility, we issued 3,306,334 shares for net proceeds of approximately $9,698,000 during fiscal 2014.</w:t>
      </w:r>
    </w:p>
    <w:p>
      <w:pPr>
        <w:spacing w:after="0" w:line="18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also entered into an underwriting agreement (the “Underwriting Agreement”) with Roth Capital Partners, LLC on April 4, 2014, with respect to the issuance and sale in an underwritten public offering (the “Public Offering”) of an aggregate of 3,800,000 shares of our common stock. The Underwriting Agreement contained customary representations, warranties and agreements by us, customary conditions to closing and indemnification obligations, and a 90 day lock-up period that limited transactions in our common stock by us. Net proceeds from the Public Offering were approximately $10,828,000.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ind w:firstLine="405"/>
        <w:spacing w:after="0" w:line="264"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Form S-3 to one third of our public float. Given our fiscal 2014 sales of common stock under the ATM Facility and in the Public Offering, we reached this limit. Approximately $18.2 million remains available for issuance under the S-3 Shelf.</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fiscal 2014, VWP, a project-specific operating entity wholly owned by OPTA, signed a further agreement with the Australian Renewable Energy Agency ("ARENA"). This agreement was a Deed of Variation to the original Funding Deed through which a A$66.5 million grant was awarded to VWP by the Commonwealth of Australia in 2010. The grant was expected to be used towards the A$232 million proposed cost of building and deploying a wave power station off the coast of Australia (“VWP Project”) and initial funding of approximately A$5.6 million (approximately $5.2 million) was received. This initial funding was subject to claw-back provisions in the grant if certain contractual requirements, including performance criteria, are not satisfied. We elected to classify the initial grant funding as an advance payment, hold the funds as restricted cash and defer recognition of the funds as revenue. In July 2014, the VWP Board of Directors determined that the project contemplated by the Funding Deed was no longer commercially viable and tendered a notice of its intent to terminate the Funding Deed and return to ARENA the grant funds received.</w:t>
      </w:r>
    </w:p>
    <w:p>
      <w:pPr>
        <w:spacing w:after="0" w:line="1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2014, we also have continued work on projects with the US Department of Energy, our WavePort project in Spain and our project with Mitsui Engineering &amp; Shipbuilding. We also continued our efforts to increase the power output and reliability of our utility and autonomous PowerBuoy systems.</w:t>
      </w:r>
    </w:p>
    <w:p>
      <w:pPr>
        <w:spacing w:after="0" w:line="18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had obtained a permit from the Federal Regulatory Commission (“FERC”) for a multi-stage wave power project off the coast of Oregon. In addition, we received two cost-share contracts with the US Department of Energy (“DOE”) for approximately $4.4 million to construct and deploy a single PowerBuoy off the coast of Reedsport, Oregon.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have made the decision not to proceed with the project. Accordingly, we announced in March 2014 our surrender of the permit for one phase of the project and announced in April 2014 that we are taking the steps necessary to close out this project with DOE. In May 2014, we filed an application to surrender the FERC license for the remaining phases. A decommissioning plan, with regulatory approvals, was filed with FERC on July 25, 2014. We are currently working with the State of Oregon, Department of State Lands, to remove all anchoring equipment from the seabed off the coast of Oregon, and expect to continue this work over the next several months.</w:t>
      </w:r>
    </w:p>
    <w:p>
      <w:pPr>
        <w:spacing w:after="0" w:line="16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At April 30, 2014, our total negotiated backlog was $4.9 million compared with $3.8 million at April 30, 2013. Approximately $1.2 million of our backlog at April 30, 2014 was for our Oregon project; we are discussing the necessary steps with the DOE to close out this project. In addition, approximately $0.9 million of our backlog at April 30, 2014 was for our WavePort project off the coast of Spain. This cost-sharing contract expires on July 31, 2014 and the contract will not be extended. We have reduced our backlog as of April 30, 2014 by $0.5 million to reflect the estimated impact at expiration to our backlog. Our intention is to proceed with this project using our own funding or with the use of other external funding. In July 2014, we were awarded a grant of up to Euro 1.13 million ($1.56 million) by EVE which can be applied to the WavePort project. The amount of grant actually received will depend on the amount of eligible project spending incurred as well as amounts received from the EC related to the project. The performance period for the EVE grant runs to December 31, 2015. Most of our backlog at April 30, 2014 and 2013 consisted of cost-sharing contracts as described in the Financial Operations Overview section of this Management’s Discussion and Analysis.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Our backlog was fully funded at April 30, 2014 and 2013. Further, in September 2013, we were selected for a $1.0 million award from the DOE to enhance the commercial viability of our PowerBuoy system through mechanical component design changes. As of April 30, 2014, the receipt of funds under this award is pending further negotiations, and this award is not included in our negotiated backlog.</w:t>
      </w:r>
    </w:p>
    <w:p>
      <w:pPr>
        <w:spacing w:after="0" w:line="18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fiscal 2014, we generated revenues of $1.5 million and incurred a net loss attributable to Ocean Power Technologies, Inc. of $11.0 million, and for fiscal 2013, we generated revenues of $3.6 million and incurred a net loss attributable to Ocean Power Technologies, Inc. of $14.7 million. As of April 30, 2014, our accumulated deficit was $151.6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Continued global economic uncertainty may have a negative effect on our business, financial condition and results of operations. Currently, the cost of electricity generated from wave energy, without the benefit of subsidies or other economic incentives, substantially exceeds the prevailing price of electricity in many significant markets in the world. As a result, the near-term growth of the market opportunity for our utility PowerBuoy systems, which are designed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many incentive and subsidy programs have specific expiration dates, and there can be no assurance that our technology will qualify for current or future subsidies. The timing, scope and size of new government programs for renewable energy are uncertain, and there can be no assurances that we or our customers will be successful in obtaining any additional government funding. We do not believe that the continuing global economic uncertainty will have a material negative impact on our sources of supply, as our products incorporate what are substantially non-custom standard parts found in many regions of the world.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220"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for fiscal 2014 and 2013 was from cost-sharing contracts.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2014 and 2013: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8"/>
                <w:szCs w:val="18"/>
                <w:b w:val="1"/>
                <w:bCs w:val="1"/>
                <w:color w:val="auto"/>
              </w:rPr>
              <w:t>Years Ended April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80" w:type="dxa"/>
            <w:vAlign w:val="bottom"/>
            <w:gridSpan w:val="3"/>
          </w:tcPr>
          <w:p>
            <w:pPr>
              <w:jc w:val="right"/>
              <w:ind w:right="717"/>
              <w:spacing w:after="0" w:line="191" w:lineRule="exact"/>
              <w:rPr>
                <w:sz w:val="20"/>
                <w:szCs w:val="20"/>
                <w:color w:val="auto"/>
              </w:rPr>
            </w:pPr>
            <w:r>
              <w:rPr>
                <w:rFonts w:ascii="Arial" w:cs="Arial" w:eastAsia="Arial" w:hAnsi="Arial"/>
                <w:sz w:val="18"/>
                <w:szCs w:val="18"/>
                <w:color w:val="auto"/>
              </w:rPr>
              <w:t>($ millions)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23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30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 Department of Energy</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 Navy</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UK Government's Technology Strategy Board</w:t>
            </w: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Others</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revenue decrease for fiscal 2014 reflected a significant decrease in revenue from the DOE attributable to the suspension of our PB150B2 PowerBuoy project off the coast of Oregon. Fiscal 2014 revenue was lower also due to decreased estimated contract value associated with our WavePort project off the coast of Spain.</w:t>
      </w:r>
    </w:p>
    <w:p>
      <w:pPr>
        <w:spacing w:after="0" w:line="181"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MES was our largest customer in fiscal 2014, and the DOE was our largest customer in fiscal 2013. Combined, these two customers accounted for 72% of our revenues in fiscal 2014 and 71% of our revenues in fiscal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ind w:left="400"/>
        <w:spacing w:after="0"/>
        <w:rPr>
          <w:sz w:val="20"/>
          <w:szCs w:val="20"/>
          <w:color w:val="auto"/>
        </w:rPr>
      </w:pPr>
      <w:r>
        <w:rPr>
          <w:rFonts w:ascii="Arial" w:cs="Arial" w:eastAsia="Arial" w:hAnsi="Arial"/>
          <w:sz w:val="16"/>
          <w:szCs w:val="16"/>
          <w:color w:val="auto"/>
        </w:rPr>
        <w:t>We currently focus our sales and marketing efforts on the west coast of North America, the west coast of Europe, Australia and the east coast of Japan.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percentage of our revenues by geographical location of our customers for fiscal years 2014 and 2013:</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7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3"/>
              </w:rPr>
              <w:t>Years Ended April 30,</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6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2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United States</w:t>
            </w:r>
          </w:p>
        </w:tc>
        <w:tc>
          <w:tcPr>
            <w:tcW w:w="222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79" w:lineRule="exact"/>
        <w:rPr>
          <w:sz w:val="20"/>
          <w:szCs w:val="20"/>
          <w:color w:val="auto"/>
        </w:rPr>
      </w:pPr>
    </w:p>
    <w:p>
      <w:pPr>
        <w:jc w:val="both"/>
        <w:ind w:firstLine="389"/>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some contracts.</w:t>
      </w:r>
    </w:p>
    <w:p>
      <w:pPr>
        <w:spacing w:after="0" w:line="201"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Most of our revenue recorded in fiscal 2014 was generated from cost-sharing contracts, which result in zero gross profit. Our ability to generate a gross profit will depend on the nature of future contracts, our success at increasing sales of our PowerBuoy systems and our ability to manage costs incurred on fixed price commercial contracts.</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27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PowerBuoy system,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 and scope as necessary.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contract loss reserve</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Change in contract loss reserve represents a reversal of a previous project-specific reserve where the underlying project had encountered technical issues during deployment. While the Company had no specific legal obligation to continue work on the project, management’s intention had been to complete certain elements of the project. Effective as of April 30, 2014, management made a determination not to pursue its efforts to complete the project and reversed the contract loss reserve.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costs</w:t>
      </w:r>
    </w:p>
    <w:p>
      <w:pPr>
        <w:spacing w:after="0" w:line="27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as well as costs for executive, accounting and administrative personnel, professional fees and other general corporate expenses.</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79"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$35.7 million as of April 30, 2014 and $21.7 million as of April 30, 2013. Interest income decreased due to a decline in interest rates and a decline in cash, cash equivalents and marketable securities over the year, which balance was increased in the fourth quarter with net proceeds of approximately $3.8 million from the ATM Facility and $10.8 million from the Public Offering.</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income reported in future years may decrease from fiscal 2014 as a result of a decrease in cash, cash equivalents and marketable securities.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the Australian dollar and Japanese yen.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389"/>
        <w:spacing w:after="0" w:line="259" w:lineRule="auto"/>
        <w:rPr>
          <w:sz w:val="20"/>
          <w:szCs w:val="20"/>
          <w:color w:val="auto"/>
        </w:rPr>
      </w:pPr>
      <w:r>
        <w:rPr>
          <w:rFonts w:ascii="Arial" w:cs="Arial" w:eastAsia="Arial" w:hAnsi="Arial"/>
          <w:sz w:val="18"/>
          <w:szCs w:val="18"/>
          <w:color w:val="auto"/>
        </w:rPr>
        <w:t>We invest our cash reserves in certificates of deposit and maintain cash accounts that are denominated in British pounds sterling, Euros and Australian dollars. These foreign denominated certificates of deposit and cash accounts had a balance of $7.4 million as of April 30, 2014 and $2.5 million as of April 30, 2013, compared to our total cash, cash equivalents, restricted cash, and marketable securities balances of $35.7 million as of April 30, 2014 and $21.7 million as of April 30, 2013.</w:t>
      </w:r>
    </w:p>
    <w:p>
      <w:pPr>
        <w:spacing w:after="0" w:line="187" w:lineRule="exact"/>
        <w:rPr>
          <w:sz w:val="20"/>
          <w:szCs w:val="20"/>
          <w:color w:val="auto"/>
        </w:rPr>
      </w:pPr>
    </w:p>
    <w:p>
      <w:pPr>
        <w:jc w:val="both"/>
        <w:ind w:firstLine="389"/>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Our international revenues for the years ended April 30, 2014 and 2013 were recorded in Euros, British pounds sterling or Japanese yen.</w:t>
      </w:r>
    </w:p>
    <w:p>
      <w:pPr>
        <w:spacing w:after="0" w:line="173"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As of April 30, 2014, we had federal and foreign net operating loss carryforwards of $87.4 million and $23.8 million, respectively, and federal research and development tax credits of $2.1 million, which may be used to offset future taxable income. As of April 30, 2014, we had state net operating loss carryforwards of $20.5 million. If not utilized, the net operating loss carryforwards and credit carryforwards will expire at various dates through 2033. We may not achieve profitability in time to utilize the tax credit and net operating loss carryforwards in full or at all. In addition, we have determined that the future utilization of our net operating loss carryforwards is subject to limitations based upon changes in ownership including changes resulting from our initial public offering in April 2007, pursuant to regulations promulgated under the Internal Revenue Code. As discussed in Note 12 to our consolidated financial statements included in this Annual Report, we have established a valuation allowance for our net deferred tax assets, which were $46.8 million as of April 30, 2014 and $43.7 million as of April 30, 2013.</w:t>
      </w:r>
    </w:p>
    <w:p>
      <w:pPr>
        <w:spacing w:after="0" w:line="192"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During the years ended April 30, 2014 and 2013, we sold New Jersey State net operating losses in the amount of $15.3 million and $18.7 million, respectively, resulting in the recognition of income tax benefits of $1.7 million and $1.5 million, respectively, recorded in our Statement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Years Ended April 30, 2014 and 2013</w:t>
      </w:r>
    </w:p>
    <w:p>
      <w:pPr>
        <w:spacing w:after="0" w:line="225"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following table contains statement of operations information, which serves as the basis of the discussion of our results of operations for the years ended April 30, 2014 and 2013:</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Fiscal Year Ended</w:t>
            </w:r>
          </w:p>
        </w:tc>
        <w:tc>
          <w:tcPr>
            <w:tcW w:w="200" w:type="dxa"/>
            <w:vAlign w:val="bottom"/>
          </w:tcPr>
          <w:p>
            <w:pPr>
              <w:spacing w:after="0"/>
              <w:rPr>
                <w:sz w:val="18"/>
                <w:szCs w:val="18"/>
                <w:color w:val="auto"/>
              </w:rPr>
            </w:pPr>
          </w:p>
        </w:tc>
        <w:tc>
          <w:tcPr>
            <w:tcW w:w="268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Fiscal Year Ended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April 30, 2014</w:t>
            </w:r>
          </w:p>
        </w:tc>
        <w:tc>
          <w:tcPr>
            <w:tcW w:w="200" w:type="dxa"/>
            <w:vAlign w:val="bottom"/>
          </w:tcPr>
          <w:p>
            <w:pPr>
              <w:spacing w:after="0"/>
              <w:rPr>
                <w:sz w:val="20"/>
                <w:szCs w:val="20"/>
                <w:color w:val="auto"/>
              </w:rPr>
            </w:pPr>
          </w:p>
        </w:tc>
        <w:tc>
          <w:tcPr>
            <w:tcW w:w="268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April 30, 2013</w:t>
            </w:r>
          </w:p>
        </w:tc>
        <w:tc>
          <w:tcPr>
            <w:tcW w:w="13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As a % of</w:t>
            </w: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As a % of</w:t>
            </w:r>
          </w:p>
        </w:tc>
        <w:tc>
          <w:tcPr>
            <w:tcW w:w="320" w:type="dxa"/>
            <w:vAlign w:val="bottom"/>
          </w:tcPr>
          <w:p>
            <w:pPr>
              <w:spacing w:after="0"/>
              <w:rPr>
                <w:sz w:val="16"/>
                <w:szCs w:val="16"/>
                <w:color w:val="auto"/>
              </w:rPr>
            </w:pPr>
          </w:p>
        </w:tc>
        <w:tc>
          <w:tcPr>
            <w:tcW w:w="1380" w:type="dxa"/>
            <w:vAlign w:val="bottom"/>
            <w:gridSpan w:val="2"/>
          </w:tcPr>
          <w:p>
            <w:pPr>
              <w:jc w:val="center"/>
              <w:ind w:right="110"/>
              <w:spacing w:after="0" w:line="191" w:lineRule="exact"/>
              <w:rPr>
                <w:sz w:val="20"/>
                <w:szCs w:val="20"/>
                <w:color w:val="auto"/>
              </w:rPr>
            </w:pPr>
            <w:r>
              <w:rPr>
                <w:rFonts w:ascii="Arial" w:cs="Arial" w:eastAsia="Arial" w:hAnsi="Arial"/>
                <w:sz w:val="18"/>
                <w:szCs w:val="18"/>
                <w:b w:val="1"/>
                <w:bCs w:val="1"/>
                <w:color w:val="auto"/>
                <w:w w:val="89"/>
              </w:rPr>
              <w:t>2014 Period to</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Revenues  (1)</w:t>
            </w: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Revenues  (1)</w:t>
            </w:r>
          </w:p>
        </w:tc>
        <w:tc>
          <w:tcPr>
            <w:tcW w:w="13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2013 Period</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1,498,892</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3,616,129</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1,510,336</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3,480,821</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(loss) profit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(11,444)</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135,308</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development costs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4,564,898</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7,327,766</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contract loss reserve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(785,000)</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Selling, general and administrative costs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9,358,967</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9,126,757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13,138,865</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16,454,523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(13,150,309)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(16,319,215)</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(451)</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29,656</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126,377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183,704</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(83,416)</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(12,936,949)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(16,276,254)</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1,745,895</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1,453,243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(11,191,054)</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(14,823,011)</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(410)</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160"/>
              <w:spacing w:after="0" w:line="201" w:lineRule="exact"/>
              <w:rPr>
                <w:sz w:val="20"/>
                <w:szCs w:val="20"/>
                <w:color w:val="auto"/>
              </w:rPr>
            </w:pPr>
            <w:r>
              <w:rPr>
                <w:rFonts w:ascii="Arial" w:cs="Arial" w:eastAsia="Arial" w:hAnsi="Arial"/>
                <w:sz w:val="18"/>
                <w:szCs w:val="18"/>
                <w:color w:val="auto"/>
                <w:w w:val="94"/>
              </w:rPr>
              <w:t>Less: Net loss attributable to the noncontrolling</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20"/>
              <w:spacing w:after="0"/>
              <w:rPr>
                <w:sz w:val="20"/>
                <w:szCs w:val="20"/>
                <w:color w:val="auto"/>
              </w:rPr>
            </w:pPr>
            <w:r>
              <w:rPr>
                <w:rFonts w:ascii="Arial" w:cs="Arial" w:eastAsia="Arial" w:hAnsi="Arial"/>
                <w:sz w:val="18"/>
                <w:szCs w:val="18"/>
                <w:color w:val="auto"/>
              </w:rPr>
              <w:t>interest in Ocean Power Technologies</w:t>
            </w: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221,862</w:t>
            </w:r>
          </w:p>
        </w:tc>
        <w:tc>
          <w:tcPr>
            <w:tcW w:w="220" w:type="dxa"/>
            <w:vAlign w:val="bottom"/>
          </w:tcPr>
          <w:p>
            <w:pPr>
              <w:spacing w:after="0"/>
              <w:rPr>
                <w:sz w:val="18"/>
                <w:szCs w:val="18"/>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141,174</w:t>
            </w: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tcPr>
          <w:p>
            <w:pPr>
              <w:ind w:left="320"/>
              <w:spacing w:after="0"/>
              <w:rPr>
                <w:sz w:val="20"/>
                <w:szCs w:val="20"/>
                <w:color w:val="auto"/>
              </w:rPr>
            </w:pPr>
            <w:r>
              <w:rPr>
                <w:rFonts w:ascii="Arial" w:cs="Arial" w:eastAsia="Arial" w:hAnsi="Arial"/>
                <w:sz w:val="18"/>
                <w:szCs w:val="18"/>
                <w:color w:val="auto"/>
              </w:rPr>
              <w:t>(Australasia) Pty Ltd</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Net loss attributable to Ocean Power</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(10,969,192)</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(732)%</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(14,681,837)</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(406)%</w:t>
            </w:r>
          </w:p>
        </w:tc>
        <w:tc>
          <w:tcPr>
            <w:tcW w:w="1380" w:type="dxa"/>
            <w:vAlign w:val="bottom"/>
            <w:gridSpan w:val="2"/>
            <w:vMerge w:val="restart"/>
          </w:tcPr>
          <w:p>
            <w:pPr>
              <w:jc w:val="right"/>
              <w:spacing w:after="0" w:line="392" w:lineRule="exact"/>
              <w:rPr>
                <w:sz w:val="20"/>
                <w:szCs w:val="20"/>
                <w:color w:val="auto"/>
              </w:rPr>
            </w:pPr>
            <w:r>
              <w:rPr>
                <w:rFonts w:ascii="Arial" w:cs="Arial" w:eastAsia="Arial" w:hAnsi="Arial"/>
                <w:sz w:val="18"/>
                <w:szCs w:val="18"/>
                <w:color w:val="auto"/>
              </w:rPr>
              <w:t>25</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190"/>
        </w:trPr>
        <w:tc>
          <w:tcPr>
            <w:tcW w:w="3700" w:type="dxa"/>
            <w:vAlign w:val="bottom"/>
          </w:tcPr>
          <w:p>
            <w:pPr>
              <w:spacing w:after="0" w:line="190" w:lineRule="exact"/>
              <w:rPr>
                <w:sz w:val="20"/>
                <w:szCs w:val="20"/>
                <w:color w:val="auto"/>
              </w:rPr>
            </w:pPr>
            <w:r>
              <w:rPr>
                <w:rFonts w:ascii="Arial" w:cs="Arial" w:eastAsia="Arial" w:hAnsi="Arial"/>
                <w:sz w:val="18"/>
                <w:szCs w:val="18"/>
                <w:color w:val="auto"/>
              </w:rPr>
              <w:t>Technologies, Inc</w:t>
            </w:r>
          </w:p>
        </w:tc>
        <w:tc>
          <w:tcPr>
            <w:tcW w:w="1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w:t>
        <w:tab/>
        <w:t>Certain subtotals may not add due to rounding.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decreased by $2.1 million, or 59%, to $1.5 million in fiscal 2014, as compared to $3.6 million in fiscal 2013. The decrease in revenue related to the suspension of our PB150B2 PowerBuoy project off the coast of Oregon, decreased billable work on our PowerBuoy development projects, the completion of a project with MES in the prior fiscal year, and a decrease in the estimated contract value associated with our WavePort project off the coast of Spain.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Cost of revenues decreased by $2.0 million, or 57%, to $1.5 million in fiscal 2014, as compared to $3.5 million in fiscal 2013. The decrease in cost of revenues related to the suspension of our PB150B2 PowerBuoy project off the coast of Oregon, decreased billable work on our PowerBuoy development projects, the completion of a project with MES in the prior fiscal year, and a decrease in the estimated contract value associated with our WavePort project off the coast of Spain.</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Most of our projects in fiscal 2014 and 2013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achieving commercialization of our PowerBuoy systems and on our ability to manage costs incurred on our fixed price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Product development costs decreased by $2.8 million, or 38%, to $4.6 million in fiscal 2014, as compared to $7.3 million in fiscal 2013. Product development costs were attributable primarily to our efforts to increase the power output and reliability of our utility and autonomous PowerBuoy systems. The decrease in product development costs was related primarily to the suspension of our PowerBuoy project off the coast of Oregon. Over the next several years, it is our intent to fund the majority of our product development expenses, including cost-sharing arrangements, with sources of external funding. If we are unable to obtain external funding, we may curtail our product development expenses and/or scope as necessary.</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Change in contract loss reserve was $0.8 million in fiscal 2014. This amount represents a reversal of a previous project-specific reserve where the underlying project had encountered technical issues during deployment. While the Company had no specific legal obligation to continue work on the project, management’s intention had been to complete certain elements of the project. Effective as of April 30, 2014, management made a determination not to pursue its efforts to complete the project and reversed the contract loss reserve.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Selling, general and administrative costs increased by approximately $0.2 million, or 3%, to $9.4 million for fiscal 2014 as compared to $9.1 million for fiscal 2013. The increase was due primarily to fees associated with the establishment of the ATM Agreement and site development expenses related to the VWP project in Australia. These increases were partially offset by decreased employee related costs and third-party consultant costs and the collection of an account receivable relating to a project in Spain that had been fully reserved for in a prior period.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income decreased approximately 77% to $29,700 for fiscal 2014, as compared to approximately $126,000 in fiscal 2013, due to lower cash, cash equivalents and marketable securities over most of the fiscal year and a decrease in average yield.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Foreign exchange gain was $184,000 for fiscal 2014, compared to a foreign exchange loss of $83,000 for fiscal 2013. The difference was attributable primarily to the relative change in value of the British pound sterling, Euro, Australian dollar and Japanese yen compared to the US dollar during the two periods.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right="20" w:firstLine="389"/>
        <w:spacing w:after="0" w:line="308" w:lineRule="auto"/>
        <w:rPr>
          <w:sz w:val="20"/>
          <w:szCs w:val="20"/>
          <w:color w:val="auto"/>
        </w:rPr>
      </w:pPr>
      <w:r>
        <w:rPr>
          <w:rFonts w:ascii="Arial" w:cs="Arial" w:eastAsia="Arial" w:hAnsi="Arial"/>
          <w:sz w:val="17"/>
          <w:szCs w:val="17"/>
          <w:color w:val="auto"/>
        </w:rPr>
        <w:t>During the years ended April 30, 2014 and 2013, we sold New Jersey state net operating losses in the amount of $15.3 million and $18.7 million, respectively, resulting in the recognition of income tax benefits of $1.7 million and $1.5 million, respectively, recorded in our Statement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Outlook</w:t>
      </w:r>
    </w:p>
    <w:p>
      <w:pPr>
        <w:spacing w:after="0" w:line="229"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We have incurred net losses since we began operations in 1994. To achieve profitability, we believe we will need to increase revenue and gross profit, control our fixed costs and possibly reduce our unfunded research and development expenditures.</w:t>
      </w:r>
    </w:p>
    <w:p>
      <w:pPr>
        <w:spacing w:after="0" w:line="1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We do not know whether or when we will become profitable because of the significant uncertainties with respect to our ability to successfully commercialize our PowerBuoy systems in the emerging renewable energy market. Even if we do achieve profitability at some point in the future, we may not be able to sustain or increase profitability on a quarterly or annual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2014, our aggregate revenues were $5.1 million, our aggregate net losses were $26.0 million and our aggregate net cash used in operating activities was $17.3 million.</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Years Ended April 30,</w:t>
            </w:r>
          </w:p>
        </w:tc>
      </w:tr>
      <w:tr>
        <w:trPr>
          <w:trHeight w:val="210"/>
        </w:trPr>
        <w:tc>
          <w:tcPr>
            <w:tcW w:w="6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(11,191,054)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(14,823,011)</w:t>
            </w:r>
          </w:p>
        </w:tc>
      </w:tr>
      <w:tr>
        <w:trPr>
          <w:trHeight w:val="216"/>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1,484,011</w:t>
            </w:r>
          </w:p>
        </w:tc>
      </w:tr>
      <w:tr>
        <w:trPr>
          <w:trHeight w:val="210"/>
        </w:trPr>
        <w:tc>
          <w:tcPr>
            <w:tcW w:w="6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(10,277,208)</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(13,339,000)</w:t>
            </w:r>
          </w:p>
        </w:tc>
      </w:tr>
      <w:tr>
        <w:trPr>
          <w:trHeight w:val="216"/>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3,780,130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2,493,352</w:t>
            </w:r>
          </w:p>
        </w:tc>
      </w:tr>
      <w:tr>
        <w:trPr>
          <w:trHeight w:val="216"/>
        </w:trPr>
        <w:tc>
          <w:tcPr>
            <w:tcW w:w="6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(6,497,078)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(10,845,648)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6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(6,445,638)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8,057,573</w:t>
            </w:r>
          </w:p>
        </w:tc>
      </w:tr>
      <w:tr>
        <w:trPr>
          <w:trHeight w:val="197"/>
        </w:trPr>
        <w:tc>
          <w:tcPr>
            <w:tcW w:w="63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20,427,707</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(121,505)</w:t>
            </w:r>
          </w:p>
        </w:tc>
      </w:tr>
      <w:tr>
        <w:trPr>
          <w:trHeight w:val="197"/>
        </w:trPr>
        <w:tc>
          <w:tcPr>
            <w:tcW w:w="63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(71,092)</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Net cash used in operating activities was $6.5 million and $10.8 million for fiscal 2014 and 2013, respectively. The change was the result of a decrease in net loss of $3.6 million and an increase in cash provided by the net change in operating assets and liabilities of $1.3 million, offset by a decrease in noncash operating items of $0.6 million.</w:t>
      </w:r>
    </w:p>
    <w:p>
      <w:pPr>
        <w:spacing w:after="0" w:line="181"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decrease in net loss for fiscal 2014 compared to fiscal 2013 reflects a decrease in product development costs of $2.8 million relating primarily to a decrease in activity related to our PowerBuoy project off the coast of Oregon and a change in contract loss reserve of $0.8 million.</w:t>
      </w:r>
    </w:p>
    <w:p>
      <w:pPr>
        <w:spacing w:after="0" w:line="170"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decrease in noncash operating items in fiscal 2013 to fiscal 2014 reflects a net gain on foreign exchange of $0.3 million and the reversal in fiscal 2014 of a prior period allowance for doubtful accounts receivable of $0.3 million.</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operating assets and liabilities during fiscal 2014 was primarily the result of the collection of $0.5 million in accounts receivable, the collection of $4.7 million (net of goods and services tax (GST) due) in an advance payment received from ARENA, held as restricted cash, offset by a net decrease in unearned revenues of $0.6 million, an increase in accounts payable and accrued expenses of $2.2 million and an increase in cash used by other current assets of $1.1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investing activities</w:t>
      </w:r>
    </w:p>
    <w:p>
      <w:pPr>
        <w:spacing w:after="0" w:line="22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Net cash used in investing activities was $6.4 million for fiscal 2014 and net cash provided by investing activities was $8.1 million for fiscal 2013. The change was primarily the result of purchases of marketable securities, net, of $0.5 million in fiscal 2014 compared to maturities of marketable securities, net, of $8.4 million in fiscal 2013, and an increase in restricted cash of $5.9 million related primarily to the advance payment received from ARENA, offset by a net decrease in purchases of equipment of $0.3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22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Net cash provided by financing activities was $20.4 million for fiscal 2014 compared to net cash used in financing activities of $122,000 for fiscal 2013. The change was primarily the result of net proceeds received in fiscal 2014 of $9.7 million from the sale of common stock pursuant to the ATM Facility and $10.8 million from the sale of common stock in the Public Offering.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effect of exchange rates on cash and cash equivalents was an increase of $1,000 and a decrease of $71,000 in fiscal 2014 and 2013, respectively. The effect of exchange rates on cash and cash equivalents results primarily from gains or losses on consolidation of foreign subsidiaries and foreign denominated cash and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acquisitions of other products or technologies; and</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incurred negative operating cash flows since our inception. As of April 30, 2014, our cash and cash equivalents and marketable securities balance was approximately $28.4 million. Based upon our cash and cash equivalents and marketable securities balance as of April 30, 2014, we believe that we will be able to finance our capital requirements and operations through at least the third calendar quarter of 2015. In addition, as of April 30, 2014, our restricted cash balance was approximately $7.3 million.</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fiscal 2014 and 2013, we have continued to make investments in ongoing product development efforts in anticipation of future growth. Our future results of operations involve significant risks and uncertainties. Factors that could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If sufficient financing is not obtained, we may be required to further curtail or limit certain product development costs, and/or selling, general and administrative activities in order to reduce our cash expenditures.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January 2013, we filed the S-3 Shelf. The S-3 Shelf was declared effective in February 2013.</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Under the S-3 Shelf, we established the ATM Facility with Ascendiant Capital Markets, LLC via the ATM Agreement in June 2013. Under the ATM Agreement, we offered and sold shares of our common stock from time to time through the Manager, acting as sales agent, in ordinary brokerage transactions at prevailing market prices. Under the ATM Facility, we issued 3,306,334 shares for net proceeds of approximately $9,698,000 during fiscal 2014.</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entered into an Underwriting Agreement on April 4, 2014, with respect to an underwritten Public Offering of an aggregate of 3,800,000 shares of our common stock. The Underwriting Agreement contained customary representations, warranties and agreements by us, customary conditions to closing, indemnification obligations, and a 90 day lock-up period that limited transactions in our common stock by us. Net proceeds from the Public Offering were approximately $10,828,000.</w:t>
      </w:r>
    </w:p>
    <w:p>
      <w:pPr>
        <w:spacing w:after="0" w:line="18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Form S-3, whether under the Offering Agreement or otherwise, to one third of our public float. Given the fiscal 2014 share sales, we fully utilized the ATM Agreement and reached the applicable limit under Form S-3. Approximately $18.2 million remains available for issuance under the S-3 Shelf.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ind w:firstLine="405"/>
        <w:spacing w:after="0" w:line="257" w:lineRule="auto"/>
        <w:rPr>
          <w:sz w:val="20"/>
          <w:szCs w:val="20"/>
          <w:color w:val="auto"/>
        </w:rPr>
      </w:pPr>
      <w:r>
        <w:rPr>
          <w:rFonts w:ascii="Arial" w:cs="Arial" w:eastAsia="Arial" w:hAnsi="Arial"/>
          <w:sz w:val="18"/>
          <w:szCs w:val="18"/>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8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three months ended April 30, 2014, our subsidiary VWP received approximately A$5 million in initial grant funding from ARENA. Recognition of this revenue was deferred pending review of the status of the project and grant by management and the VWP board of directors. The Company has recorded this payment as an advance payment within the consolidated balance sheet. We have classified the initial grant funding received from ARENA, of A$5,595,723 ($5,179,960), which includes GST, as restricted cash. This initial funding was subject to claw-back provisions in the grant if certain contractual requirements to include performance criteria are not satisfied. Subsequent to April 30, 2014, we have remitted the GST in the amount of A$508,702 ($470,905) to the Australian Tax Office in accordance with local tax laws. This amount had been accrued as of April 30, 2014 and is recorded in accrued expense (note 5). In July 2014, the VWP Board of Directors determined that the project contemplated by the grant was no longer commercially viable and tendered a notice of its intent to terminate the Funding Deed and return to ARENA the grant funds received.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set forth above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21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believe the following accounting policies require significant judgment and estimates by us in the preparation of our consolidated financial statements.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 and unearned revenues</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Our contracts are either cost plus or fixed price contracts. Under cost plus contracts, customers are billed for actual expenses incurred plus an agreed-upon fee. Currently, we have two types of fixed price contracts, firm fixed price and cost-sharing. Under firm fixed price contracts, we receive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revenue for the periods involved.</w:t>
      </w:r>
    </w:p>
    <w:p>
      <w:pPr>
        <w:spacing w:after="0" w:line="17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Our share of the costs is recorded as product development expense.</w:t>
      </w:r>
    </w:p>
    <w:p>
      <w:pPr>
        <w:spacing w:after="0" w:line="181" w:lineRule="exact"/>
        <w:rPr>
          <w:sz w:val="20"/>
          <w:szCs w:val="20"/>
          <w:color w:val="auto"/>
        </w:rPr>
      </w:pPr>
    </w:p>
    <w:p>
      <w:pPr>
        <w:jc w:val="both"/>
        <w:ind w:right="20" w:firstLine="389"/>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w:t>
      </w:r>
    </w:p>
    <w:p>
      <w:pPr>
        <w:spacing w:after="0" w:line="22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7"/>
          <w:szCs w:val="17"/>
          <w:color w:val="auto"/>
        </w:rPr>
        <w:t xml:space="preserve">Determining the appropriate fair-value model and calculating the fair value of stock-based awards at the date of grant using any valuation model requires judgment. We use the Black-Scholes option pricing model to estimate the fair value of employee stock options. Option pricing models, including the Black-Scholes model, require the use of input assumptions, including expected volatility, expected term and the expected dividend rate. Expected volatility for fiscal 2014 was based on the Company’s historical volatility. In prior years, we estimated our expected volatility based on that of what we considered to be similar publicly-traded companies because our stock had been publicly traded in the United States only since April 2007, so we did not have a significant observable share-price volatility for the United States capital markets. We did not estimate our expected volatility based on the price of our common stock on the AIM market of the London Stock Exchange, on which our shares traded from October 2003 until we voluntarily delisted in January 2011, because we did not believe, based on the historically low trading volume of our shares on that market, that the volatility of our common stock on the AIM market was an appropriate indicator of the expected volatility of our common stock. We estimate the expected term using the average midpoint between the vesting terms and the contractual terms of our options as permitted by the Securities and Exchange Commission's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If we determine another method to estimate expected term is more reasonable than our current method, or if another method for calculating this input assumption is prescribed by authoritative guidance, the fair value calculated for future stock-based awards could change significantly. Longer expected terms have a significant impact on the value of stock-based compensation determined at the date of grant. The expected dividend rate is not significant to the calculation of the fair value of our stock-based awards.</w:t>
      </w:r>
    </w:p>
    <w:p>
      <w:pPr>
        <w:spacing w:after="0" w:line="185"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In addition, we are required to develop an estimate of the number of stock-based awards that will be forfeited due to employee turnover. 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17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aggregate share-based compensation expense related to all share-based transactions related to employees was approximately $0.6 million and $0.8 million in fiscal 2014 and 2013, respectively.</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6"/>
          <w:szCs w:val="16"/>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12 to our consolidated financial statements included in this Annual Report, we have established a valuation allowance for our net deferred tax assets, which was $46.8 million and $43.7 million as of April 30, 2014 and April 30, 2013, respectively. During the years ended April 30, 2014 and 2013, we sold New Jersey State net operating losses in the amount of $15.3 million and $18.7 million, respectively, resulting in the recognition of income tax benefits of $1.7 million and $1.5 million, respectively, recorded in our Statement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January 1, 2017. Early application is not permitted.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97"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2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Disclosure Controls and Procedures</w:t>
      </w:r>
    </w:p>
    <w:p>
      <w:pPr>
        <w:spacing w:after="0" w:line="281"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Management evaluated the effectiveness of our disclosure controls and procedures as of the end of our fiscal year ended April 30, 2014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timely allow decisions regarding required disclosure. Based on their evaluation, management concluded that our disclosure controls and procedures were not effective as of April 30, 2014 to ensure that non-financial statement and related disclosure information required to be disclosed by us in the reports that we file or submit under the Exchange Act is recorded, processed, summarized and reported within the time periods specified in the SEC’s rules and forms. The deficiencies that caused our disclosure controls and procedures to not be effective do not relate to financial statement and related disclosure information or adversely affect the Company’s internal control over financial reporting.</w:t>
      </w:r>
    </w:p>
    <w:p>
      <w:pPr>
        <w:spacing w:after="0" w:line="39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order to rectify our ineffective disclosure controls and procedures, we have developed a process to ensure that all information will be recorded, processed, summarized and reported accurately, and as of the date of this report, we have taken the following steps to address our ineffective disclosure controls and procedures:</w:t>
      </w:r>
    </w:p>
    <w:p>
      <w:pPr>
        <w:spacing w:after="0" w:line="181" w:lineRule="exact"/>
        <w:rPr>
          <w:sz w:val="20"/>
          <w:szCs w:val="20"/>
          <w:color w:val="auto"/>
        </w:rPr>
      </w:pPr>
    </w:p>
    <w:p>
      <w:pPr>
        <w:ind w:left="1300" w:right="300" w:hanging="644"/>
        <w:spacing w:after="0" w:line="258"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expanded the review of the information contained in this report to include additional senior personnel with operational and technical knowledge, and intend to continue this process with future periodic reports;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utilized additional external review from legal and disclosure controls subject matter experts in preparation of this report;</w:t>
      </w:r>
    </w:p>
    <w:p>
      <w:pPr>
        <w:spacing w:after="0" w:line="9" w:lineRule="exact"/>
        <w:rPr>
          <w:rFonts w:ascii="Arial" w:cs="Arial" w:eastAsia="Arial" w:hAnsi="Arial"/>
          <w:sz w:val="18"/>
          <w:szCs w:val="18"/>
          <w:color w:val="auto"/>
        </w:rPr>
      </w:pPr>
    </w:p>
    <w:p>
      <w:pPr>
        <w:ind w:left="1300" w:right="220" w:hanging="644"/>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established a Disclosure Committee with a charter that includes the responsibility to expand our current controls and procedures and report to the senior officers with a liaison to the Audit Committee; and</w:t>
      </w: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continue to educate our management personnel in order to ensure compliance with applicable disclosure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w:t>
      </w:r>
    </w:p>
    <w:p>
      <w:pPr>
        <w:spacing w:after="0" w:line="279"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89"/>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April 30, 2014 that has materially affected, or is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97"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Information with respect to this item is set forth in the Proxy Statement for the 2014 Annual Meeting of Stockholders (the "Proxy Statement") under the headings "Election of Directors," "Executive Officers," "Section 16(a) Beneficial Ownership Reporting Compliance," "Code of Ethics" and "Corporate Governance" and is incorporated herein by reference. The Proxy Statement will be filed with the SEC within 120 days after the end of the fiscal year covered by this Form 10-K.</w:t>
      </w:r>
    </w:p>
    <w:p>
      <w:pPr>
        <w:spacing w:after="0" w:line="2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9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headings "Executive Compensation" and "Director Compensation," and is incorporated herein by reference. The Proxy Statement will be filed with the SEC within 120 days after the end of the fiscal year covered by this Form 10-K.</w:t>
      </w:r>
    </w:p>
    <w:p>
      <w:pPr>
        <w:spacing w:after="0" w:line="2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9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headings "Security Ownership of Certain Beneficial Owners and Management" and "Executive Compensation," and is incorporated herein by reference. The Proxy Statement will be filed with the SEC within 120 days after the end of the fiscal year covered by this Form 10-K.</w:t>
      </w:r>
    </w:p>
    <w:p>
      <w:pPr>
        <w:spacing w:after="0" w:line="2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9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headings "Certain Relationships and Related Party Transactions" and "Corporate Governance" and is incorporated herein by reference. The Proxy Statement will be filed with the SEC within 120 days after the end of the fiscal year covered by this Form 10-K.</w:t>
      </w:r>
    </w:p>
    <w:p>
      <w:pPr>
        <w:spacing w:after="0" w:line="2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97"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Information with respect to this item is set forth in the Proxy Statement under the heading "Ratification of the Selection of Independent Registered Public Accounting Firm," and is incorporated herein by reference. The Proxy Statement will be filed with the SEC within 120 days after the end of the fiscal year covered by this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ind w:left="53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97" w:lineRule="exact"/>
        <w:rPr>
          <w:sz w:val="20"/>
          <w:szCs w:val="20"/>
          <w:color w:val="auto"/>
        </w:rPr>
      </w:pPr>
    </w:p>
    <w:p>
      <w:pPr>
        <w:ind w:left="640" w:hanging="243"/>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 Financial Statements: See Index to Consolidated Financial Statements on page F-1.</w:t>
      </w:r>
    </w:p>
    <w:p>
      <w:pPr>
        <w:spacing w:after="0" w:line="46" w:lineRule="exact"/>
        <w:rPr>
          <w:rFonts w:ascii="Arial" w:cs="Arial" w:eastAsia="Arial" w:hAnsi="Arial"/>
          <w:sz w:val="16"/>
          <w:szCs w:val="16"/>
          <w:color w:val="auto"/>
        </w:rPr>
      </w:pPr>
    </w:p>
    <w:p>
      <w:pPr>
        <w:ind w:left="660" w:hanging="247"/>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Exhibits: See Exhibits Index on pages 45 to 46.</w:t>
      </w: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94" w:right="1440"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pacing w:after="0" w:line="200" w:lineRule="exact"/>
        <w:rPr>
          <w:sz w:val="20"/>
          <w:szCs w:val="20"/>
          <w:color w:val="auto"/>
        </w:rPr>
      </w:pPr>
    </w:p>
    <w:p>
      <w:pPr>
        <w:spacing w:after="0" w:line="24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David L. Keller</w:t>
      </w:r>
    </w:p>
    <w:p>
      <w:pPr>
        <w:spacing w:after="0" w:line="23" w:lineRule="exact"/>
        <w:rPr>
          <w:sz w:val="20"/>
          <w:szCs w:val="20"/>
          <w:color w:val="auto"/>
        </w:rPr>
      </w:pPr>
    </w:p>
    <w:p>
      <w:pPr>
        <w:ind w:left="5600"/>
        <w:spacing w:after="0"/>
        <w:tabs>
          <w:tab w:leader="none" w:pos="6020" w:val="left"/>
        </w:tabs>
        <w:rPr>
          <w:sz w:val="20"/>
          <w:szCs w:val="20"/>
          <w:color w:val="auto"/>
        </w:rPr>
      </w:pPr>
      <w:r>
        <w:rPr>
          <w:rFonts w:ascii="Arial" w:cs="Arial" w:eastAsia="Arial" w:hAnsi="Arial"/>
          <w:sz w:val="18"/>
          <w:szCs w:val="18"/>
          <w:color w:val="auto"/>
        </w:rPr>
        <w:t>By:</w:t>
        <w:tab/>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-130810</wp:posOffset>
            </wp:positionV>
            <wp:extent cx="30956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Interim Chief Executive Officer</w:t>
      </w:r>
    </w:p>
    <w:p>
      <w:pPr>
        <w:spacing w:after="0" w:line="265"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460" w:type="dxa"/>
            <w:vAlign w:val="bottom"/>
          </w:tcPr>
          <w:p>
            <w:pPr>
              <w:ind w:left="980"/>
              <w:spacing w:after="0"/>
              <w:rPr>
                <w:sz w:val="20"/>
                <w:szCs w:val="20"/>
                <w:color w:val="auto"/>
              </w:rPr>
            </w:pPr>
            <w:r>
              <w:rPr>
                <w:rFonts w:ascii="Arial" w:cs="Arial" w:eastAsia="Arial" w:hAnsi="Arial"/>
                <w:sz w:val="18"/>
                <w:szCs w:val="18"/>
                <w:b w:val="1"/>
                <w:bCs w:val="1"/>
                <w:color w:val="auto"/>
              </w:rPr>
              <w:t>Signature</w:t>
            </w:r>
          </w:p>
        </w:tc>
        <w:tc>
          <w:tcPr>
            <w:tcW w:w="4900" w:type="dxa"/>
            <w:vAlign w:val="bottom"/>
          </w:tcPr>
          <w:p>
            <w:pPr>
              <w:jc w:val="center"/>
              <w:ind w:left="410"/>
              <w:spacing w:after="0"/>
              <w:rPr>
                <w:sz w:val="20"/>
                <w:szCs w:val="20"/>
                <w:color w:val="auto"/>
              </w:rPr>
            </w:pPr>
            <w:r>
              <w:rPr>
                <w:rFonts w:ascii="Arial" w:cs="Arial" w:eastAsia="Arial" w:hAnsi="Arial"/>
                <w:sz w:val="18"/>
                <w:szCs w:val="18"/>
                <w:b w:val="1"/>
                <w:bCs w:val="1"/>
                <w:color w:val="auto"/>
                <w:w w:val="97"/>
              </w:rPr>
              <w:t>Title</w:t>
            </w:r>
          </w:p>
        </w:tc>
        <w:tc>
          <w:tcPr>
            <w:tcW w:w="23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Date</w:t>
            </w:r>
          </w:p>
        </w:tc>
      </w:tr>
      <w:tr>
        <w:trPr>
          <w:trHeight w:val="648"/>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97"/>
              </w:rPr>
              <w:t>David L. Keller</w:t>
            </w:r>
          </w:p>
        </w:tc>
        <w:tc>
          <w:tcPr>
            <w:tcW w:w="4900" w:type="dxa"/>
            <w:vAlign w:val="bottom"/>
          </w:tcPr>
          <w:p>
            <w:pPr>
              <w:jc w:val="center"/>
              <w:ind w:left="390"/>
              <w:spacing w:after="0"/>
              <w:rPr>
                <w:sz w:val="20"/>
                <w:szCs w:val="20"/>
                <w:color w:val="auto"/>
              </w:rPr>
            </w:pPr>
            <w:r>
              <w:rPr>
                <w:rFonts w:ascii="Arial" w:cs="Arial" w:eastAsia="Arial" w:hAnsi="Arial"/>
                <w:sz w:val="18"/>
                <w:szCs w:val="18"/>
                <w:color w:val="auto"/>
                <w:w w:val="94"/>
              </w:rPr>
              <w:t>Interim Chief Executive Officer</w:t>
            </w:r>
          </w:p>
        </w:tc>
        <w:tc>
          <w:tcPr>
            <w:tcW w:w="2380" w:type="dxa"/>
            <w:vAlign w:val="bottom"/>
          </w:tcPr>
          <w:p>
            <w:pPr>
              <w:jc w:val="center"/>
              <w:ind w:left="470"/>
              <w:spacing w:after="0"/>
              <w:rPr>
                <w:sz w:val="20"/>
                <w:szCs w:val="20"/>
                <w:color w:val="auto"/>
              </w:rPr>
            </w:pPr>
            <w:r>
              <w:rPr>
                <w:rFonts w:ascii="Arial" w:cs="Arial" w:eastAsia="Arial" w:hAnsi="Arial"/>
                <w:sz w:val="18"/>
                <w:szCs w:val="18"/>
                <w:color w:val="auto"/>
                <w:w w:val="91"/>
              </w:rPr>
              <w:t>July 29, 2014</w:t>
            </w:r>
          </w:p>
        </w:tc>
      </w:tr>
      <w:tr>
        <w:trPr>
          <w:trHeight w:val="195"/>
        </w:trPr>
        <w:tc>
          <w:tcPr>
            <w:tcW w:w="720" w:type="dxa"/>
            <w:vAlign w:val="bottom"/>
          </w:tcPr>
          <w:p>
            <w:pPr>
              <w:spacing w:after="0"/>
              <w:rPr>
                <w:sz w:val="16"/>
                <w:szCs w:val="16"/>
                <w:color w:val="auto"/>
              </w:rPr>
            </w:pPr>
          </w:p>
        </w:tc>
        <w:tc>
          <w:tcPr>
            <w:tcW w:w="3460" w:type="dxa"/>
            <w:vAlign w:val="bottom"/>
          </w:tcPr>
          <w:p>
            <w:pPr>
              <w:jc w:val="center"/>
              <w:ind w:right="630"/>
              <w:spacing w:after="0" w:line="195" w:lineRule="exact"/>
              <w:rPr>
                <w:sz w:val="20"/>
                <w:szCs w:val="20"/>
                <w:color w:val="auto"/>
              </w:rPr>
            </w:pPr>
            <w:r>
              <w:rPr>
                <w:rFonts w:ascii="Arial" w:cs="Arial" w:eastAsia="Arial" w:hAnsi="Arial"/>
                <w:sz w:val="18"/>
                <w:szCs w:val="18"/>
                <w:color w:val="auto"/>
                <w:w w:val="97"/>
              </w:rPr>
              <w:t>David L. Keller</w:t>
            </w:r>
          </w:p>
        </w:tc>
        <w:tc>
          <w:tcPr>
            <w:tcW w:w="4900" w:type="dxa"/>
            <w:vAlign w:val="bottom"/>
          </w:tcPr>
          <w:p>
            <w:pPr>
              <w:jc w:val="center"/>
              <w:ind w:left="390"/>
              <w:spacing w:after="0" w:line="195" w:lineRule="exact"/>
              <w:rPr>
                <w:sz w:val="20"/>
                <w:szCs w:val="20"/>
                <w:color w:val="auto"/>
              </w:rPr>
            </w:pPr>
            <w:r>
              <w:rPr>
                <w:rFonts w:ascii="Arial" w:cs="Arial" w:eastAsia="Arial" w:hAnsi="Arial"/>
                <w:sz w:val="18"/>
                <w:szCs w:val="18"/>
                <w:color w:val="auto"/>
                <w:w w:val="94"/>
              </w:rPr>
              <w:t>(Principal Executive Officer)</w:t>
            </w:r>
          </w:p>
        </w:tc>
        <w:tc>
          <w:tcPr>
            <w:tcW w:w="238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00" w:type="dxa"/>
            <w:vAlign w:val="bottom"/>
          </w:tcPr>
          <w:p>
            <w:pPr>
              <w:jc w:val="center"/>
              <w:ind w:left="41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spacing w:after="0"/>
              <w:rPr>
                <w:sz w:val="20"/>
                <w:szCs w:val="20"/>
                <w:color w:val="auto"/>
              </w:rPr>
            </w:pPr>
          </w:p>
        </w:tc>
      </w:tr>
      <w:tr>
        <w:trPr>
          <w:trHeight w:val="418"/>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00" w:type="dxa"/>
            <w:vAlign w:val="bottom"/>
          </w:tcPr>
          <w:p>
            <w:pPr>
              <w:jc w:val="center"/>
              <w:ind w:left="410"/>
              <w:spacing w:after="0"/>
              <w:rPr>
                <w:sz w:val="20"/>
                <w:szCs w:val="20"/>
                <w:color w:val="auto"/>
              </w:rPr>
            </w:pPr>
            <w:r>
              <w:rPr>
                <w:rFonts w:ascii="Arial" w:cs="Arial" w:eastAsia="Arial" w:hAnsi="Arial"/>
                <w:sz w:val="18"/>
                <w:szCs w:val="18"/>
                <w:color w:val="auto"/>
                <w:w w:val="94"/>
              </w:rPr>
              <w:t>Chief Financial Officer,</w:t>
            </w:r>
          </w:p>
        </w:tc>
        <w:tc>
          <w:tcPr>
            <w:tcW w:w="2380" w:type="dxa"/>
            <w:vAlign w:val="bottom"/>
          </w:tcPr>
          <w:p>
            <w:pPr>
              <w:spacing w:after="0"/>
              <w:rPr>
                <w:sz w:val="24"/>
                <w:szCs w:val="24"/>
                <w:color w:val="auto"/>
              </w:rPr>
            </w:pPr>
          </w:p>
        </w:tc>
      </w:tr>
      <w:tr>
        <w:trPr>
          <w:trHeight w:val="230"/>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91"/>
              </w:rPr>
              <w:t>Mark A. Featherstone</w:t>
            </w:r>
          </w:p>
        </w:tc>
        <w:tc>
          <w:tcPr>
            <w:tcW w:w="4900" w:type="dxa"/>
            <w:vAlign w:val="bottom"/>
          </w:tcPr>
          <w:p>
            <w:pPr>
              <w:jc w:val="center"/>
              <w:ind w:left="410"/>
              <w:spacing w:after="0"/>
              <w:rPr>
                <w:sz w:val="20"/>
                <w:szCs w:val="20"/>
                <w:color w:val="auto"/>
              </w:rPr>
            </w:pPr>
            <w:r>
              <w:rPr>
                <w:rFonts w:ascii="Arial" w:cs="Arial" w:eastAsia="Arial" w:hAnsi="Arial"/>
                <w:sz w:val="18"/>
                <w:szCs w:val="18"/>
                <w:color w:val="auto"/>
                <w:w w:val="88"/>
              </w:rPr>
              <w:t>Secretary and Treasurer</w:t>
            </w:r>
          </w:p>
        </w:tc>
        <w:tc>
          <w:tcPr>
            <w:tcW w:w="2380" w:type="dxa"/>
            <w:vAlign w:val="bottom"/>
          </w:tcPr>
          <w:p>
            <w:pPr>
              <w:jc w:val="center"/>
              <w:ind w:left="470"/>
              <w:spacing w:after="0"/>
              <w:rPr>
                <w:sz w:val="20"/>
                <w:szCs w:val="20"/>
                <w:color w:val="auto"/>
              </w:rPr>
            </w:pPr>
            <w:r>
              <w:rPr>
                <w:rFonts w:ascii="Arial" w:cs="Arial" w:eastAsia="Arial" w:hAnsi="Arial"/>
                <w:sz w:val="18"/>
                <w:szCs w:val="18"/>
                <w:color w:val="auto"/>
                <w:w w:val="91"/>
              </w:rPr>
              <w:t>July 29, 2014</w:t>
            </w:r>
          </w:p>
        </w:tc>
      </w:tr>
      <w:tr>
        <w:trPr>
          <w:trHeight w:val="195"/>
        </w:trPr>
        <w:tc>
          <w:tcPr>
            <w:tcW w:w="720" w:type="dxa"/>
            <w:vAlign w:val="bottom"/>
          </w:tcPr>
          <w:p>
            <w:pPr>
              <w:spacing w:after="0"/>
              <w:rPr>
                <w:sz w:val="16"/>
                <w:szCs w:val="16"/>
                <w:color w:val="auto"/>
              </w:rPr>
            </w:pPr>
          </w:p>
        </w:tc>
        <w:tc>
          <w:tcPr>
            <w:tcW w:w="3460" w:type="dxa"/>
            <w:vAlign w:val="bottom"/>
          </w:tcPr>
          <w:p>
            <w:pPr>
              <w:jc w:val="center"/>
              <w:ind w:right="630"/>
              <w:spacing w:after="0" w:line="195" w:lineRule="exact"/>
              <w:rPr>
                <w:sz w:val="20"/>
                <w:szCs w:val="20"/>
                <w:color w:val="auto"/>
              </w:rPr>
            </w:pPr>
            <w:r>
              <w:rPr>
                <w:rFonts w:ascii="Arial" w:cs="Arial" w:eastAsia="Arial" w:hAnsi="Arial"/>
                <w:sz w:val="18"/>
                <w:szCs w:val="18"/>
                <w:color w:val="auto"/>
                <w:w w:val="91"/>
              </w:rPr>
              <w:t>Mark A. Featherstone</w:t>
            </w:r>
          </w:p>
        </w:tc>
        <w:tc>
          <w:tcPr>
            <w:tcW w:w="4900" w:type="dxa"/>
            <w:vAlign w:val="bottom"/>
          </w:tcPr>
          <w:p>
            <w:pPr>
              <w:jc w:val="center"/>
              <w:ind w:left="390"/>
              <w:spacing w:after="0" w:line="195" w:lineRule="exact"/>
              <w:rPr>
                <w:sz w:val="20"/>
                <w:szCs w:val="20"/>
                <w:color w:val="auto"/>
              </w:rPr>
            </w:pPr>
            <w:r>
              <w:rPr>
                <w:rFonts w:ascii="Arial" w:cs="Arial" w:eastAsia="Arial" w:hAnsi="Arial"/>
                <w:sz w:val="18"/>
                <w:szCs w:val="18"/>
                <w:color w:val="auto"/>
                <w:w w:val="94"/>
              </w:rPr>
              <w:t>(Principal Financial Officer</w:t>
            </w:r>
          </w:p>
        </w:tc>
        <w:tc>
          <w:tcPr>
            <w:tcW w:w="238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00" w:type="dxa"/>
            <w:vAlign w:val="bottom"/>
          </w:tcPr>
          <w:p>
            <w:pPr>
              <w:jc w:val="center"/>
              <w:ind w:left="390"/>
              <w:spacing w:after="0"/>
              <w:rPr>
                <w:sz w:val="20"/>
                <w:szCs w:val="20"/>
                <w:color w:val="auto"/>
              </w:rPr>
            </w:pPr>
            <w:r>
              <w:rPr>
                <w:rFonts w:ascii="Arial" w:cs="Arial" w:eastAsia="Arial" w:hAnsi="Arial"/>
                <w:sz w:val="18"/>
                <w:szCs w:val="18"/>
                <w:color w:val="auto"/>
                <w:w w:val="93"/>
              </w:rPr>
              <w:t>and Principal Accounting Officer)</w:t>
            </w:r>
          </w:p>
        </w:tc>
        <w:tc>
          <w:tcPr>
            <w:tcW w:w="2380" w:type="dxa"/>
            <w:vAlign w:val="bottom"/>
          </w:tcPr>
          <w:p>
            <w:pPr>
              <w:spacing w:after="0"/>
              <w:rPr>
                <w:sz w:val="20"/>
                <w:szCs w:val="20"/>
                <w:color w:val="auto"/>
              </w:rPr>
            </w:pPr>
          </w:p>
        </w:tc>
      </w:tr>
      <w:tr>
        <w:trPr>
          <w:trHeight w:val="432"/>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88"/>
              </w:rPr>
              <w:t>Terence J. Cryan</w:t>
            </w:r>
          </w:p>
        </w:tc>
        <w:tc>
          <w:tcPr>
            <w:tcW w:w="4900" w:type="dxa"/>
            <w:vAlign w:val="bottom"/>
          </w:tcPr>
          <w:p>
            <w:pPr>
              <w:jc w:val="center"/>
              <w:ind w:left="41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left="470"/>
              <w:spacing w:after="0"/>
              <w:rPr>
                <w:sz w:val="20"/>
                <w:szCs w:val="20"/>
                <w:color w:val="auto"/>
              </w:rPr>
            </w:pPr>
            <w:r>
              <w:rPr>
                <w:rFonts w:ascii="Arial" w:cs="Arial" w:eastAsia="Arial" w:hAnsi="Arial"/>
                <w:sz w:val="18"/>
                <w:szCs w:val="18"/>
                <w:color w:val="auto"/>
                <w:w w:val="91"/>
              </w:rPr>
              <w:t>July 29, 2014</w:t>
            </w:r>
          </w:p>
        </w:tc>
      </w:tr>
      <w:tr>
        <w:trPr>
          <w:trHeight w:val="224"/>
        </w:trPr>
        <w:tc>
          <w:tcPr>
            <w:tcW w:w="720" w:type="dxa"/>
            <w:vAlign w:val="bottom"/>
          </w:tcPr>
          <w:p>
            <w:pPr>
              <w:spacing w:after="0"/>
              <w:rPr>
                <w:sz w:val="19"/>
                <w:szCs w:val="19"/>
                <w:color w:val="auto"/>
              </w:rPr>
            </w:pPr>
          </w:p>
        </w:tc>
        <w:tc>
          <w:tcPr>
            <w:tcW w:w="3460" w:type="dxa"/>
            <w:vAlign w:val="bottom"/>
          </w:tcPr>
          <w:p>
            <w:pPr>
              <w:jc w:val="center"/>
              <w:ind w:right="630"/>
              <w:spacing w:after="0"/>
              <w:rPr>
                <w:sz w:val="20"/>
                <w:szCs w:val="20"/>
                <w:color w:val="auto"/>
              </w:rPr>
            </w:pPr>
            <w:r>
              <w:rPr>
                <w:rFonts w:ascii="Arial" w:cs="Arial" w:eastAsia="Arial" w:hAnsi="Arial"/>
                <w:sz w:val="18"/>
                <w:szCs w:val="18"/>
                <w:color w:val="auto"/>
                <w:w w:val="88"/>
              </w:rPr>
              <w:t>Terence J. Cryan</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8"/>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91"/>
              </w:rPr>
              <w:t>Seymour S. Preston III</w:t>
            </w:r>
          </w:p>
        </w:tc>
        <w:tc>
          <w:tcPr>
            <w:tcW w:w="4900" w:type="dxa"/>
            <w:vAlign w:val="bottom"/>
          </w:tcPr>
          <w:p>
            <w:pPr>
              <w:jc w:val="center"/>
              <w:ind w:left="41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left="470"/>
              <w:spacing w:after="0"/>
              <w:rPr>
                <w:sz w:val="20"/>
                <w:szCs w:val="20"/>
                <w:color w:val="auto"/>
              </w:rPr>
            </w:pPr>
            <w:r>
              <w:rPr>
                <w:rFonts w:ascii="Arial" w:cs="Arial" w:eastAsia="Arial" w:hAnsi="Arial"/>
                <w:sz w:val="18"/>
                <w:szCs w:val="18"/>
                <w:color w:val="auto"/>
                <w:w w:val="91"/>
              </w:rPr>
              <w:t>July 29, 2014</w:t>
            </w:r>
          </w:p>
        </w:tc>
      </w:tr>
      <w:tr>
        <w:trPr>
          <w:trHeight w:val="224"/>
        </w:trPr>
        <w:tc>
          <w:tcPr>
            <w:tcW w:w="720" w:type="dxa"/>
            <w:vAlign w:val="bottom"/>
          </w:tcPr>
          <w:p>
            <w:pPr>
              <w:spacing w:after="0"/>
              <w:rPr>
                <w:sz w:val="19"/>
                <w:szCs w:val="19"/>
                <w:color w:val="auto"/>
              </w:rPr>
            </w:pPr>
          </w:p>
        </w:tc>
        <w:tc>
          <w:tcPr>
            <w:tcW w:w="3460" w:type="dxa"/>
            <w:vAlign w:val="bottom"/>
          </w:tcPr>
          <w:p>
            <w:pPr>
              <w:jc w:val="center"/>
              <w:ind w:right="630"/>
              <w:spacing w:after="0"/>
              <w:rPr>
                <w:sz w:val="20"/>
                <w:szCs w:val="20"/>
                <w:color w:val="auto"/>
              </w:rPr>
            </w:pPr>
            <w:r>
              <w:rPr>
                <w:rFonts w:ascii="Arial" w:cs="Arial" w:eastAsia="Arial" w:hAnsi="Arial"/>
                <w:sz w:val="18"/>
                <w:szCs w:val="18"/>
                <w:color w:val="auto"/>
                <w:w w:val="91"/>
              </w:rPr>
              <w:t>Seymour S. Preston III</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8"/>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93"/>
              </w:rPr>
              <w:t>Eileen M. Competti</w:t>
            </w:r>
          </w:p>
        </w:tc>
        <w:tc>
          <w:tcPr>
            <w:tcW w:w="4900" w:type="dxa"/>
            <w:vAlign w:val="bottom"/>
          </w:tcPr>
          <w:p>
            <w:pPr>
              <w:jc w:val="center"/>
              <w:ind w:left="410"/>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left="470"/>
              <w:spacing w:after="0"/>
              <w:rPr>
                <w:sz w:val="20"/>
                <w:szCs w:val="20"/>
                <w:color w:val="auto"/>
              </w:rPr>
            </w:pPr>
            <w:r>
              <w:rPr>
                <w:rFonts w:ascii="Arial" w:cs="Arial" w:eastAsia="Arial" w:hAnsi="Arial"/>
                <w:sz w:val="18"/>
                <w:szCs w:val="18"/>
                <w:color w:val="auto"/>
                <w:w w:val="91"/>
              </w:rPr>
              <w:t>July 29, 2014</w:t>
            </w:r>
          </w:p>
        </w:tc>
      </w:tr>
      <w:tr>
        <w:trPr>
          <w:trHeight w:val="224"/>
        </w:trPr>
        <w:tc>
          <w:tcPr>
            <w:tcW w:w="720" w:type="dxa"/>
            <w:vAlign w:val="bottom"/>
          </w:tcPr>
          <w:p>
            <w:pPr>
              <w:spacing w:after="0"/>
              <w:rPr>
                <w:sz w:val="19"/>
                <w:szCs w:val="19"/>
                <w:color w:val="auto"/>
              </w:rPr>
            </w:pPr>
          </w:p>
        </w:tc>
        <w:tc>
          <w:tcPr>
            <w:tcW w:w="3460" w:type="dxa"/>
            <w:vAlign w:val="bottom"/>
          </w:tcPr>
          <w:p>
            <w:pPr>
              <w:jc w:val="center"/>
              <w:ind w:right="630"/>
              <w:spacing w:after="0"/>
              <w:rPr>
                <w:sz w:val="20"/>
                <w:szCs w:val="20"/>
                <w:color w:val="auto"/>
              </w:rPr>
            </w:pPr>
            <w:r>
              <w:rPr>
                <w:rFonts w:ascii="Arial" w:cs="Arial" w:eastAsia="Arial" w:hAnsi="Arial"/>
                <w:sz w:val="18"/>
                <w:szCs w:val="18"/>
                <w:color w:val="auto"/>
                <w:w w:val="93"/>
              </w:rPr>
              <w:t>Eileen M. Competti</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877"/>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00" w:type="dxa"/>
            <w:vAlign w:val="bottom"/>
          </w:tcPr>
          <w:p>
            <w:pPr>
              <w:jc w:val="right"/>
              <w:ind w:right="3190"/>
              <w:spacing w:after="0"/>
              <w:rPr>
                <w:sz w:val="20"/>
                <w:szCs w:val="20"/>
                <w:color w:val="auto"/>
              </w:rPr>
            </w:pPr>
            <w:r>
              <w:rPr>
                <w:rFonts w:ascii="Arial" w:cs="Arial" w:eastAsia="Arial" w:hAnsi="Arial"/>
                <w:sz w:val="18"/>
                <w:szCs w:val="18"/>
                <w:color w:val="auto"/>
              </w:rPr>
              <w:t>44</w:t>
            </w:r>
          </w:p>
        </w:tc>
        <w:tc>
          <w:tcPr>
            <w:tcW w:w="2380" w:type="dxa"/>
            <w:vAlign w:val="bottom"/>
          </w:tcPr>
          <w:p>
            <w:pPr>
              <w:spacing w:after="0"/>
              <w:rPr>
                <w:sz w:val="24"/>
                <w:szCs w:val="24"/>
                <w:color w:val="auto"/>
              </w:rPr>
            </w:pPr>
          </w:p>
        </w:tc>
      </w:tr>
      <w:tr>
        <w:trPr>
          <w:trHeight w:val="105"/>
        </w:trPr>
        <w:tc>
          <w:tcPr>
            <w:tcW w:w="7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380" w:type="dxa"/>
            <w:vAlign w:val="bottom"/>
          </w:tcPr>
          <w:p>
            <w:pPr>
              <w:spacing w:after="0"/>
              <w:rPr>
                <w:sz w:val="9"/>
                <w:szCs w:val="9"/>
                <w:color w:val="auto"/>
              </w:rPr>
            </w:pPr>
          </w:p>
        </w:tc>
      </w:tr>
      <w:tr>
        <w:trPr>
          <w:trHeight w:val="61"/>
        </w:trPr>
        <w:tc>
          <w:tcPr>
            <w:tcW w:w="72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490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48" w:name="page49"/>
    <w:bookmarkEnd w:id="48"/>
    <w:p>
      <w:pPr>
        <w:jc w:val="center"/>
        <w:ind w:right="80"/>
        <w:spacing w:after="0"/>
        <w:rPr>
          <w:sz w:val="20"/>
          <w:szCs w:val="20"/>
          <w:color w:val="auto"/>
        </w:rPr>
      </w:pPr>
      <w:r>
        <w:rPr>
          <w:rFonts w:ascii="Arial" w:cs="Arial" w:eastAsia="Arial" w:hAnsi="Arial"/>
          <w:sz w:val="16"/>
          <w:szCs w:val="16"/>
          <w:b w:val="1"/>
          <w:bCs w:val="1"/>
          <w:color w:val="auto"/>
        </w:rPr>
        <w:t>Exhibits Index</w:t>
      </w:r>
    </w:p>
    <w:p>
      <w:pPr>
        <w:sectPr>
          <w:pgSz w:w="11900" w:h="16838" w:orient="portrait"/>
          <w:cols w:equalWidth="0" w:num="1">
            <w:col w:w="11320"/>
          </w:cols>
          <w:pgMar w:left="340" w:top="607" w:right="239" w:bottom="1440" w:gutter="0" w:footer="0" w:header="0"/>
        </w:sect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center"/>
        <w:ind w:right="4800"/>
        <w:spacing w:after="0"/>
        <w:rPr>
          <w:sz w:val="20"/>
          <w:szCs w:val="20"/>
          <w:color w:val="auto"/>
        </w:rPr>
      </w:pPr>
      <w:r>
        <w:rPr>
          <w:rFonts w:ascii="Arial" w:cs="Arial" w:eastAsia="Arial" w:hAnsi="Arial"/>
          <w:sz w:val="16"/>
          <w:szCs w:val="16"/>
          <w:b w:val="1"/>
          <w:bCs w:val="1"/>
          <w:color w:val="auto"/>
        </w:rPr>
        <w:t>Description</w:t>
      </w:r>
    </w:p>
    <w:p>
      <w:pPr>
        <w:spacing w:after="0" w:line="218" w:lineRule="exact"/>
        <w:rPr>
          <w:sz w:val="20"/>
          <w:szCs w:val="20"/>
          <w:color w:val="auto"/>
        </w:rPr>
      </w:pPr>
    </w:p>
    <w:p>
      <w:pPr>
        <w:sectPr>
          <w:pgSz w:w="11900" w:h="16838" w:orient="portrait"/>
          <w:cols w:equalWidth="0" w:num="2">
            <w:col w:w="4900" w:space="720"/>
            <w:col w:w="5700"/>
          </w:cols>
          <w:pgMar w:left="340" w:top="607" w:right="239" w:bottom="1440" w:gutter="0" w:footer="0" w:header="0"/>
          <w:type w:val="continuous"/>
        </w:sectPr>
      </w:pPr>
    </w:p>
    <w:p>
      <w:pPr>
        <w:spacing w:after="0" w:line="34" w:lineRule="exact"/>
        <w:rPr>
          <w:sz w:val="20"/>
          <w:szCs w:val="20"/>
          <w:color w:val="auto"/>
        </w:rPr>
      </w:pPr>
    </w:p>
    <w:p>
      <w:pPr>
        <w:ind w:left="30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registrant (incorporated by reference from Exhibit 3.1 to Form 10-Q filed September 14, 2007)</w:t>
      </w:r>
    </w:p>
    <w:p>
      <w:pPr>
        <w:spacing w:after="0" w:line="23" w:lineRule="exact"/>
        <w:rPr>
          <w:sz w:val="20"/>
          <w:szCs w:val="20"/>
          <w:color w:val="auto"/>
        </w:rPr>
      </w:pPr>
    </w:p>
    <w:p>
      <w:pPr>
        <w:ind w:left="30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registrant (incorporated by reference from Exhibit 3.2 to Form 10-Q filed September 14, 2007)</w:t>
      </w:r>
    </w:p>
    <w:p>
      <w:pPr>
        <w:spacing w:after="0" w:line="9" w:lineRule="exact"/>
        <w:rPr>
          <w:sz w:val="20"/>
          <w:szCs w:val="20"/>
          <w:color w:val="auto"/>
        </w:rPr>
      </w:pPr>
    </w:p>
    <w:p>
      <w:pPr>
        <w:ind w:left="300"/>
        <w:spacing w:after="0"/>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of common stock (incorporated by reference from Exhibit 4.1 to Form S-1/A filed March 19, 2007)</w:t>
      </w:r>
    </w:p>
    <w:p>
      <w:pPr>
        <w:spacing w:after="0" w:line="9"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Engineering, Procurement and Construction of a Wave Energy Power Plant at "Punta del Pescador" (Santoña, Spain), dated July 27, 2006, between Iberdrola Energias Marinas de Cantabria, S.A. and Ocean Power Technologies Limited (incorporated by reference from Exhibit 10.1 to Form S-1 filed November 13, 2006)</w:t>
      </w:r>
    </w:p>
    <w:p>
      <w:pPr>
        <w:spacing w:after="0" w:line="1" w:lineRule="exact"/>
        <w:rPr>
          <w:sz w:val="20"/>
          <w:szCs w:val="20"/>
          <w:color w:val="auto"/>
        </w:rPr>
      </w:pPr>
    </w:p>
    <w:p>
      <w:pPr>
        <w:jc w:val="both"/>
        <w:ind w:left="820" w:hanging="625"/>
        <w:spacing w:after="0" w:line="265"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Option Agreement for Purchase of Emissions Credits, dated November 24, 2000 between Ocean Power Technologies, Inc. and its affiliates and Woodside Sustainable Energy Solutions Pty. Ltd. (incorporated by reference from Exhibit 10.4 to Form S-1 filed November 13, 2006)</w:t>
      </w:r>
    </w:p>
    <w:p>
      <w:pPr>
        <w:ind w:left="20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2001 Stock Plan (incorporated by reference from Exhibit 10.7 to Form S-1 filed November 13, 2006)*</w:t>
      </w:r>
    </w:p>
    <w:p>
      <w:pPr>
        <w:spacing w:after="0" w:line="9"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2006 Stock Incentive Plan (incorporated by reference from Exhibit 10.8 to Form S-1/A filed March 19, 2007)*</w:t>
      </w:r>
    </w:p>
    <w:p>
      <w:pPr>
        <w:spacing w:after="0" w:line="9"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Amended and Restated Voting and Right of First Refusal Agreement, dated April 18, 2005, between Ocean Power Technologies, Inc., George W. Taylor and JoAnne E. Burns (incorporated by reference from Exhibit 10.9 to Form S-1 filed November 13, 2006)</w:t>
      </w:r>
    </w:p>
    <w:p>
      <w:pPr>
        <w:spacing w:after="0" w:line="1"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Agreement to Refinance, dated November 14, 1993 between Joseph R. Burns, Michael Y. Epstein, George W. Taylor and Ocean Power Technologies, Inc. (incorporated by reference from Exhibit 10.10 to Form S-1 filed November 13, 2006)</w:t>
      </w:r>
    </w:p>
    <w:p>
      <w:pPr>
        <w:spacing w:after="0" w:line="1"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Amended and Restated Employment Agreement, dated April 8, 2009, between Charles F. Dunleavy and Ocean Power Technologies, Inc. (incorporated by reference from Exhibit 10.2 to Form 8-K filed April 13, 2009)*</w:t>
      </w:r>
    </w:p>
    <w:p>
      <w:pPr>
        <w:spacing w:after="0" w:line="1"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Amended and Restated Employment Agreement, dated April 8, 2009, between George W. Taylor and Ocean Power Technologies, Inc. (incorporated by reference from Exhibit 10.1 to Form 8-K filed April 13, 2009)*</w:t>
      </w:r>
    </w:p>
    <w:p>
      <w:pPr>
        <w:spacing w:after="0" w:line="1"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Lease Agreement, dated August 30, 2005 between Ocean Power Technologies, Inc. and Reed Road Industrial Park LLC #1, as amended on January 27, 2006 (incorporated by reference from Exhibit 10.16 to Form S-1 filed November 13, 2006)</w:t>
      </w:r>
    </w:p>
    <w:p>
      <w:pPr>
        <w:spacing w:after="0" w:line="1"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10.10</w:t>
        <w:tab/>
        <w:t>Lease, dated January 15, 2007, between University of Warwick Science Park Innovation Centre Limited and Ocean Power Technologies Ltd. (incorporated by reference from Exhibit 10.17 to Form S-1/A filed March 19, 2007)</w:t>
      </w:r>
    </w:p>
    <w:p>
      <w:pPr>
        <w:spacing w:after="0" w:line="1" w:lineRule="exact"/>
        <w:rPr>
          <w:sz w:val="20"/>
          <w:szCs w:val="20"/>
          <w:color w:val="auto"/>
        </w:rPr>
      </w:pPr>
    </w:p>
    <w:p>
      <w:pPr>
        <w:jc w:val="both"/>
        <w:ind w:left="820" w:hanging="625"/>
        <w:spacing w:after="0" w:line="265"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Agreement for Renewable Energy Economic Development Grants, dated November 3, 2003, between State of New Jersey Board of Public Utilities and Ocean Power Technologies, Inc. (incorporated by reference from Exhibit 10.18 to Form S-1/A filed March 19, 2007)</w:t>
      </w:r>
    </w:p>
    <w:p>
      <w:pPr>
        <w:jc w:val="both"/>
        <w:ind w:left="820" w:hanging="625"/>
        <w:spacing w:after="0" w:line="265"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Contract Number DM259735, dated September 17, 2005, between Lockheed Martin Corporation Maritime Systems and Sensors (MS2) and Ocean Power Technologies, Inc., as modified (incorporated by reference from Exhibit 10.20 to Form S-1/A filed March 19, 2007)</w:t>
      </w:r>
    </w:p>
    <w:p>
      <w:pPr>
        <w:jc w:val="both"/>
        <w:ind w:left="820" w:hanging="625"/>
        <w:spacing w:after="0" w:line="265"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Marketing Cooperation Agreement, dated September 9, 2006, between Ocean Power Technologies, Inc. and Lockheed Martin Corporation through its Maritime Systems and Sensors business unit (incorporated by reference from Exhibit 10.21 to Form S-1/A filed April 10, 2007)</w:t>
      </w: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10.14</w:t>
        <w:tab/>
        <w:t>Contract Number N00014-07-C-0617, dated May 24, 2007, between the Office of Naval Research, U.S. Navy and Ocean Power Technologies, Inc. (incorporated by reference from Exhibit 99.1 to Form 8-K filed June 8, 2007)</w:t>
      </w:r>
    </w:p>
    <w:p>
      <w:pPr>
        <w:spacing w:after="0" w:line="1"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10.15</w:t>
        <w:tab/>
        <w:t>Addendum to the Agreement for the Engineering, Procurement and Construction of a Wave Energy Power Plant at "Punta del Pescador" (Santoña, Spain), between Iberdrola Energias Marinas de Cantabria, S.A. and Ocean Power Technologies Limited, dated February 18, 2008 (incorporated by reference from Exhibit 10.27 to Form 10-K filed July 14, 2008)</w:t>
      </w:r>
    </w:p>
    <w:p>
      <w:pPr>
        <w:spacing w:after="0" w:line="1" w:lineRule="exact"/>
        <w:rPr>
          <w:sz w:val="20"/>
          <w:szCs w:val="20"/>
          <w:color w:val="auto"/>
        </w:rPr>
      </w:pPr>
    </w:p>
    <w:p>
      <w:pPr>
        <w:jc w:val="both"/>
        <w:ind w:left="820" w:hanging="625"/>
        <w:spacing w:after="0" w:line="250" w:lineRule="auto"/>
        <w:tabs>
          <w:tab w:leader="none" w:pos="800" w:val="left"/>
        </w:tabs>
        <w:rPr>
          <w:sz w:val="20"/>
          <w:szCs w:val="20"/>
          <w:color w:val="auto"/>
        </w:rPr>
      </w:pPr>
      <w:r>
        <w:rPr>
          <w:rFonts w:ascii="Arial" w:cs="Arial" w:eastAsia="Arial" w:hAnsi="Arial"/>
          <w:sz w:val="18"/>
          <w:szCs w:val="18"/>
          <w:color w:val="auto"/>
        </w:rPr>
        <w:t>10.16</w:t>
        <w:tab/>
        <w:t>Lease, dated February 1, 2008, between KUC Properties Limited and Ocean Power Technologies Ltd. (incorporated by reference from Exhibit 10.28 to Form 10-K filed July 14, 2008)</w:t>
      </w:r>
    </w:p>
    <w:p>
      <w:pPr>
        <w:spacing w:after="0" w:line="1" w:lineRule="exact"/>
        <w:rPr>
          <w:sz w:val="20"/>
          <w:szCs w:val="20"/>
          <w:color w:val="auto"/>
        </w:rPr>
      </w:pPr>
    </w:p>
    <w:p>
      <w:pPr>
        <w:jc w:val="both"/>
        <w:ind w:left="820" w:hanging="625"/>
        <w:spacing w:after="0" w:line="261" w:lineRule="auto"/>
        <w:tabs>
          <w:tab w:leader="none" w:pos="800" w:val="left"/>
        </w:tabs>
        <w:rPr>
          <w:sz w:val="20"/>
          <w:szCs w:val="20"/>
          <w:color w:val="auto"/>
        </w:rPr>
      </w:pPr>
      <w:r>
        <w:rPr>
          <w:rFonts w:ascii="Arial" w:cs="Arial" w:eastAsia="Arial" w:hAnsi="Arial"/>
          <w:sz w:val="18"/>
          <w:szCs w:val="18"/>
          <w:color w:val="auto"/>
        </w:rPr>
        <w:t>10.17</w:t>
        <w:tab/>
        <w:t>Financial Assistance Award agreement between Ocean Power Technologies, Inc. and US Department of Energy dated September 23, 2008 (incorporated by reference from Exhibit 10.1 to Form 10-Q filed December 10, 2008)+</w:t>
      </w: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340" w:top="607" w:right="239" w:bottom="1440" w:gutter="0" w:footer="0" w:header="0"/>
          <w:type w:val="continuous"/>
        </w:sectPr>
      </w:pPr>
    </w:p>
    <w:bookmarkStart w:id="49" w:name="page50"/>
    <w:bookmarkEnd w:id="49"/>
    <w:tbl>
      <w:tblPr>
        <w:tblLayout w:type="fixed"/>
        <w:tblInd w:w="100" w:type="dxa"/>
        <w:tblCellMar>
          <w:top w:w="0" w:type="dxa"/>
          <w:left w:w="0" w:type="dxa"/>
          <w:bottom w:w="0" w:type="dxa"/>
          <w:right w:w="0" w:type="dxa"/>
        </w:tblCellMar>
      </w:tblP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Exhibit</w:t>
            </w:r>
          </w:p>
        </w:tc>
        <w:tc>
          <w:tcPr>
            <w:tcW w:w="10600" w:type="dxa"/>
            <w:vAlign w:val="bottom"/>
          </w:tcPr>
          <w:p>
            <w:pPr>
              <w:spacing w:after="0"/>
              <w:rPr>
                <w:sz w:val="18"/>
                <w:szCs w:val="18"/>
                <w:color w:val="auto"/>
              </w:rPr>
            </w:pPr>
          </w:p>
        </w:tc>
      </w:tr>
      <w:tr>
        <w:trPr>
          <w:trHeight w:val="234"/>
        </w:trPr>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Number</w:t>
            </w:r>
          </w:p>
        </w:tc>
        <w:tc>
          <w:tcPr>
            <w:tcW w:w="10600" w:type="dxa"/>
            <w:vAlign w:val="bottom"/>
          </w:tcPr>
          <w:p>
            <w:pPr>
              <w:ind w:left="490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10.18</w:t>
            </w:r>
          </w:p>
        </w:tc>
        <w:tc>
          <w:tcPr>
            <w:tcW w:w="10600" w:type="dxa"/>
            <w:vAlign w:val="bottom"/>
          </w:tcPr>
          <w:p>
            <w:pPr>
              <w:ind w:left="100"/>
              <w:spacing w:after="0"/>
              <w:rPr>
                <w:sz w:val="20"/>
                <w:szCs w:val="20"/>
                <w:color w:val="auto"/>
              </w:rPr>
            </w:pPr>
            <w:r>
              <w:rPr>
                <w:rFonts w:ascii="Arial" w:cs="Arial" w:eastAsia="Arial" w:hAnsi="Arial"/>
                <w:sz w:val="18"/>
                <w:szCs w:val="18"/>
                <w:color w:val="auto"/>
                <w:w w:val="98"/>
              </w:rPr>
              <w:t>Modification of Financial Assistance Award agreement between Ocean Power Technologies, Inc. and US Department of Energy dated</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October 16, 2008 (incorporated by reference from Exhibit 10.2 to Form 10-Q filed December 10, 2008)+</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10.19</w:t>
            </w: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Agreement between Ocean Power Technologies, Inc. and the Office of Naval Research of the US Navy dated October 31, 2008 (incorporated by</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reference from Exhibit 10.3 to Form 10-Q filed December 10, 2008)</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Employment Agreement, dated May 19, 2010, between Brian M. Posner and Ocean Power Technologies, Inc. (incorporated by reference from</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Exhibit 10.28 to Form 10-K filed July 14, 2010)*</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600" w:type="dxa"/>
            <w:vAlign w:val="bottom"/>
          </w:tcPr>
          <w:p>
            <w:pPr>
              <w:ind w:left="100"/>
              <w:spacing w:after="0"/>
              <w:rPr>
                <w:sz w:val="20"/>
                <w:szCs w:val="20"/>
                <w:color w:val="auto"/>
              </w:rPr>
            </w:pPr>
            <w:r>
              <w:rPr>
                <w:rFonts w:ascii="Arial" w:cs="Arial" w:eastAsia="Arial" w:hAnsi="Arial"/>
                <w:sz w:val="18"/>
                <w:szCs w:val="18"/>
                <w:color w:val="auto"/>
              </w:rPr>
              <w:t>Form of Restricted Stock Agreement (incorporated by reference from Exhibit 10.1 to Form 10-Q filed March 14, 2011)*</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0600" w:type="dxa"/>
            <w:vAlign w:val="bottom"/>
          </w:tcPr>
          <w:p>
            <w:pPr>
              <w:ind w:left="100"/>
              <w:spacing w:after="0"/>
              <w:rPr>
                <w:sz w:val="20"/>
                <w:szCs w:val="20"/>
                <w:color w:val="auto"/>
              </w:rPr>
            </w:pPr>
            <w:r>
              <w:rPr>
                <w:rFonts w:ascii="Arial" w:cs="Arial" w:eastAsia="Arial" w:hAnsi="Arial"/>
                <w:sz w:val="18"/>
                <w:szCs w:val="18"/>
                <w:color w:val="auto"/>
                <w:w w:val="94"/>
              </w:rPr>
              <w:t>Amended Option Agreement for Purchase of Emissions Credits, dated December 4, 2012, between Ocean Power Technologies, Inc. and its</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3"/>
              </w:rPr>
              <w:t>affiliates and Metasource Pty Ltd (formerly known as Woodside Sustainable Energy Solutions Pty Ltd) (incorporated by reference from Exhibit</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10.23 to Form 10-K filed July 12, 2013)</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Second Addendum to Lease Agreement, dated June 1, 2008, between Ocean Power Technologies, Inc. and Reed Road Industrial Park LLC #1</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10.24 to Form 10-K filed July 12, 2013)</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Third Addendum to Lease Agreement, dated March 11, 2013, between Ocean Power Technologies, Inc. and Reed Road Industrial Park LLC #1</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10.25 to Form 10-K filed July 12, 2013)</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0600" w:type="dxa"/>
            <w:vAlign w:val="bottom"/>
          </w:tcPr>
          <w:p>
            <w:pPr>
              <w:ind w:left="100"/>
              <w:spacing w:after="0"/>
              <w:rPr>
                <w:sz w:val="20"/>
                <w:szCs w:val="20"/>
                <w:color w:val="auto"/>
              </w:rPr>
            </w:pPr>
            <w:r>
              <w:rPr>
                <w:rFonts w:ascii="Arial" w:cs="Arial" w:eastAsia="Arial" w:hAnsi="Arial"/>
                <w:sz w:val="18"/>
                <w:szCs w:val="18"/>
                <w:color w:val="auto"/>
                <w:w w:val="94"/>
              </w:rPr>
              <w:t>Amendment Letter to Employment Agreement, dated December 12, 2012, between George W. Taylor and Ocean Power Technologies, Inc.</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10.1 to Form 10-Q filed December 14, 2012)*</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Amendment Letter to Employment Agreement, dated December 12, 2012, between Charles F. Dunleavy and Ocean Power Technologies, Inc.</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10.2 to Form 10-Q filed December 14, 2012)*</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10.27</w:t>
            </w: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At the Market Offering Agreement, dated as of June 6, 2013, by and between Ocean Power Technologies, Inc. and Ascendiant Capital Markets,</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LLC (incorporated by reference from Exhibit 10.1 to Form 8-K filed June 7, 2013)</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0600" w:type="dxa"/>
            <w:vAlign w:val="bottom"/>
          </w:tcPr>
          <w:p>
            <w:pPr>
              <w:ind w:left="100"/>
              <w:spacing w:after="0"/>
              <w:rPr>
                <w:sz w:val="20"/>
                <w:szCs w:val="20"/>
                <w:color w:val="auto"/>
              </w:rPr>
            </w:pPr>
            <w:r>
              <w:rPr>
                <w:rFonts w:ascii="Arial" w:cs="Arial" w:eastAsia="Arial" w:hAnsi="Arial"/>
                <w:sz w:val="18"/>
                <w:szCs w:val="18"/>
                <w:color w:val="auto"/>
                <w:w w:val="99"/>
              </w:rPr>
              <w:t>Amendment Letter to Employment Agreement, dated July 11, 2013, between George W. Taylor and Ocean Power Technologies, Inc.</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10.29 to Form 10-K filed July 12, 2013)*</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10.29</w:t>
            </w:r>
          </w:p>
        </w:tc>
        <w:tc>
          <w:tcPr>
            <w:tcW w:w="10600" w:type="dxa"/>
            <w:vAlign w:val="bottom"/>
          </w:tcPr>
          <w:p>
            <w:pPr>
              <w:ind w:left="100"/>
              <w:spacing w:after="0"/>
              <w:rPr>
                <w:sz w:val="20"/>
                <w:szCs w:val="20"/>
                <w:color w:val="auto"/>
              </w:rPr>
            </w:pPr>
            <w:r>
              <w:rPr>
                <w:rFonts w:ascii="Arial" w:cs="Arial" w:eastAsia="Arial" w:hAnsi="Arial"/>
                <w:sz w:val="18"/>
                <w:szCs w:val="18"/>
                <w:color w:val="auto"/>
                <w:w w:val="97"/>
              </w:rPr>
              <w:t>Amendment Letter to Employment Agreement, dated July 11, 2013, between Charles F. Dunleavy and Ocean Power Technologies, Inc.</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10.30 to Form 10-K filed July 12, 2013)*</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10600" w:type="dxa"/>
            <w:vAlign w:val="bottom"/>
          </w:tcPr>
          <w:p>
            <w:pPr>
              <w:ind w:left="100"/>
              <w:spacing w:after="0"/>
              <w:rPr>
                <w:sz w:val="20"/>
                <w:szCs w:val="20"/>
                <w:color w:val="auto"/>
              </w:rPr>
            </w:pPr>
            <w:r>
              <w:rPr>
                <w:rFonts w:ascii="Arial" w:cs="Arial" w:eastAsia="Arial" w:hAnsi="Arial"/>
                <w:sz w:val="18"/>
                <w:szCs w:val="18"/>
                <w:color w:val="auto"/>
              </w:rPr>
              <w:t>Commercialization Agreement, dated October 23, 2013, by and between Ocean Power Technologies, Inc. and Mitsui Engineering &amp;</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Shipbuilding Co. Ltd. (incorporated by reference from Exhibit 10.1 to Form 10-Q filed December 13, 2013) +</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10.31</w:t>
            </w:r>
          </w:p>
        </w:tc>
        <w:tc>
          <w:tcPr>
            <w:tcW w:w="10600" w:type="dxa"/>
            <w:vAlign w:val="bottom"/>
          </w:tcPr>
          <w:p>
            <w:pPr>
              <w:ind w:left="100"/>
              <w:spacing w:after="0"/>
              <w:rPr>
                <w:sz w:val="20"/>
                <w:szCs w:val="20"/>
                <w:color w:val="auto"/>
              </w:rPr>
            </w:pPr>
            <w:r>
              <w:rPr>
                <w:rFonts w:ascii="Arial" w:cs="Arial" w:eastAsia="Arial" w:hAnsi="Arial"/>
                <w:sz w:val="18"/>
                <w:szCs w:val="18"/>
                <w:color w:val="auto"/>
                <w:w w:val="95"/>
              </w:rPr>
              <w:t>Employment Agreement, dated December 2, 2013, between Mark A. Featherstone and Ocean Power Technologies, Inc. (incorporated by</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reference from Exhibit 10.1 to Form 10-Q filed March 14, 2014)*</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10600" w:type="dxa"/>
            <w:vAlign w:val="bottom"/>
          </w:tcPr>
          <w:p>
            <w:pPr>
              <w:ind w:left="100"/>
              <w:spacing w:after="0"/>
              <w:rPr>
                <w:sz w:val="20"/>
                <w:szCs w:val="20"/>
                <w:color w:val="auto"/>
              </w:rPr>
            </w:pPr>
            <w:r>
              <w:rPr>
                <w:rFonts w:ascii="Arial" w:cs="Arial" w:eastAsia="Arial" w:hAnsi="Arial"/>
                <w:sz w:val="18"/>
                <w:szCs w:val="18"/>
                <w:color w:val="auto"/>
                <w:w w:val="94"/>
              </w:rPr>
              <w:t>Amendment letter to Employment Agreement, dated December 11, 2013, between George W. Taylor and Ocean Power Technologies, Inc.</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10.2 to Form 10-Q filed March 14, 2014)*</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10600" w:type="dxa"/>
            <w:vAlign w:val="bottom"/>
          </w:tcPr>
          <w:p>
            <w:pPr>
              <w:ind w:left="100"/>
              <w:spacing w:after="0"/>
              <w:rPr>
                <w:sz w:val="20"/>
                <w:szCs w:val="20"/>
                <w:color w:val="auto"/>
              </w:rPr>
            </w:pPr>
            <w:r>
              <w:rPr>
                <w:rFonts w:ascii="Arial" w:cs="Arial" w:eastAsia="Arial" w:hAnsi="Arial"/>
                <w:sz w:val="18"/>
                <w:szCs w:val="18"/>
                <w:color w:val="auto"/>
                <w:w w:val="93"/>
              </w:rPr>
              <w:t>Amendment letter to Employment Agreement, dated December 11, 2013, between Charles F. Dunleavy and Ocean Power Technologies, Inc.</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(incorporated by reference from Exhibit 10.3 to Form 10-Q filed March 14, 2014)*</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0600" w:type="dxa"/>
            <w:vAlign w:val="bottom"/>
          </w:tcPr>
          <w:p>
            <w:pPr>
              <w:ind w:left="100"/>
              <w:spacing w:after="0"/>
              <w:rPr>
                <w:sz w:val="20"/>
                <w:szCs w:val="20"/>
                <w:color w:val="auto"/>
              </w:rPr>
            </w:pPr>
            <w:r>
              <w:rPr>
                <w:rFonts w:ascii="Arial" w:cs="Arial" w:eastAsia="Arial" w:hAnsi="Arial"/>
                <w:sz w:val="18"/>
                <w:szCs w:val="18"/>
                <w:color w:val="auto"/>
                <w:w w:val="96"/>
              </w:rPr>
              <w:t>Executive Transition Agreement between Ocean Power Technologies, Inc. and George W. Taylor, dated April 11, 2014 (incorporated by</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reference from Exhibit 10.1 to Form 8-K filed April 17, 2014)*</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10600" w:type="dxa"/>
            <w:vAlign w:val="bottom"/>
          </w:tcPr>
          <w:p>
            <w:pPr>
              <w:ind w:left="100"/>
              <w:spacing w:after="0"/>
              <w:rPr>
                <w:sz w:val="20"/>
                <w:szCs w:val="20"/>
                <w:color w:val="auto"/>
              </w:rPr>
            </w:pPr>
            <w:r>
              <w:rPr>
                <w:rFonts w:ascii="Arial" w:cs="Arial" w:eastAsia="Arial" w:hAnsi="Arial"/>
                <w:sz w:val="18"/>
                <w:szCs w:val="18"/>
                <w:color w:val="auto"/>
                <w:w w:val="90"/>
              </w:rPr>
              <w:t>Renewable Energy Demonstration Program-Funding Deed, dated as of September 9, 2010, by and between Victorian Wave Partners Pty Ltd. and</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Commonwealth of Australia represented by the Department of Resources, Energy and Tourism (incorporated by reference from Exhibit 10.1 to</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Form 8-K filed July 14, 2014)+</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600" w:type="dxa"/>
            <w:vAlign w:val="bottom"/>
          </w:tcPr>
          <w:p>
            <w:pPr>
              <w:ind w:left="100"/>
              <w:spacing w:after="0"/>
              <w:rPr>
                <w:sz w:val="20"/>
                <w:szCs w:val="20"/>
                <w:color w:val="auto"/>
              </w:rPr>
            </w:pPr>
            <w:r>
              <w:rPr>
                <w:rFonts w:ascii="Arial" w:cs="Arial" w:eastAsia="Arial" w:hAnsi="Arial"/>
                <w:sz w:val="18"/>
                <w:szCs w:val="18"/>
                <w:color w:val="auto"/>
                <w:w w:val="93"/>
              </w:rPr>
              <w:t>Deed of Variation to Funding Deed (and Notice of Waiver) dated as of January 9, 2014, by and between Victorian Wave Partners Pty Ltd. and</w:t>
            </w:r>
          </w:p>
        </w:tc>
      </w:tr>
      <w:tr>
        <w:trPr>
          <w:trHeight w:val="216"/>
        </w:trPr>
        <w:tc>
          <w:tcPr>
            <w:tcW w:w="72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Australian Renewable Energy Agency (incorporated by reference from Exhibit 10.2 to Form 8-K filed July 14, 2014)+</w:t>
            </w:r>
          </w:p>
        </w:tc>
      </w:tr>
      <w:tr>
        <w:trPr>
          <w:trHeight w:val="216"/>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10600" w:type="dxa"/>
            <w:vAlign w:val="bottom"/>
          </w:tcPr>
          <w:p>
            <w:pPr>
              <w:ind w:left="100"/>
              <w:spacing w:after="0"/>
              <w:rPr>
                <w:sz w:val="20"/>
                <w:szCs w:val="20"/>
                <w:color w:val="auto"/>
              </w:rPr>
            </w:pPr>
            <w:r>
              <w:rPr>
                <w:rFonts w:ascii="Arial" w:cs="Arial" w:eastAsia="Arial" w:hAnsi="Arial"/>
                <w:sz w:val="18"/>
                <w:szCs w:val="18"/>
                <w:color w:val="auto"/>
              </w:rPr>
              <w:t>Employment Agreement, dated December 30, 2013, between David R. Heinz and Ocean Power Technologies, Inc.*</w:t>
            </w:r>
          </w:p>
        </w:tc>
      </w:tr>
      <w:tr>
        <w:trPr>
          <w:trHeight w:val="230"/>
        </w:trPr>
        <w:tc>
          <w:tcPr>
            <w:tcW w:w="72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10600" w:type="dxa"/>
            <w:vAlign w:val="bottom"/>
          </w:tcPr>
          <w:p>
            <w:pPr>
              <w:ind w:left="100"/>
              <w:spacing w:after="0"/>
              <w:rPr>
                <w:sz w:val="20"/>
                <w:szCs w:val="20"/>
                <w:color w:val="auto"/>
              </w:rPr>
            </w:pPr>
            <w:r>
              <w:rPr>
                <w:rFonts w:ascii="Arial" w:cs="Arial" w:eastAsia="Arial" w:hAnsi="Arial"/>
                <w:sz w:val="18"/>
                <w:szCs w:val="18"/>
                <w:color w:val="auto"/>
              </w:rPr>
              <w:t>Employment Agreement, dated June 9, 2014, between David L. Keller and Ocean Power Technologies, Inc.*</w:t>
            </w:r>
          </w:p>
        </w:tc>
      </w:tr>
    </w:tbl>
    <w:p>
      <w:pPr>
        <w:spacing w:after="0" w:line="202"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23"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9"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Interim Chief Executive Officer</w:t>
      </w:r>
    </w:p>
    <w:p>
      <w:pPr>
        <w:spacing w:after="0" w:line="9"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Chief Financial Officer</w:t>
      </w:r>
    </w:p>
    <w:p>
      <w:pPr>
        <w:spacing w:after="0" w:line="9"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9"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9" w:lineRule="exact"/>
        <w:rPr>
          <w:sz w:val="20"/>
          <w:szCs w:val="20"/>
          <w:color w:val="auto"/>
        </w:rPr>
      </w:pPr>
    </w:p>
    <w:p>
      <w:pPr>
        <w:jc w:val="both"/>
        <w:ind w:left="920" w:hanging="709"/>
        <w:spacing w:after="0" w:line="254" w:lineRule="auto"/>
        <w:tabs>
          <w:tab w:leader="none" w:pos="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following materials formatted in eXtensible Business Reporting Language (XBRL) from Ocean Power Technologies, Inc Annual Report on Form 10-K for the fiscal years ended April 30, 2014 and 2013: (i) Consolidated Balance Sheets, (ii) Consolidated Statements of Operations, (iii) Consolidated Statements of Cash Flows, (iv) Consolidated Statements of Stockholders’ Equity and Comprehensive Loss and (v) Notes to Consolidated Financial Statements.</w:t>
      </w:r>
    </w:p>
    <w:p>
      <w:pPr>
        <w:spacing w:after="0" w:line="2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that confidential treatment has been requested for this exhibit.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74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74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740" w:type="dxa"/>
            <w:vAlign w:val="bottom"/>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Reports of Management</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60" w:type="dxa"/>
            <w:vAlign w:val="bottom"/>
          </w:tcPr>
          <w:p>
            <w:pPr>
              <w:ind w:left="300"/>
              <w:spacing w:after="0"/>
              <w:rPr>
                <w:sz w:val="20"/>
                <w:szCs w:val="20"/>
                <w:color w:val="auto"/>
              </w:rPr>
            </w:pPr>
            <w:r>
              <w:rPr>
                <w:rFonts w:ascii="Arial" w:cs="Arial" w:eastAsia="Arial" w:hAnsi="Arial"/>
                <w:sz w:val="18"/>
                <w:szCs w:val="18"/>
                <w:color w:val="auto"/>
              </w:rPr>
              <w:t>F-3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April 30, 2014 and 2013</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Consolidated Statements of Operations, Years ended April 30, 2014 and 2013</w:t>
            </w:r>
          </w:p>
        </w:tc>
        <w:tc>
          <w:tcPr>
            <w:tcW w:w="660" w:type="dxa"/>
            <w:vAlign w:val="bottom"/>
          </w:tcPr>
          <w:p>
            <w:pPr>
              <w:ind w:left="300"/>
              <w:spacing w:after="0"/>
              <w:rPr>
                <w:sz w:val="20"/>
                <w:szCs w:val="20"/>
                <w:color w:val="auto"/>
              </w:rPr>
            </w:pPr>
            <w:r>
              <w:rPr>
                <w:rFonts w:ascii="Arial" w:cs="Arial" w:eastAsia="Arial" w:hAnsi="Arial"/>
                <w:sz w:val="18"/>
                <w:szCs w:val="18"/>
                <w:color w:val="auto"/>
              </w:rPr>
              <w:t>F-5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Comprehensive Loss, Years ended April 30, 2014 and 2013</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Consolidated Statements of Stockholders' Equity, Years ended April 30, 2014 and 2013</w:t>
            </w:r>
          </w:p>
        </w:tc>
        <w:tc>
          <w:tcPr>
            <w:tcW w:w="660" w:type="dxa"/>
            <w:vAlign w:val="bottom"/>
          </w:tcPr>
          <w:p>
            <w:pPr>
              <w:ind w:left="300"/>
              <w:spacing w:after="0"/>
              <w:rPr>
                <w:sz w:val="20"/>
                <w:szCs w:val="20"/>
                <w:color w:val="auto"/>
              </w:rPr>
            </w:pPr>
            <w:r>
              <w:rPr>
                <w:rFonts w:ascii="Arial" w:cs="Arial" w:eastAsia="Arial" w:hAnsi="Arial"/>
                <w:sz w:val="18"/>
                <w:szCs w:val="18"/>
                <w:color w:val="auto"/>
              </w:rPr>
              <w:t>F-7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Years ended April 30, 2014 and 2013</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7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60" w:type="dxa"/>
            <w:vAlign w:val="bottom"/>
          </w:tcPr>
          <w:p>
            <w:pPr>
              <w:ind w:left="300"/>
              <w:spacing w:after="0"/>
              <w:rPr>
                <w:sz w:val="20"/>
                <w:szCs w:val="20"/>
                <w:color w:val="auto"/>
              </w:rPr>
            </w:pPr>
            <w:r>
              <w:rPr>
                <w:rFonts w:ascii="Arial" w:cs="Arial" w:eastAsia="Arial" w:hAnsi="Arial"/>
                <w:sz w:val="18"/>
                <w:szCs w:val="18"/>
                <w:color w:val="auto"/>
              </w:rPr>
              <w:t>F-9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10740" w:type="dxa"/>
            <w:vAlign w:val="bottom"/>
          </w:tcPr>
          <w:p>
            <w:pPr>
              <w:jc w:val="center"/>
              <w:ind w:left="550"/>
              <w:spacing w:after="0"/>
              <w:rPr>
                <w:sz w:val="20"/>
                <w:szCs w:val="20"/>
                <w:color w:val="auto"/>
              </w:rPr>
            </w:pPr>
            <w:r>
              <w:rPr>
                <w:rFonts w:ascii="Arial" w:cs="Arial" w:eastAsia="Arial" w:hAnsi="Arial"/>
                <w:sz w:val="18"/>
                <w:szCs w:val="18"/>
                <w:color w:val="auto"/>
                <w:w w:val="96"/>
              </w:rPr>
              <w:t>F-1</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7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Reports of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Consolidated Financial Statements</w:t>
      </w:r>
    </w:p>
    <w:p>
      <w:pPr>
        <w:spacing w:after="0" w:line="256"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58"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200" w:lineRule="exact"/>
        <w:rPr>
          <w:sz w:val="20"/>
          <w:szCs w:val="20"/>
          <w:color w:val="auto"/>
        </w:rPr>
      </w:pPr>
    </w:p>
    <w:p>
      <w:pPr>
        <w:spacing w:after="0" w:line="203" w:lineRule="exact"/>
        <w:rPr>
          <w:sz w:val="20"/>
          <w:szCs w:val="20"/>
          <w:color w:val="auto"/>
        </w:rPr>
      </w:pPr>
    </w:p>
    <w:p>
      <w:pPr>
        <w:ind w:left="700" w:hanging="233"/>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700" w:hanging="233"/>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700" w:hanging="233"/>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April 30, 2014.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w:t>
      </w:r>
      <w:r>
        <w:rPr>
          <w:rFonts w:ascii="Arial" w:cs="Arial" w:eastAsia="Arial" w:hAnsi="Arial"/>
          <w:sz w:val="18"/>
          <w:szCs w:val="18"/>
          <w:color w:val="auto"/>
        </w:rPr>
        <w:t>. Based on this assessment using those criteria, management concluded that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April 30, 2014.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976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76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Keller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15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15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24"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have audited the accompanying consolidated balance sheets of Ocean Power Technologies, Inc. and subsidiaries as of April 30, 2014 and 2013, and the related consolidated statements of operations, comprehensive loss, stockholders' equity, and cash flows for each of the years in the two-year period ended April 30, 2014. These consolidated financial statements are the responsibility of the Company's management. Our responsibility is to express an opinion on these consolidated financial statements based on our audits.</w:t>
      </w:r>
    </w:p>
    <w:p>
      <w:pPr>
        <w:spacing w:after="0" w:line="200"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2"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Ocean Power Technologies, Inc. and subsidiaries as of April 30, 2014 and 2013, and the results of their operations and their cash flows for each of the years in the two-year period ended April 30, 2014, in conformity with U.S. generally accepted accounting principles.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gridSpan w:val="3"/>
          </w:tcPr>
          <w:p>
            <w:pPr>
              <w:jc w:val="center"/>
              <w:ind w:left="285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13,858,659</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6,372,788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14,493,881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13,996,705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6,124,960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Unbilled receivables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37,410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568,377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152,962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35,392,018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21,446,385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Patents, net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828,298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1,044,902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38,084,835</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24,831,059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501,397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2,931,239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3,900,623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 payment received from customer</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Unearned revenues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992,447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1,117,115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9,234,138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5,627,769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unearned revenues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payable-noncurrent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9,984,138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$0.001 par value; authorized 105,000,000 shares, issued 17,593,637 and 10,403,215 shares,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Treasury stock, at cost; 37,852 and 33,771 shares, respectively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(130,707)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(123,893)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180,454,341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159,155,365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(151,640,503)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(140,671,311)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(225,733)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28,474,992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18,290,778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(374,295)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28,100,697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18,121,257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38,084,835</w:t>
            </w:r>
          </w:p>
        </w:tc>
        <w:tc>
          <w:tcPr>
            <w:tcW w:w="1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24,831,059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020" w:type="dxa"/>
            <w:vAlign w:val="bottom"/>
            <w:tcBorders>
              <w:top w:val="single" w:sz="8" w:color="CCEEFF"/>
            </w:tcBorders>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color w:val="auto"/>
                <w:w w:val="96"/>
              </w:rPr>
              <w:t>F-4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613" w:gutter="0" w:footer="0" w:header="0"/>
        </w:sectPr>
      </w:pPr>
    </w:p>
    <w:bookmarkStart w:id="54" w:name="page55"/>
    <w:bookmarkEnd w:id="54"/>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3,616,129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1,510,336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3,480,821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Gross (loss) profit</w:t>
            </w: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(11,444)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4,564,898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7,327,766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 in contract loss reserve</w:t>
            </w: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(785,000)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9,358,967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9,126,757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13,138,865</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16,454,523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(13,150,309)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(16,319,215)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29,656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183,704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(12,936,949)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(16,276,254)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1,745,895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1,453,243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(11,191,054)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(14,823,011)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2"/>
              </w:rPr>
              <w:t>Less: Net loss attributable to the noncontrolling interest in Ocean Power Technologies (Australasia) Pty Ltd.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221,862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(10,969,192)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(14,681,837)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(0.91)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8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12,041,824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10,304,044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348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100" w:type="dxa"/>
            <w:vAlign w:val="bottom"/>
          </w:tcPr>
          <w:p>
            <w:pPr>
              <w:ind w:left="5560"/>
              <w:spacing w:after="0"/>
              <w:rPr>
                <w:sz w:val="20"/>
                <w:szCs w:val="20"/>
                <w:color w:val="auto"/>
              </w:rPr>
            </w:pPr>
            <w:r>
              <w:rPr>
                <w:rFonts w:ascii="Arial" w:cs="Arial" w:eastAsia="Arial" w:hAnsi="Arial"/>
                <w:sz w:val="18"/>
                <w:szCs w:val="18"/>
                <w:color w:val="auto"/>
              </w:rPr>
              <w:t>F-5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(11,191,054)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(14,823,011)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(128,859)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(11,319,913)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(14,823,522)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Comprehensive loss attributable to the noncontrolling interest in Ocean Power Technologies (Australasia) Pty</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204,774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140,889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Ltd.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(11,115,139)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(14,682,633)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Ocean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Power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Technologies,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Common Shares</w:t>
            </w:r>
          </w:p>
        </w:tc>
        <w:tc>
          <w:tcPr>
            <w:tcW w:w="1600" w:type="dxa"/>
            <w:vAlign w:val="bottom"/>
            <w:gridSpan w:val="4"/>
            <w:vMerge w:val="restart"/>
          </w:tcPr>
          <w:p>
            <w:pPr>
              <w:jc w:val="right"/>
              <w:ind w:right="240"/>
              <w:spacing w:after="0"/>
              <w:rPr>
                <w:sz w:val="20"/>
                <w:szCs w:val="20"/>
                <w:color w:val="auto"/>
              </w:rPr>
            </w:pPr>
            <w:r>
              <w:rPr>
                <w:rFonts w:ascii="Arial" w:cs="Arial" w:eastAsia="Arial" w:hAnsi="Arial"/>
                <w:sz w:val="18"/>
                <w:szCs w:val="18"/>
                <w:b w:val="1"/>
                <w:bCs w:val="1"/>
                <w:color w:val="auto"/>
                <w:w w:val="94"/>
              </w:rPr>
              <w:t>Treasury Shares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Additional</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Inc,</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gridSpan w:val="4"/>
            <w:vMerge w:val="continue"/>
          </w:tcPr>
          <w:p>
            <w:pPr>
              <w:spacing w:after="0"/>
              <w:rPr>
                <w:sz w:val="19"/>
                <w:szCs w:val="19"/>
                <w:color w:val="auto"/>
              </w:rPr>
            </w:pPr>
          </w:p>
        </w:tc>
        <w:tc>
          <w:tcPr>
            <w:tcW w:w="1600" w:type="dxa"/>
            <w:vAlign w:val="bottom"/>
            <w:gridSpan w:val="4"/>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Paid-In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Accumulated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Noncontrolling</w:t>
            </w: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Amount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Shares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Amount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Loss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Interest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April</w:t>
            </w: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30, 2012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10,407,389</w:t>
            </w:r>
          </w:p>
        </w:tc>
        <w:tc>
          <w:tcPr>
            <w:tcW w:w="120" w:type="dxa"/>
            <w:vAlign w:val="bottom"/>
            <w:tcBorders>
              <w:righ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$ 10,407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(23,544)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$(102,388)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158,296,458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(125,989,474)</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(78,990)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32,136,013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32,107,381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(14,681,837)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(14,681,837)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(14,823,011)</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Stock 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814,407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814,407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814,407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Issuance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(forfeiture)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stock, net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(4,174)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44,500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44,496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treasury stock</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(10,227)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(21,505)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(21,505)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w w:val="93"/>
              </w:rPr>
              <w:t>comprehensive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(796)</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(796)</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285</w:t>
            </w: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7"/>
        </w:trPr>
        <w:tc>
          <w:tcPr>
            <w:tcW w:w="1160" w:type="dxa"/>
            <w:vAlign w:val="bottom"/>
            <w:gridSpan w:val="2"/>
          </w:tcPr>
          <w:p>
            <w:pPr>
              <w:spacing w:after="0"/>
              <w:rPr>
                <w:sz w:val="20"/>
                <w:szCs w:val="20"/>
                <w:color w:val="auto"/>
              </w:rPr>
            </w:pPr>
            <w:r>
              <w:rPr>
                <w:rFonts w:ascii="Arial" w:cs="Arial" w:eastAsia="Arial" w:hAnsi="Arial"/>
                <w:sz w:val="18"/>
                <w:szCs w:val="18"/>
                <w:color w:val="auto"/>
              </w:rPr>
              <w:t>loss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April</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10,403,215</w:t>
            </w:r>
          </w:p>
        </w:tc>
        <w:tc>
          <w:tcPr>
            <w:tcW w:w="120" w:type="dxa"/>
            <w:vAlign w:val="bottom"/>
            <w:tcBorders>
              <w:right w:val="single" w:sz="8" w:color="CCEEFF"/>
            </w:tcBorders>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$ 10,403</w:t>
            </w:r>
          </w:p>
        </w:tc>
        <w:tc>
          <w:tcPr>
            <w:tcW w:w="120" w:type="dxa"/>
            <w:vAlign w:val="bottom"/>
            <w:vMerge w:val="restart"/>
            <w:shd w:val="clear" w:color="auto" w:fill="CCEEFF"/>
          </w:tcPr>
          <w:p>
            <w:pPr>
              <w:spacing w:after="0"/>
              <w:rPr>
                <w:sz w:val="16"/>
                <w:szCs w:val="16"/>
                <w:color w:val="auto"/>
              </w:rPr>
            </w:pPr>
          </w:p>
        </w:tc>
        <w:tc>
          <w:tcPr>
            <w:tcW w:w="16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5"/>
              </w:rPr>
              <w:t xml:space="preserve">(33,771)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(123,893)</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3"/>
              </w:rPr>
              <w:t>159,155,365</w:t>
            </w: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4"/>
              </w:rPr>
              <w:t>(140,671,311)</w:t>
            </w: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(79,786)</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18,290,778</w:t>
            </w:r>
          </w:p>
        </w:tc>
        <w:tc>
          <w:tcPr>
            <w:tcW w:w="1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(169,521)</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9"/>
              </w:rPr>
              <w:t>18,121,257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30, 2013</w:t>
            </w:r>
          </w:p>
        </w:tc>
        <w:tc>
          <w:tcPr>
            <w:tcW w:w="860" w:type="dxa"/>
            <w:vAlign w:val="bottom"/>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00" w:type="dxa"/>
            <w:vAlign w:val="bottom"/>
            <w:gridSpan w:val="4"/>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(10,969,192)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(10,969,192)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(221,862)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(11,191,054)</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Stock 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702,091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702,091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702,091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stock,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79,822</w:t>
            </w:r>
          </w:p>
        </w:tc>
        <w:tc>
          <w:tcPr>
            <w:tcW w:w="120" w:type="dxa"/>
            <w:vAlign w:val="bottom"/>
            <w:tcBorders>
              <w:right w:val="single" w:sz="8" w:color="CCEEFF"/>
            </w:tcBorders>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69,475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69,555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Stock issued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upon exercise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of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8,528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8,533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(4,081)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(6,814)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(6,814)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stock,</w:t>
            </w: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7,106,334</w:t>
            </w:r>
          </w:p>
        </w:tc>
        <w:tc>
          <w:tcPr>
            <w:tcW w:w="120" w:type="dxa"/>
            <w:vAlign w:val="bottom"/>
            <w:tcBorders>
              <w:right w:val="single" w:sz="8" w:color="CCEEFF"/>
            </w:tcBorders>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20,518,882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20,525,988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20,525,988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1"/>
              </w:rPr>
              <w:t>comphrehesive</w:t>
            </w:r>
          </w:p>
        </w:tc>
        <w:tc>
          <w:tcPr>
            <w:tcW w:w="9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(145,947)</w:t>
            </w: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(145,947)</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17,088</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(128,859)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Balance, April</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17,593,637</w:t>
            </w: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88"/>
              </w:rPr>
              <w:t>$ 17,594</w:t>
            </w:r>
          </w:p>
        </w:tc>
        <w:tc>
          <w:tcPr>
            <w:tcW w:w="120" w:type="dxa"/>
            <w:vAlign w:val="bottom"/>
            <w:vMerge w:val="restart"/>
          </w:tcPr>
          <w:p>
            <w:pPr>
              <w:spacing w:after="0"/>
              <w:rPr>
                <w:sz w:val="16"/>
                <w:szCs w:val="16"/>
                <w:color w:val="auto"/>
              </w:rPr>
            </w:pPr>
          </w:p>
        </w:tc>
        <w:tc>
          <w:tcPr>
            <w:tcW w:w="16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w w:val="95"/>
              </w:rPr>
              <w:t xml:space="preserve">(37,852)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(130,707)</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3"/>
              </w:rPr>
              <w:t>180,454,341</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4"/>
              </w:rPr>
              <w:t>(151,640,503)</w:t>
            </w:r>
          </w:p>
        </w:tc>
        <w:tc>
          <w:tcPr>
            <w:tcW w:w="1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(225,733)</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28,474,992</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(374,295)</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28,100,697</w:t>
            </w: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30, 2014</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gridSpan w:val="4"/>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80" w:right="219" w:bottom="1072"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gridSpan w:val="2"/>
          </w:tcPr>
          <w:p>
            <w:pPr>
              <w:ind w:left="314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100" w:type="dxa"/>
            <w:vAlign w:val="bottom"/>
          </w:tcPr>
          <w:p>
            <w:pPr>
              <w:ind w:left="4180"/>
              <w:spacing w:after="0"/>
              <w:rPr>
                <w:sz w:val="20"/>
                <w:szCs w:val="20"/>
                <w:color w:val="auto"/>
              </w:rPr>
            </w:pPr>
            <w:r>
              <w:rPr>
                <w:rFonts w:ascii="Arial" w:cs="Arial" w:eastAsia="Arial" w:hAnsi="Arial"/>
                <w:sz w:val="18"/>
                <w:szCs w:val="18"/>
                <w:b w:val="1"/>
                <w:bCs w:val="1"/>
                <w:color w:val="auto"/>
              </w:rPr>
              <w:t>Consolidated Statements of Cash Flows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(11,191,054)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(14,823,011)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exchange (gain) loss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on disposals of property, plant and equipment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Provision for doubtful accounts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Treasury note discount amortization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90,188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(413,901)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(983,835)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Advance payment received from customer</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Unearned revenues-ST</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(130,368)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Unearned revenues-LT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(232,033)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(6,497,078)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(10,845,648)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(23,982,431)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23,489,021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25,055,534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(5,924,960)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(394,632)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(6,445,638)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8,057,573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common stock, net of costs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20,525,988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Acquisition of treasury stock</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20,427,707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(121,505)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96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7,485,871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(2,980,672)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13,858,659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6,372,788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29" w:lineRule="exact"/>
        <w:rPr>
          <w:rFonts w:ascii="Arial" w:cs="Arial" w:eastAsia="Arial" w:hAnsi="Arial"/>
          <w:sz w:val="18"/>
          <w:szCs w:val="18"/>
          <w:b w:val="1"/>
          <w:bCs w:val="1"/>
          <w:color w:val="auto"/>
        </w:rPr>
      </w:pPr>
    </w:p>
    <w:p>
      <w:pPr>
        <w:ind w:left="640" w:hanging="362"/>
        <w:spacing w:after="0"/>
        <w:tabs>
          <w:tab w:leader="none" w:pos="640" w:val="left"/>
        </w:tabs>
        <w:numPr>
          <w:ilvl w:val="1"/>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Company’s developing and is seeking to commercialize proprietary systems that generate electricity by harnessing the renewable energy of ocean waves. The Company markets its products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of products and services, as compared to revenue from grants to support its product development efforts. As the Company continues to advance its proprietary technologies, it expects to continue to have a net use of cash in operating activities unless and until it achieves positive cash flow from the planned commercialization of its products and services.</w:t>
      </w:r>
    </w:p>
    <w:p>
      <w:pPr>
        <w:spacing w:after="0" w:line="167"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Liquidity</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incurred net losses and negative operating cash flows since inception. As of April 30, 2014, the Company had an accumulated deficit of $151.6 million. As of April 30, 2014, the Company’s cash and cash equivalents and marketable securities balance was approximately $28.4 million. Based upon the Company’s cash and cash equivalents and marketable securities balance as of April 30, 2014, the Company believes that it will be able to finance its capital requirements and operations through at least the third calendar quarter of 2015. In addition, as of April 30, 2014, the Company’s restricted cash balance was approximately $7.3 million.</w:t>
      </w:r>
    </w:p>
    <w:p>
      <w:pPr>
        <w:spacing w:after="0" w:line="18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2014 and 2013,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sufficiency of capital, technology development, scalability of technology and production, dependence on skills of key personnel, concentration of customers and suppliers, performance of PowerBuoys, deployment risks and laws, regulations and permitting. In order to complete its future growth strategy, the Company will require additional equity and/or debt financing. There is no assurance that additional equity and/or debt financing will be available to the Company as needed. If sufficient financing is not obtained by the Company, we may be required to further curtail or limit certain product development costs, and/or selling, general and administrative activities in order to reduce our cash expenditures.</w:t>
      </w:r>
    </w:p>
    <w:p>
      <w:pPr>
        <w:spacing w:after="0" w:line="19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June 2013, we established an at the market offering facility (the “ATM Facility”) with Ascendiant Capital Markets, LLC (the “Manager”) via an At the Market Offering Agreement (the “ATM Agreement”). Under the ATM Agreement, we offered and sold shares of our common stock from time to time through the Manager, acting as sales agent, in ordinary brokerage transactions at prevailing market prices. Under the ATM Facility, we issued 3,306,334 shares of our common stock at an average price to the public of $3.02 per share. Net proceeds from the ATM Facility were approximately $9,698,000 during fiscal 2014.</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Also in fiscal 2014, we entered into an underwriting agreement (the “Underwriting Agreement”) with Roth Capital Partners, LLC (the “Underwriter”) on April 4, 2014, with respect to the issuance and sale in an underwritten public offering (the “Public Offering”) of an aggregate of 3,800,000 shares of our common stock at a price to the public of $3.10 per share. The Underwriting Agreement contained customary representations, warranties and agreements by us, customary conditions to closing and indemnification obligations, and a 90 day lock-up period that limited transactions in our common stock by us. Net proceeds from the Public Offering were approximately $10,828,000.</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Form S-3, whether under the ATM Agreement, Underwriting Agreement or otherwise, to one third of our public float. Given the fiscal 2014 share sales, we fully utilized the ATM Agreement and reached the applicable limit under Form S-3. Approximately $18.2 million remains available for issuance under the S-3 Shelf.</w:t>
      </w:r>
    </w:p>
    <w:p>
      <w:pPr>
        <w:spacing w:after="0" w:line="17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2" w:lineRule="exact"/>
        <w:rPr>
          <w:rFonts w:ascii="Arial" w:cs="Arial" w:eastAsia="Arial" w:hAnsi="Arial"/>
          <w:sz w:val="18"/>
          <w:szCs w:val="18"/>
          <w:b w:val="1"/>
          <w:bCs w:val="1"/>
          <w:color w:val="auto"/>
        </w:rPr>
      </w:pPr>
    </w:p>
    <w:p>
      <w:pPr>
        <w:ind w:left="640" w:hanging="362"/>
        <w:spacing w:after="0"/>
        <w:tabs>
          <w:tab w:leader="none" w:pos="640" w:val="left"/>
        </w:tabs>
        <w:numPr>
          <w:ilvl w:val="1"/>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 and Cost Method Investment</w:t>
      </w:r>
    </w:p>
    <w:p>
      <w:pPr>
        <w:spacing w:after="0" w:line="2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April 30, 2014,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2014, there were no such entities.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through its subsidiary Ocean Power Technologies, Ltd. (“OPT LTD”), had a 10% investment in Iberdrola Energias Marinas de Cantabria, S.A. (“Iberdrola Cantabria” or “Ibermar”). As of April 30, 2013, the Company had certain outstanding receivables from Ibermar in connection to its 2006 Spain Construction Agreement. The investment in Iberdrola Cantabria and net accounts receivable and unbilled receivables from Ibermar were $0 as of April 30, 2012. During fiscal 2014, the dissolution of Iberdrola Cantabria was approved by the shareholders of Ibermar. In connection with the dissolution of this entity, OPT LTD signed an agreement with Ibermar to cancel all obligations under the 2006 Spain Construction Agreement between Ibermar and the Company. See Note 13.</w:t>
      </w:r>
    </w:p>
    <w:p>
      <w:pPr>
        <w:spacing w:after="0" w:line="207"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Use of Estimates</w:t>
      </w:r>
    </w:p>
    <w:p>
      <w:pPr>
        <w:spacing w:after="0" w:line="2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65"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Revenue Recognition</w:t>
      </w:r>
    </w:p>
    <w:p>
      <w:pPr>
        <w:spacing w:after="0" w:line="23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236"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ind w:right="20" w:firstLine="389"/>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Most of the Company’s projects in fiscal year 2014 were under cost-sharing contracts.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3"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Cash equivalents consist of investments in short-term financial instruments with initial maturities of three months or less from the date of purchase.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the following:</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April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1,917,176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2,184,322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11,499,768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441,715</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4,188,466</w:t>
            </w:r>
          </w:p>
        </w:tc>
      </w:tr>
      <w:tr>
        <w:trPr>
          <w:trHeight w:val="20"/>
        </w:trPr>
        <w:tc>
          <w:tcPr>
            <w:tcW w:w="6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13,858,659</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6,372,788</w:t>
            </w:r>
          </w:p>
        </w:tc>
      </w:tr>
      <w:tr>
        <w:trPr>
          <w:trHeight w:val="20"/>
        </w:trPr>
        <w:tc>
          <w:tcPr>
            <w:tcW w:w="6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Marketable Securities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2014 and April 30, 2013, all of the Company’s investments were classified as held-to-maturity.</w:t>
      </w:r>
    </w:p>
    <w:p>
      <w:pPr>
        <w:spacing w:after="0" w:line="202" w:lineRule="exact"/>
        <w:rPr>
          <w:sz w:val="20"/>
          <w:szCs w:val="20"/>
          <w:color w:val="auto"/>
        </w:rPr>
      </w:pPr>
    </w:p>
    <w:p>
      <w:pPr>
        <w:ind w:left="640" w:hanging="362"/>
        <w:spacing w:after="0"/>
        <w:tabs>
          <w:tab w:leader="none" w:pos="6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Cash and Credit Facility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3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One agreement is between Ocean Power Technologies, Inc. and Barclays Bank. Under this agreement, the cash is on deposit at Barclays Bank and serves as security for letters of credit that are expected to be issued by Barclays Bank on behalf of OPT LTD one of the Company's subsidiaries, under an €800,000 ($996,696) credit facility established by Barclays Bank for OPT LTD. The credit facility is for the issuance of letters of credit and bank guarantees and carries a fee of 1% per annum of the amount of any such obligations issued by Barclays Bank. As of April 30, 2014, there were €278,892 ($385,982) in letters of credit outstanding under this agreement. The credit facility does not have an expiration date, but is cancelable at the discretion of the bank.</w:t>
      </w:r>
    </w:p>
    <w:p>
      <w:pPr>
        <w:spacing w:after="0" w:line="17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Under this agreement, the Company annually assigns to the NJBPU a certificate of deposit in an amount equal to the outstanding grant balance. See Note 7.</w:t>
      </w:r>
    </w:p>
    <w:p>
      <w:pPr>
        <w:spacing w:after="0" w:line="181"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third agreement concerns two letters of credit issued by Ocean Power Technologies, Inc. for the benefit of the Oregon Department of State Lands. The two letters of credit relate to the removal of certain of the Company’s anchoring and mooring equipment from the seabed off the coast of Oregon. These letters of credit are secured by two certificates of deposit with PNC Bank. The first letter of credit for $375,000 had a term through August 31, 2014 and the second letter of credit for $470,000 had a term through October 16, 2014. Subsequent to the fiscal year ended April 30, 2014, the Company extended the term of both letters of credit to October 29, 2014 and have secured a third letter of credit relating to this matter in the amount of $355,000 that has a term through October 29, 2014.</w:t>
      </w:r>
    </w:p>
    <w:p>
      <w:pPr>
        <w:spacing w:after="0" w:line="193"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Company has classified the initial grant funding received from the Australian Renewable Energy Agency (“ARENA”) of A$5,595,723 ($5,179,960), which includes an amount required to be submitted as goods and services tax (GST), as restricted cash. This initial funding is subject to claw-back provisions in the grant if certain contractual requirements, including performance criteria, are not satisfied. Subsequent to April 30, 2014, the Company remitted the GST in the amount of A$508,702 ($470,905) to the Australian Tax Office in accordance with local tax laws. This amount had been accrued as of April 30, 2014 and is recorded in accrued expense (note 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080" w:type="dxa"/>
            <w:vAlign w:val="bottom"/>
            <w:gridSpan w:val="3"/>
          </w:tcPr>
          <w:p>
            <w:pPr>
              <w:spacing w:after="0"/>
              <w:rPr>
                <w:sz w:val="20"/>
                <w:szCs w:val="20"/>
                <w:color w:val="auto"/>
              </w:rPr>
            </w:pPr>
            <w:r>
              <w:rPr>
                <w:rFonts w:ascii="Arial" w:cs="Arial" w:eastAsia="Arial" w:hAnsi="Arial"/>
                <w:sz w:val="18"/>
                <w:szCs w:val="18"/>
                <w:color w:val="auto"/>
              </w:rPr>
              <w:t>Cash restricted is as follows: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1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Australian Renewable Energy Agency (ARENA)</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5,179,960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34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Oregon Department of State Lands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845,000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19"/>
                <w:szCs w:val="19"/>
                <w:color w:val="auto"/>
              </w:rPr>
            </w:pPr>
          </w:p>
        </w:tc>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6,124,960</w:t>
            </w:r>
          </w:p>
        </w:tc>
        <w:tc>
          <w:tcPr>
            <w:tcW w:w="18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Long Term:</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996,696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941,256</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225,000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425,000</w:t>
            </w:r>
          </w:p>
        </w:tc>
      </w:tr>
      <w:tr>
        <w:trPr>
          <w:trHeight w:val="230"/>
        </w:trPr>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1,221,696</w:t>
            </w:r>
          </w:p>
        </w:tc>
        <w:tc>
          <w:tcPr>
            <w:tcW w:w="18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1,366,256</w:t>
            </w:r>
          </w:p>
        </w:tc>
        <w:tc>
          <w:tcPr>
            <w:tcW w:w="100" w:type="dxa"/>
            <w:vAlign w:val="bottom"/>
            <w:shd w:val="clear" w:color="auto" w:fill="CCEEFF"/>
          </w:tcPr>
          <w:p>
            <w:pPr>
              <w:spacing w:after="0"/>
              <w:rPr>
                <w:sz w:val="19"/>
                <w:szCs w:val="19"/>
                <w:color w:val="auto"/>
              </w:rPr>
            </w:pPr>
          </w:p>
        </w:tc>
      </w:tr>
      <w:tr>
        <w:trPr>
          <w:trHeight w:val="20"/>
        </w:trPr>
        <w:tc>
          <w:tcPr>
            <w:tcW w:w="6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Property and Equipment</w:t>
      </w:r>
    </w:p>
    <w:p>
      <w:pPr>
        <w:spacing w:after="0" w:line="239"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In the fourth quarter of fiscal 2014, the Company performed its recurring assessment of the realizability of its property and equipment and recorded impairment expenses of approximately $196,000.</w:t>
      </w:r>
    </w:p>
    <w:p>
      <w:pPr>
        <w:spacing w:after="0" w:line="188"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Foreign Exchange Gains and Losses</w:t>
      </w:r>
    </w:p>
    <w:p>
      <w:pPr>
        <w:spacing w:after="0" w:line="239"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6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Year Ended April 30,</w:t>
      </w:r>
    </w:p>
    <w:p>
      <w:pPr>
        <w:spacing w:after="0" w:line="27" w:lineRule="exact"/>
        <w:rPr>
          <w:sz w:val="20"/>
          <w:szCs w:val="20"/>
          <w:color w:val="auto"/>
        </w:rPr>
      </w:pPr>
    </w:p>
    <w:p>
      <w:pPr>
        <w:ind w:left="7600"/>
        <w:spacing w:after="0"/>
        <w:tabs>
          <w:tab w:leader="none" w:pos="940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-130810</wp:posOffset>
            </wp:positionV>
            <wp:extent cx="22040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wp:posOffset>
            </wp:positionV>
            <wp:extent cx="22040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5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183,704</w:t>
            </w:r>
          </w:p>
        </w:tc>
        <w:tc>
          <w:tcPr>
            <w:tcW w:w="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(83,416)</w:t>
            </w:r>
          </w:p>
        </w:tc>
      </w:tr>
      <w:tr>
        <w:trPr>
          <w:trHeight w:val="467"/>
        </w:trPr>
        <w:tc>
          <w:tcPr>
            <w:tcW w:w="6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Foreign currency denominated certificates of deposit and cash accounts:</w:t>
            </w: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6"/>
        </w:trPr>
        <w:tc>
          <w:tcPr>
            <w:tcW w:w="4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April 30,</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6,176,656</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941,256</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Unrestricted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1,232,111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1,550,458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8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7,408,767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2,491,714</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bl>
    <w:p>
      <w:pPr>
        <w:spacing w:after="0" w:line="256" w:lineRule="exact"/>
        <w:rPr>
          <w:sz w:val="20"/>
          <w:szCs w:val="20"/>
          <w:color w:val="auto"/>
        </w:rPr>
      </w:pPr>
    </w:p>
    <w:p>
      <w:pPr>
        <w:ind w:left="640" w:hanging="362"/>
        <w:spacing w:after="0"/>
        <w:tabs>
          <w:tab w:leader="none" w:pos="6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ind w:firstLine="443"/>
        <w:spacing w:after="0" w:line="286" w:lineRule="auto"/>
        <w:rPr>
          <w:sz w:val="20"/>
          <w:szCs w:val="20"/>
          <w:color w:val="auto"/>
        </w:rPr>
      </w:pPr>
      <w:r>
        <w:rPr>
          <w:rFonts w:ascii="Arial" w:cs="Arial" w:eastAsia="Arial" w:hAnsi="Arial"/>
          <w:sz w:val="16"/>
          <w:szCs w:val="16"/>
          <w:color w:val="auto"/>
        </w:rPr>
        <w:t>External costs related to the filing of patents, including legal and filing fees, are capitalized if expenses related to the filing of a patent are significant. The Company continually re-assesses the remaining useful lives of its long-lived assets and costs are expensed when it is no longer probable that such technology will be utilized. Patents are also reviewed for impairment whenever events or changes in circumstances indicate that the carrying amount of the patent may not be recoverable. In the fourth quarter of fiscal 2014, the Company performed its recurring assessment of the realizability of its patents and</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recorded impairment expenses of approximately $3,000. Amortization is recorded over periods </w:t>
      </w:r>
      <w:r>
        <w:rPr>
          <w:rFonts w:ascii="Arial" w:cs="Arial" w:eastAsia="Arial" w:hAnsi="Arial"/>
          <w:sz w:val="21"/>
          <w:szCs w:val="21"/>
          <w:color w:val="auto"/>
        </w:rPr>
        <w:t>ranging from one to five years. Amortization</w:t>
      </w:r>
      <w:r>
        <w:rPr>
          <w:rFonts w:ascii="Arial" w:cs="Arial" w:eastAsia="Arial" w:hAnsi="Arial"/>
          <w:sz w:val="18"/>
          <w:szCs w:val="18"/>
          <w:color w:val="auto"/>
        </w:rPr>
        <w:t xml:space="preserve"> </w:t>
      </w:r>
      <w:r>
        <w:rPr>
          <w:rFonts w:ascii="Arial" w:cs="Arial" w:eastAsia="Arial" w:hAnsi="Arial"/>
          <w:sz w:val="21"/>
          <w:szCs w:val="21"/>
          <w:color w:val="auto"/>
        </w:rPr>
        <w:t>expense was approximately $215,000 and $217,000 for the years ended April 30, 2014 and 2013, respectively. Amortization expense for the next five fiscal years related to the amounts capitalized for patents as of April 30, 2014 is estimated to be approximately $212,000 in the first year decreasing to $100,000 in the fifth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653"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ind w:left="640" w:hanging="362"/>
        <w:spacing w:after="0"/>
        <w:tabs>
          <w:tab w:leader="none" w:pos="64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reviewed its long-lived assets for impairment for the years ended April 30, 2014 and 2013. The Company recorded impairment charges of approximately $3,000 and $8,000 related to patents in the year ended April 30, 2014 and 2013, respectively.</w:t>
      </w:r>
    </w:p>
    <w:p>
      <w:pPr>
        <w:spacing w:after="0" w:line="170"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Concentration of Credit Risk</w:t>
      </w:r>
    </w:p>
    <w:p>
      <w:pPr>
        <w:spacing w:after="0" w:line="225"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200"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6220" w:type="dxa"/>
            <w:vAlign w:val="bottom"/>
            <w:gridSpan w:val="2"/>
          </w:tcPr>
          <w:p>
            <w:pPr>
              <w:spacing w:after="0"/>
              <w:rPr>
                <w:sz w:val="18"/>
                <w:szCs w:val="18"/>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Shipbuilding &amp; Engineering</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post collateral.</w:t>
      </w:r>
    </w:p>
    <w:p>
      <w:pPr>
        <w:spacing w:after="0" w:line="197" w:lineRule="exact"/>
        <w:rPr>
          <w:sz w:val="20"/>
          <w:szCs w:val="20"/>
          <w:color w:val="auto"/>
        </w:rPr>
      </w:pPr>
    </w:p>
    <w:p>
      <w:pPr>
        <w:ind w:left="640" w:hanging="362"/>
        <w:spacing w:after="0"/>
        <w:tabs>
          <w:tab w:leader="none" w:pos="6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because of their anti-dilutive effect.</w:t>
      </w:r>
    </w:p>
    <w:p>
      <w:pPr>
        <w:spacing w:after="0" w:line="22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1,569,902 and 1,360,790 for the years ended April 30, 2014 and 2013, respectively, were excluded from the computations as the effect would be anti-dilutive due to the Company's losses.</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(m) Stock-Based Compensation</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recorded in the consolidated statements of operations for the years ended April 30, 2014 and 2013 was approximately $772,000 and $859,000,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Years Ended April 30, 2014 and 2013</w:t>
      </w:r>
    </w:p>
    <w:p>
      <w:pPr>
        <w:spacing w:after="0" w:line="31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The fair value of each stock option granted during the years ended April 30, 2014 and 2013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7"/>
          <w:szCs w:val="17"/>
          <w:i w:val="1"/>
          <w:iCs w:val="1"/>
          <w:color w:val="auto"/>
        </w:rPr>
        <w:t>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w:t>
      </w:r>
      <w:r>
        <w:rPr>
          <w:rFonts w:ascii="Arial" w:cs="Arial" w:eastAsia="Arial" w:hAnsi="Arial"/>
          <w:sz w:val="17"/>
          <w:szCs w:val="17"/>
          <w:color w:val="auto"/>
        </w:rPr>
        <w:t>Expected volatility was based on the Company’s historical volatility for fiscal 2014 and for fiscal 2013 was based on historical volatility for a peer</w:t>
      </w:r>
      <w:r>
        <w:rPr>
          <w:rFonts w:ascii="Arial" w:cs="Arial" w:eastAsia="Arial" w:hAnsi="Arial"/>
          <w:sz w:val="17"/>
          <w:szCs w:val="17"/>
          <w:i w:val="1"/>
          <w:iCs w:val="1"/>
          <w:color w:val="auto"/>
        </w:rPr>
        <w:t xml:space="preserve"> </w:t>
      </w:r>
      <w:r>
        <w:rPr>
          <w:rFonts w:ascii="Arial" w:cs="Arial" w:eastAsia="Arial" w:hAnsi="Arial"/>
          <w:sz w:val="17"/>
          <w:szCs w:val="17"/>
          <w:color w:val="auto"/>
        </w:rPr>
        <w:t>group of companies for a period equal to the stock option's expected life, calculated on a daily basis.</w:t>
      </w:r>
    </w:p>
    <w:p>
      <w:pPr>
        <w:spacing w:after="0" w:line="228"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r>
      <w:tr>
        <w:trPr>
          <w:trHeight w:val="210"/>
        </w:trPr>
        <w:tc>
          <w:tcPr>
            <w:tcW w:w="724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w:t>
            </w: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76.40%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86.15%</w:t>
            </w:r>
          </w:p>
        </w:tc>
      </w:tr>
    </w:tbl>
    <w:p>
      <w:pPr>
        <w:spacing w:after="0" w:line="187"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$1.27 and $1.58 for stock options granted during the years ended April 30, 2014 and 2013, respectively.</w:t>
      </w:r>
    </w:p>
    <w:p>
      <w:pPr>
        <w:spacing w:after="0" w:line="170"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Income Taxes</w:t>
      </w:r>
    </w:p>
    <w:p>
      <w:pPr>
        <w:spacing w:after="0" w:line="225"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87"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Accumulated Other Comprehensive Loss</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22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Marketable securities are classified as current assets and are summarized as follows:</w:t>
      </w:r>
    </w:p>
    <w:p>
      <w:pPr>
        <w:spacing w:after="0" w:line="289"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April 30,</w:t>
      </w:r>
    </w:p>
    <w:p>
      <w:pPr>
        <w:spacing w:after="0" w:line="27" w:lineRule="exact"/>
        <w:rPr>
          <w:sz w:val="20"/>
          <w:szCs w:val="20"/>
          <w:color w:val="auto"/>
        </w:rPr>
      </w:pPr>
    </w:p>
    <w:p>
      <w:pPr>
        <w:ind w:left="8480"/>
        <w:spacing w:after="0"/>
        <w:tabs>
          <w:tab w:leader="none" w:pos="1030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-130810</wp:posOffset>
            </wp:positionV>
            <wp:extent cx="22123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14605</wp:posOffset>
            </wp:positionV>
            <wp:extent cx="22123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8" w:lineRule="exact"/>
        <w:rPr>
          <w:sz w:val="20"/>
          <w:szCs w:val="20"/>
          <w:color w:val="auto"/>
        </w:rPr>
      </w:pPr>
    </w:p>
    <w:p>
      <w:pPr>
        <w:ind w:left="1140"/>
        <w:spacing w:after="0"/>
        <w:tabs>
          <w:tab w:leader="none" w:pos="7820" w:val="left"/>
          <w:tab w:leader="none" w:pos="8660" w:val="left"/>
          <w:tab w:leader="none" w:pos="9660" w:val="left"/>
          <w:tab w:leader="none" w:pos="10480" w:val="left"/>
        </w:tabs>
        <w:rPr>
          <w:sz w:val="20"/>
          <w:szCs w:val="20"/>
          <w:color w:val="auto"/>
        </w:rPr>
      </w:pPr>
      <w:r>
        <w:rPr>
          <w:rFonts w:ascii="Arial" w:cs="Arial" w:eastAsia="Arial" w:hAnsi="Arial"/>
          <w:sz w:val="36"/>
          <w:szCs w:val="36"/>
          <w:color w:val="auto"/>
          <w:vertAlign w:val="subscript"/>
        </w:rPr>
        <w:t>US Treasury obligations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14,493,881</w:t>
        <w:tab/>
        <w:t>$</w:t>
      </w:r>
      <w:r>
        <w:rPr>
          <w:sz w:val="20"/>
          <w:szCs w:val="20"/>
          <w:color w:val="auto"/>
        </w:rPr>
        <w:tab/>
      </w:r>
      <w:r>
        <w:rPr>
          <w:rFonts w:ascii="Arial" w:cs="Arial" w:eastAsia="Arial" w:hAnsi="Arial"/>
          <w:sz w:val="16"/>
          <w:szCs w:val="16"/>
          <w:color w:val="auto"/>
        </w:rPr>
        <w:t>13,996,705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-126365</wp:posOffset>
            </wp:positionV>
            <wp:extent cx="651764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no marketable securities classified as noncurrent assets as of April 30, 2014 and April 30, 2013.</w:t>
      </w:r>
    </w:p>
    <w:p>
      <w:pPr>
        <w:spacing w:after="0" w:line="27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4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Life</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April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 years)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527,244</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Equipment</w:t>
            </w:r>
          </w:p>
        </w:tc>
        <w:tc>
          <w:tcPr>
            <w:tcW w:w="1440" w:type="dxa"/>
            <w:vAlign w:val="bottom"/>
          </w:tcPr>
          <w:p>
            <w:pPr>
              <w:jc w:val="right"/>
              <w:spacing w:after="0"/>
              <w:rPr>
                <w:sz w:val="20"/>
                <w:szCs w:val="20"/>
                <w:color w:val="auto"/>
              </w:rPr>
            </w:pPr>
            <w:r>
              <w:rPr>
                <w:rFonts w:ascii="Arial" w:cs="Arial" w:eastAsia="Arial" w:hAnsi="Arial"/>
                <w:sz w:val="18"/>
                <w:szCs w:val="18"/>
                <w:color w:val="auto"/>
              </w:rPr>
              <w:t>3 to 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845,424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(1,520,786)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(1,512,023)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317,513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$206,945 and $285,263 for the years ended April 30, 2014 and 2013,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(5)   Balance Sheet Detail</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308,731</w:t>
            </w:r>
          </w:p>
        </w:tc>
        <w:tc>
          <w:tcPr>
            <w:tcW w:w="20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1,086,847</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(290,515)</w:t>
            </w:r>
          </w:p>
        </w:tc>
      </w:tr>
      <w:tr>
        <w:trPr>
          <w:trHeight w:val="20"/>
        </w:trPr>
        <w:tc>
          <w:tcPr>
            <w:tcW w:w="34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308,731</w:t>
            </w:r>
          </w:p>
        </w:tc>
        <w:tc>
          <w:tcPr>
            <w:tcW w:w="20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796,332</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Patents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Patents</w:t>
            </w:r>
          </w:p>
        </w:tc>
        <w:tc>
          <w:tcPr>
            <w:tcW w:w="1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1,536,029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1,558,630</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Accumulated amortization</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(707,731)</w:t>
            </w:r>
          </w:p>
        </w:tc>
        <w:tc>
          <w:tcPr>
            <w:tcW w:w="4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(513,728)</w:t>
            </w:r>
          </w:p>
        </w:tc>
      </w:tr>
      <w:tr>
        <w:trPr>
          <w:trHeight w:val="250"/>
        </w:trPr>
        <w:tc>
          <w:tcPr>
            <w:tcW w:w="3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828,298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Accrued expenses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Project costs</w:t>
            </w:r>
          </w:p>
        </w:tc>
        <w:tc>
          <w:tcPr>
            <w:tcW w:w="1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1,263,293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1,698,959</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Contract loss reserve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785,000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incentive payments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310,370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249,469</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Accrued salary and benefits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455,909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547,404</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joint venture</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173,842</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Legal and accounting fees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168,402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214,891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Goods and services tax (GST) due to Australian Tax Office</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470,905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262,360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231,058</w:t>
            </w:r>
          </w:p>
        </w:tc>
        <w:tc>
          <w:tcPr>
            <w:tcW w:w="1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2,931,239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3,900,623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Contract loss reserve represents a previous project-specific reserve where the underlying project had encountered technical issues during deployment. While the Company had no specific legal obligation to continue work on the project, management’s intention had been to complete certain elements of the project. Effective as of April 30, 2014, management made a determination not to pursue its efforts to complete the project and reversed the contract loss reserve.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August 1999, the Company entered into a consulting agreement with an individual for the provision of marketing services. The agreement provided for fees at a rate of $950 per day of services provided. The individual became a member of the board of directors in June 2006. In addition, this individual is also the chief executive officer of a company that provided engineering and technical services to the Company. The Company also provided services to the company where this individual is the chief executive officer. This individual did not stand for re-election to the board of directors at the Company’s Annual Meeting on October 4, 2012, and is no longer considered a related party. Accordingly, transactions after such date are not included in the amounts below.</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April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42,000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Expenses for services provided by related party company</w:t>
            </w:r>
          </w:p>
        </w:tc>
        <w:tc>
          <w:tcPr>
            <w:tcW w:w="12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 for services provided to related party company</w:t>
            </w:r>
          </w:p>
        </w:tc>
        <w:tc>
          <w:tcPr>
            <w:tcW w:w="1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32,000</w:t>
            </w:r>
          </w:p>
        </w:tc>
      </w:tr>
    </w:tbl>
    <w:p>
      <w:pPr>
        <w:spacing w:after="0" w:line="25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will receive up to fifteen months of consulting fees at a monthly rate of $20,000. As of April 30, 2014, the Company recorded $7,333 in expense relating to this agreement.</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Subsequent to fiscal year 2014, the Company entered into an agreement with David L. Keller, who has served as a non-executive director of the Company since October 2013. Under this agreement, Mr. Keller will serve as Interim Chief Executive Officer effective with the June 9, 2014 termination of the Company’s former Chief Executive Officer, Charles F. Dunleavy. Mr. Keller will continue in this position while the Company searches for a permanent replacement and will receive a consulting fee of $1,500 per day of services provided.</w:t>
      </w:r>
    </w:p>
    <w:p>
      <w:pPr>
        <w:spacing w:after="0" w:line="18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April 30,</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r>
      <w:tr>
        <w:trPr>
          <w:trHeight w:val="210"/>
        </w:trPr>
        <w:tc>
          <w:tcPr>
            <w:tcW w:w="410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r>
        <w:trPr>
          <w:trHeight w:val="250"/>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w:t>
        <w:tab/>
        <w:t>Deferred Credits Payable</w:t>
      </w:r>
    </w:p>
    <w:p>
      <w:pPr>
        <w:spacing w:after="0" w:line="229" w:lineRule="exact"/>
        <w:rPr>
          <w:sz w:val="20"/>
          <w:szCs w:val="20"/>
          <w:color w:val="auto"/>
        </w:rPr>
      </w:pPr>
    </w:p>
    <w:p>
      <w:pPr>
        <w:jc w:val="both"/>
        <w:ind w:firstLine="194"/>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April 30, 2014, the Company has not generated any emissions credits eligible for purchase under the agreement. The $600,000 has been classified as a noncurrent liability as of April 30, 2014 and 2013.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 ended April 30, 2014, the Company issued 3,306,334 shares of common stock under its ATM Facility for an average purchase price of $3.02 per share, resulting in net proceeds to the Company of approximately $9,698,000, and issued 3,800,000 shares of common stock under the Underwriting Agreement at a price of $3.10 per share, resulting in net proceeds to the Company of approximately $10,828,000. These transactions were registered under the Company’s S-3 Shelf.</w:t>
      </w:r>
    </w:p>
    <w:p>
      <w:pPr>
        <w:spacing w:after="0" w:line="183"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2014, and 2013, no shares of preferred stock had been issued.</w:t>
      </w:r>
    </w:p>
    <w:p>
      <w:pPr>
        <w:spacing w:after="0" w:line="4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2001, the Company approved the 2001 Stock Plan, which provides for the grant of incentive stock options and nonqualified stock options. A total of 1,000,000 shares were authorized for issuance under the 2001 Stock Plan. As of April 30, 2014, the Company had issued or reserved for issuance 134,575 shares under the 2001 Stock Plan. After the effectiveness of the 2006 Stock Incentive Plan, no further options or other awards have been or will be granted under the 2001 Stock Plan.</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2007, the Company's 2006 Stock Incentive Plan became effective. A total of 803,215 shares were authorized for issuance under the 2006 Stock Incentive Plan. In 2009, an amendment to the 2006 Stock Incentive Plan was approved by the Company’s stockholders, increasing the aggregate number of shares authorized for issuance by 850,000 shares to 1,653,215. On October 2, 2013, a further amendment to the 2006 Stock Incentive Plan was approved by the Company’s stockholders, increasing the aggregate number of shares authorized for issuance by an additional 800,000 shares to 2,453,215. As of April 30, 2014, the Company had issued share-based awards for 1,337,717 shares of common stock and had reserved an additional 838,549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any of the Company's employees, other than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40" w:hanging="407"/>
        <w:spacing w:after="0"/>
        <w:tabs>
          <w:tab w:leader="none" w:pos="64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stock options under the plans described above is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63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 Under</w:t>
            </w: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6340" w:type="dxa"/>
            <w:vAlign w:val="bottom"/>
          </w:tcPr>
          <w:p>
            <w:pPr>
              <w:spacing w:after="0"/>
              <w:rPr>
                <w:sz w:val="20"/>
                <w:szCs w:val="20"/>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Option</w:t>
            </w:r>
          </w:p>
        </w:tc>
        <w:tc>
          <w:tcPr>
            <w:tcW w:w="1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r>
      <w:tr>
        <w:trPr>
          <w:trHeight w:val="228"/>
        </w:trPr>
        <w:tc>
          <w:tcPr>
            <w:tcW w:w="63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20" w:type="dxa"/>
            <w:vAlign w:val="bottom"/>
          </w:tcPr>
          <w:p>
            <w:pPr>
              <w:spacing w:after="0"/>
              <w:rPr>
                <w:sz w:val="19"/>
                <w:szCs w:val="19"/>
                <w:color w:val="auto"/>
              </w:rPr>
            </w:pPr>
          </w:p>
        </w:tc>
      </w:tr>
      <w:tr>
        <w:trPr>
          <w:trHeight w:val="198"/>
        </w:trPr>
        <w:tc>
          <w:tcPr>
            <w:tcW w:w="6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580" w:type="dxa"/>
            <w:vAlign w:val="bottom"/>
            <w:gridSpan w:val="2"/>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2012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1,353,473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r>
      <w:tr>
        <w:trPr>
          <w:trHeight w:val="216"/>
        </w:trPr>
        <w:tc>
          <w:tcPr>
            <w:tcW w:w="6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(429,244)</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Outstanding April 30, 2013</w:t>
            </w:r>
          </w:p>
        </w:tc>
        <w:tc>
          <w:tcPr>
            <w:tcW w:w="1480" w:type="dxa"/>
            <w:vAlign w:val="bottom"/>
          </w:tcPr>
          <w:p>
            <w:pPr>
              <w:jc w:val="right"/>
              <w:spacing w:after="0"/>
              <w:rPr>
                <w:sz w:val="20"/>
                <w:szCs w:val="20"/>
                <w:color w:val="auto"/>
              </w:rPr>
            </w:pPr>
            <w:r>
              <w:rPr>
                <w:rFonts w:ascii="Arial" w:cs="Arial" w:eastAsia="Arial" w:hAnsi="Arial"/>
                <w:sz w:val="18"/>
                <w:szCs w:val="18"/>
                <w:color w:val="auto"/>
              </w:rPr>
              <w:t>1,305,988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7.43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r>
      <w:tr>
        <w:trPr>
          <w:trHeight w:val="216"/>
        </w:trPr>
        <w:tc>
          <w:tcPr>
            <w:tcW w:w="6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(4,266)</w:t>
            </w: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(320,932)</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Outstanding April 30, 2014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1,472,292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r>
      <w:tr>
        <w:trPr>
          <w:trHeight w:val="20"/>
        </w:trPr>
        <w:tc>
          <w:tcPr>
            <w:tcW w:w="6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197"/>
        </w:trPr>
        <w:tc>
          <w:tcPr>
            <w:tcW w:w="6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Exercisable April 30, 2014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937,457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0"/>
        </w:trPr>
        <w:tc>
          <w:tcPr>
            <w:tcW w:w="6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April 30, 2014, the total intrinsic value of outstanding options was approximately $430,000 and the total intrinsic value of exercisable options was $163,000. As of April 30, 2014, approximately 530,000 additional options were expected to vest, which have approximately $267,000 of intrinsic value and a weighted-average remaining contractual term of 8.6 years. There was approximately $587,000 and $713,000 of total recognized compensation cost related to employees for stock options during the years ended April 30, 2014 and 2013, respectively. As of April 30, 2014, there was approximately $457,000 of total unrecognized compensation cost related to non-vested stock options granted under the plans. This cost is expected to be recognized over a weighted-average period of 2.4 years. The Company typically issues new shares to satisfy option exercises under these plans.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April 2014, the Company accelerated the vesting of 61,962 options in accordance with its Executive Transition Agreement with George W. Taylor.</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options were granted to non-employee directors and consultants during the years ended April 30, 2014 and 2013. The Company has charged compensation expense of approximately $91,000 and $101,000 related to these option grants, the majority of which relates to non-employee directors. These expenses have been included in selling, general and administrative costs in the accompanying consolidated statements of operations for the years ended April 30, 2014 and 2013, respectively.</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Subsequent to fiscal year 2014, the Company terminated the employment of Chief Executive Officer Charles F. Dunleavy. At the time of Mr. Dunleavy’s termination, he held 427,357 outstanding options, 304,895 of which were exercisable, at a weighted average per share exercise price of $7.02 and $8.65, respectively. These options were forfeited upon termination.</w:t>
      </w:r>
    </w:p>
    <w:p>
      <w:pPr>
        <w:spacing w:after="0" w:line="181" w:lineRule="exact"/>
        <w:rPr>
          <w:sz w:val="20"/>
          <w:szCs w:val="20"/>
          <w:color w:val="auto"/>
        </w:rPr>
      </w:pPr>
    </w:p>
    <w:p>
      <w:pPr>
        <w:ind w:left="640" w:hanging="407"/>
        <w:spacing w:after="0"/>
        <w:tabs>
          <w:tab w:leader="none" w:pos="64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Compensation expense for restricted stock is generally recorded based on its market value on the date of grant and recognized ratably over the associated service and performance period. There were 96,239 and 31,744 shares of restricted stock granted to employees and non-employee board members with service and/or performance-based vesting requirements during the years ended April 30, 2014 and 2013,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9" w:name="page70"/>
    <w:bookmarkEnd w:id="69"/>
    <w:tbl>
      <w:tblPr>
        <w:tblLayout w:type="fixed"/>
        <w:tblInd w:w="120" w:type="dxa"/>
        <w:tblCellMar>
          <w:top w:w="0" w:type="dxa"/>
          <w:left w:w="0" w:type="dxa"/>
          <w:bottom w:w="0" w:type="dxa"/>
          <w:right w:w="0" w:type="dxa"/>
        </w:tblCellMar>
      </w:tblPr>
      <w:tr>
        <w:trPr>
          <w:trHeight w:val="234"/>
        </w:trPr>
        <w:tc>
          <w:tcPr>
            <w:tcW w:w="8240" w:type="dxa"/>
            <w:vAlign w:val="bottom"/>
            <w:gridSpan w:val="2"/>
          </w:tcPr>
          <w:p>
            <w:pPr>
              <w:ind w:left="304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8240" w:type="dxa"/>
            <w:vAlign w:val="bottom"/>
            <w:gridSpan w:val="2"/>
          </w:tcPr>
          <w:p>
            <w:pPr>
              <w:ind w:left="3360"/>
              <w:spacing w:after="0"/>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240" w:type="dxa"/>
            <w:vAlign w:val="bottom"/>
            <w:gridSpan w:val="2"/>
          </w:tcPr>
          <w:p>
            <w:pPr>
              <w:ind w:left="300"/>
              <w:spacing w:after="0"/>
              <w:rPr>
                <w:sz w:val="20"/>
                <w:szCs w:val="20"/>
                <w:color w:val="auto"/>
              </w:rPr>
            </w:pPr>
            <w:r>
              <w:rPr>
                <w:rFonts w:ascii="Arial" w:cs="Arial" w:eastAsia="Arial" w:hAnsi="Arial"/>
                <w:sz w:val="18"/>
                <w:szCs w:val="18"/>
                <w:color w:val="auto"/>
              </w:rPr>
              <w:t>A summary of non-vested restricted stock under the plans is as follows: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 per</w:t>
            </w:r>
          </w:p>
        </w:tc>
      </w:tr>
      <w:tr>
        <w:trPr>
          <w:trHeight w:val="234"/>
        </w:trPr>
        <w:tc>
          <w:tcPr>
            <w:tcW w:w="7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of Shares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r>
      <w:tr>
        <w:trPr>
          <w:trHeight w:val="426"/>
        </w:trPr>
        <w:tc>
          <w:tcPr>
            <w:tcW w:w="82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and unvested at April 30, 2012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31,744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(35,918)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(34,864)</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2013</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824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(16,417)</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(37,014)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r>
        <w:trPr>
          <w:trHeight w:val="20"/>
        </w:trPr>
        <w:tc>
          <w:tcPr>
            <w:tcW w:w="79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8"/>
                <w:szCs w:val="18"/>
                <w:color w:val="auto"/>
              </w:rPr>
              <w:t>Issued and unvested at April 30, 2014</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0"/>
        </w:trPr>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89"/>
        <w:spacing w:after="0" w:line="295" w:lineRule="auto"/>
        <w:rPr>
          <w:sz w:val="20"/>
          <w:szCs w:val="20"/>
          <w:color w:val="auto"/>
        </w:rPr>
      </w:pPr>
      <w:r>
        <w:rPr>
          <w:rFonts w:ascii="Arial" w:cs="Arial" w:eastAsia="Arial" w:hAnsi="Arial"/>
          <w:sz w:val="16"/>
          <w:szCs w:val="16"/>
          <w:color w:val="auto"/>
        </w:rPr>
        <w:t>There was approximately $60,000 and $28,000 of total recognized compensation cost relating to restricted stock granted to employees during the years ended April 30, 2014 and 2013, respectively. Certain shares of restricted stock were granted to non-employee directors during the years ended April 30, 2014 and 2013. The Company recorded compensation expenses of approximately $34,000 and $16,000 in 2014 and 2013, respectively. As of April 30, 2014, there was approximately $80,000 of total unrecognized compensation cost related to non-vested restricted stock granted under the plans. This cost is expected to be</w:t>
      </w:r>
    </w:p>
    <w:p>
      <w:pPr>
        <w:spacing w:after="0"/>
        <w:rPr>
          <w:sz w:val="20"/>
          <w:szCs w:val="20"/>
          <w:color w:val="auto"/>
        </w:rPr>
      </w:pPr>
      <w:r>
        <w:rPr>
          <w:rFonts w:ascii="Arial" w:cs="Arial" w:eastAsia="Arial" w:hAnsi="Arial"/>
          <w:sz w:val="18"/>
          <w:szCs w:val="18"/>
          <w:color w:val="auto"/>
        </w:rPr>
        <w:t>recognized over a weighted-average period of 2.1 years.</w:t>
      </w:r>
    </w:p>
    <w:p>
      <w:pPr>
        <w:spacing w:after="0" w:line="333" w:lineRule="exact"/>
        <w:rPr>
          <w:sz w:val="20"/>
          <w:szCs w:val="20"/>
          <w:color w:val="auto"/>
        </w:rPr>
      </w:pPr>
    </w:p>
    <w:p>
      <w:pPr>
        <w:ind w:left="640" w:hanging="407"/>
        <w:spacing w:after="0"/>
        <w:tabs>
          <w:tab w:leader="none" w:pos="64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years ended April 30, 2014 and 2013, 4,081 and 10,227 shares of common stock, respectively, were purchased by the Company from employees to pay taxes related to the vesting of restricted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Loss before income taxes for the years ended April 30, 2014 and 2013 consisted of the following components:</w:t>
      </w:r>
    </w:p>
    <w:p>
      <w:pPr>
        <w:spacing w:after="0" w:line="200" w:lineRule="exact"/>
        <w:rPr>
          <w:sz w:val="20"/>
          <w:szCs w:val="20"/>
          <w:color w:val="auto"/>
        </w:rPr>
      </w:pPr>
    </w:p>
    <w:p>
      <w:pPr>
        <w:spacing w:after="0" w:line="29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April 30,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434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3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(9,532,725)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(13,630,946)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Foreign</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(3,404,224)</w:t>
            </w:r>
          </w:p>
        </w:tc>
        <w:tc>
          <w:tcPr>
            <w:tcW w:w="4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(2,645,308)</w:t>
            </w: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loss before income taxes</w:t>
            </w:r>
          </w:p>
        </w:tc>
        <w:tc>
          <w:tcPr>
            <w:tcW w:w="1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(12,936,949)</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(16,276,254)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income taxes (benefit) for the years ended April 30, 2013 and 2012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April 30,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Federal</w:t>
            </w:r>
          </w:p>
        </w:tc>
        <w:tc>
          <w:tcPr>
            <w:tcW w:w="3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(1,745,895)</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(1,453,243)</w:t>
            </w: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2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(1,745,895)</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(1,453,243)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Federal</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Foreign</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w:t>
            </w:r>
          </w:p>
        </w:tc>
        <w:tc>
          <w:tcPr>
            <w:tcW w:w="2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Total income tax benefit</w:t>
            </w:r>
          </w:p>
        </w:tc>
        <w:tc>
          <w:tcPr>
            <w:tcW w:w="3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(1,745,895)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(1,453,243)</w:t>
            </w:r>
          </w:p>
        </w:tc>
        <w:tc>
          <w:tcPr>
            <w:tcW w:w="9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56"/>
        </w:trPr>
        <w:tc>
          <w:tcPr>
            <w:tcW w:w="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60" w:type="dxa"/>
            <w:vAlign w:val="bottom"/>
            <w:gridSpan w:val="2"/>
          </w:tcPr>
          <w:p>
            <w:pPr>
              <w:jc w:val="right"/>
              <w:ind w:right="1600"/>
              <w:spacing w:after="0"/>
              <w:rPr>
                <w:sz w:val="20"/>
                <w:szCs w:val="20"/>
                <w:color w:val="auto"/>
              </w:rPr>
            </w:pPr>
            <w:r>
              <w:rPr>
                <w:rFonts w:ascii="Arial" w:cs="Arial" w:eastAsia="Arial" w:hAnsi="Arial"/>
                <w:sz w:val="18"/>
                <w:szCs w:val="18"/>
                <w:color w:val="auto"/>
              </w:rPr>
              <w:t>F-21</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8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82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29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Tax Rate Reconciliation</w:t>
      </w:r>
    </w:p>
    <w:p>
      <w:pPr>
        <w:spacing w:after="0" w:line="229" w:lineRule="exact"/>
        <w:rPr>
          <w:sz w:val="20"/>
          <w:szCs w:val="20"/>
          <w:color w:val="auto"/>
        </w:rPr>
      </w:pPr>
    </w:p>
    <w:p>
      <w:pPr>
        <w:ind w:right="40" w:firstLine="389"/>
        <w:spacing w:after="0" w:line="277"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rate of 34% to loss before income taxes as a result of the following:</w:t>
      </w:r>
    </w:p>
    <w:p>
      <w:pPr>
        <w:spacing w:after="0" w:line="166"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Years Ended April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(reduction) in income taxes resulting from:</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research and development tax credits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of net operating losses and tax credit carryforwards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in compensatory options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of sale of New Jersey tax benefits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38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7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7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Pr>
          <w:p>
            <w:pPr>
              <w:spacing w:after="0"/>
              <w:rPr>
                <w:sz w:val="18"/>
                <w:szCs w:val="18"/>
                <w:color w:val="auto"/>
              </w:rPr>
            </w:pPr>
          </w:p>
        </w:tc>
      </w:tr>
      <w:tr>
        <w:trPr>
          <w:trHeight w:val="256"/>
        </w:trPr>
        <w:tc>
          <w:tcPr>
            <w:tcW w:w="300" w:type="dxa"/>
            <w:vAlign w:val="bottom"/>
          </w:tcPr>
          <w:p>
            <w:pPr>
              <w:spacing w:after="0"/>
              <w:rPr>
                <w:sz w:val="22"/>
                <w:szCs w:val="22"/>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2"/>
                <w:szCs w:val="22"/>
                <w:color w:val="auto"/>
              </w:rPr>
            </w:pPr>
          </w:p>
        </w:tc>
      </w:tr>
      <w:tr>
        <w:trPr>
          <w:trHeight w:val="656"/>
        </w:trPr>
        <w:tc>
          <w:tcPr>
            <w:tcW w:w="300" w:type="dxa"/>
            <w:vAlign w:val="bottom"/>
          </w:tcPr>
          <w:p>
            <w:pPr>
              <w:spacing w:after="0"/>
              <w:rPr>
                <w:sz w:val="24"/>
                <w:szCs w:val="24"/>
                <w:color w:val="auto"/>
              </w:rPr>
            </w:pPr>
          </w:p>
        </w:tc>
        <w:tc>
          <w:tcPr>
            <w:tcW w:w="7280" w:type="dxa"/>
            <w:vAlign w:val="bottom"/>
            <w:tcBorders>
              <w:top w:val="single" w:sz="8" w:color="CCEEFF"/>
            </w:tcBorders>
          </w:tcPr>
          <w:p>
            <w:pPr>
              <w:ind w:left="5240"/>
              <w:spacing w:after="0"/>
              <w:rPr>
                <w:sz w:val="20"/>
                <w:szCs w:val="20"/>
                <w:color w:val="auto"/>
              </w:rPr>
            </w:pPr>
            <w:r>
              <w:rPr>
                <w:rFonts w:ascii="Arial" w:cs="Arial" w:eastAsia="Arial" w:hAnsi="Arial"/>
                <w:sz w:val="18"/>
                <w:szCs w:val="18"/>
                <w:color w:val="auto"/>
              </w:rPr>
              <w:t>F-22</w:t>
            </w: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72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Components of Deferred Taxes</w:t>
      </w:r>
    </w:p>
    <w:p>
      <w:pPr>
        <w:spacing w:after="0" w:line="229"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the Company's deferred tax assets and deferred tax liabilities are presented below.</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April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Federal net operating loss carryforwards</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29,724,000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25,396,000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Foreign net operating loss carryforwards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6,021,000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New Jersey state operating loss carryforwards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1,411,000</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Federal and New Jersey research and development tax credits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2,178,000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Foreign research and development tax credits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730,000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Capitalized research and development costs, net of amortization</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4,901,000</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258,000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652,000</w:t>
            </w: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46,756,000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(46,756,000)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93"/>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As of April 30, 2014 and 2013, based upon the level of historical taxable losses, valuation allowances of $46,756,000 and $43,725,000, respectively, were recorded to fully offset deferred tax assets. The valuation allowance increased $3,031,000 and $48,000 during the years ended April 30, 2014 and 2013, respectively.</w:t>
      </w:r>
    </w:p>
    <w:p>
      <w:pPr>
        <w:spacing w:after="0" w:line="173" w:lineRule="exact"/>
        <w:rPr>
          <w:sz w:val="20"/>
          <w:szCs w:val="20"/>
          <w:color w:val="auto"/>
        </w:rPr>
      </w:pPr>
    </w:p>
    <w:p>
      <w:pPr>
        <w:jc w:val="both"/>
        <w:ind w:firstLine="389"/>
        <w:spacing w:after="0" w:line="287" w:lineRule="auto"/>
        <w:rPr>
          <w:sz w:val="20"/>
          <w:szCs w:val="20"/>
          <w:color w:val="auto"/>
        </w:rPr>
      </w:pPr>
      <w:r>
        <w:rPr>
          <w:rFonts w:ascii="Arial" w:cs="Arial" w:eastAsia="Arial" w:hAnsi="Arial"/>
          <w:sz w:val="16"/>
          <w:szCs w:val="16"/>
          <w:color w:val="auto"/>
        </w:rPr>
        <w:t>As of April 30, 2014, the Company had net operating loss carryforwards for federal income tax purposes of approximately $87,424,000, which begin to expire in fiscal 2019. The Company also had federal research and development tax credit carryforwards of approximately $2,095,000 as of April 30, 2014, which begin to expire in 2019.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The Company has not performed additional analysis on ownership changes that may have occurred subsequently to further limit the ability to utilize net tax attributes. As of April 30, 2014, the Company had state net operating loss carryforwards of approximately $20,507,000, which begin to expire in 2026, which also may be limited to utilization limitations. As of April 30, 2014, the Company had foreign net operating loss carryforwards of approximately $23,802,000, which begin to expire in 2024. The ability to utilize these carryforwards may also be limited in the event of a significant change to ownership.</w:t>
      </w:r>
    </w:p>
    <w:p>
      <w:pPr>
        <w:spacing w:after="0" w:line="173"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During the years ended April 30, 2014 and 2013, the Company sold New Jersey State net operating losses in the amount of $15,347,000 and $18,673,000, respectively, resulting in the recognition of income tax benefits of $1,746,000 and $1,453,000, respectively, recorded in the Company’s Statement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2014 and 2013,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2007 and fiscal 2010, respectively. Net operating loss and credit carryforwards since inception remain open to examination by taxing authorities, and will continue to remain open for a period of time after utilization.</w:t>
      </w:r>
    </w:p>
    <w:p>
      <w:pPr>
        <w:spacing w:after="0" w:line="178"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Initial grant funding, net of GST, of approximately A$5,087,000 ($4,709,000) received from ARENA has been estimated by the Company to be non-taxable in the year of receipt due to claw-back provisions in the grant that apply if certain contractual requirements, including performance criteria, are not satisfied.</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does not have any interest or penalties accrued related to uncertain tax positions as it does not have any unrecognized tax benefits.</w:t>
      </w:r>
    </w:p>
    <w:p>
      <w:pPr>
        <w:spacing w:after="0" w:line="233"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640" w:hanging="407"/>
        <w:spacing w:after="0"/>
        <w:tabs>
          <w:tab w:leader="none" w:pos="640" w:val="left"/>
        </w:tabs>
        <w:numPr>
          <w:ilvl w:val="1"/>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 Commitments</w:t>
      </w:r>
    </w:p>
    <w:p>
      <w:pPr>
        <w:spacing w:after="0" w:line="23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Company leases office, laboratory, manufacturing and other space in Pennington, New Jersey and Warwick, United Kingdom under operating leases that expire on various dates through April 30, 2015. Rent expense under operating leases was approximately $299,000 and $383,000 for the years ended April 30, 2014 and 2013, respectively. Future minimum lease payments under these operating leases as of April 30, 2014 is $260,000 for the year ending April 30, 2015.</w:t>
      </w:r>
    </w:p>
    <w:p>
      <w:pPr>
        <w:spacing w:after="0" w:line="187" w:lineRule="exact"/>
        <w:rPr>
          <w:sz w:val="20"/>
          <w:szCs w:val="20"/>
          <w:color w:val="auto"/>
        </w:rPr>
      </w:pPr>
    </w:p>
    <w:p>
      <w:pPr>
        <w:ind w:left="640" w:hanging="407"/>
        <w:spacing w:after="0"/>
        <w:tabs>
          <w:tab w:leader="none" w:pos="6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15 for Subsequent Events related to threatened and pending litigation.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the Company is involved from time to time in certain legal actions arising in the ordinary course of business.</w:t>
      </w:r>
    </w:p>
    <w:p>
      <w:pPr>
        <w:spacing w:after="0" w:line="279" w:lineRule="exact"/>
        <w:rPr>
          <w:sz w:val="20"/>
          <w:szCs w:val="20"/>
          <w:color w:val="auto"/>
        </w:rPr>
      </w:pPr>
    </w:p>
    <w:p>
      <w:pPr>
        <w:ind w:left="640" w:hanging="407"/>
        <w:spacing w:after="0"/>
        <w:tabs>
          <w:tab w:leader="none" w:pos="6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2006 Spain Construction Agreement</w:t>
      </w:r>
    </w:p>
    <w:p>
      <w:pPr>
        <w:spacing w:after="0" w:line="239"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During the year ended April 30, 2014, the dissolution of Ibermar was unanimously approved by the shareholders of Ibermar. OPT LTD held a 10% stake in this entity. During the dissolution of this entity, OPT LTD signed an agreement with Ibermar to cancel all obligations under the 2006 Spain Construction Agreement between Ibermar and OPT LTD. In addition, the Company paid the final 5% stake in the entity that had been accrued in a prior period and received partial payment of an account receivable under the 2006 Spain Construction Agreement that had been fully reserved in a prior period.</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April 30, 2014, the cancellation of this agreement did not have a material adverse effect on the Company's financial position or results of operations.</w:t>
      </w:r>
    </w:p>
    <w:p>
      <w:pPr>
        <w:spacing w:after="0" w:line="184" w:lineRule="exact"/>
        <w:rPr>
          <w:sz w:val="20"/>
          <w:szCs w:val="20"/>
          <w:color w:val="auto"/>
        </w:rPr>
      </w:pPr>
    </w:p>
    <w:p>
      <w:pPr>
        <w:ind w:left="640" w:hanging="407"/>
        <w:spacing w:after="0"/>
        <w:tabs>
          <w:tab w:leader="none" w:pos="6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($385,982) at the request of the Spanish tax authorities during fiscal 2014. This is a customary request during the inquiry period.</w:t>
      </w:r>
    </w:p>
    <w:p>
      <w:pPr>
        <w:spacing w:after="0" w:line="187" w:lineRule="exact"/>
        <w:rPr>
          <w:sz w:val="20"/>
          <w:szCs w:val="20"/>
          <w:color w:val="auto"/>
        </w:rPr>
      </w:pPr>
    </w:p>
    <w:p>
      <w:pPr>
        <w:ind w:left="640" w:hanging="407"/>
        <w:spacing w:after="0"/>
        <w:tabs>
          <w:tab w:leader="none" w:pos="64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Commercial Dispute</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was subject to certain claims filed by a contractor and subcontractor in connection with a dispute over a contract to perform certain work for the Company related to the deployment of an anchor/mooring system off the Oregon coast. The Company claimed that the contractor and subcontractor were responsible for damage to the system during the deployment process. In March 2014, the matter was mutually resolved through mediation. The outcome of this mediation did not have a material adverse effect on the Company’s financial position or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Information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700" w:type="dxa"/>
            <w:vAlign w:val="bottom"/>
          </w:tcPr>
          <w:p>
            <w:pPr>
              <w:ind w:left="60"/>
              <w:spacing w:after="0"/>
              <w:rPr>
                <w:sz w:val="20"/>
                <w:szCs w:val="20"/>
                <w:color w:val="auto"/>
              </w:rPr>
            </w:pPr>
            <w:r>
              <w:rPr>
                <w:rFonts w:ascii="Arial" w:cs="Arial" w:eastAsia="Arial" w:hAnsi="Arial"/>
                <w:sz w:val="18"/>
                <w:szCs w:val="18"/>
                <w:color w:val="auto"/>
              </w:rPr>
              <w:t>Geographic information is as follows: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5"/>
              </w:rPr>
              <w:t>Year Ended April 30, 2014</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Asia and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5"/>
              </w:rPr>
              <w:t>North America</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Europe</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181,069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1,498,892</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(10,102,605)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(1,180,334)</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(1,867,370)</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(13,150,309)</w:t>
            </w: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305,314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317,513</w:t>
            </w: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31,313,240</w:t>
            </w:r>
          </w:p>
        </w:tc>
        <w:tc>
          <w:tcPr>
            <w:tcW w:w="100" w:type="dxa"/>
            <w:vAlign w:val="bottom"/>
          </w:tcPr>
          <w:p>
            <w:pPr>
              <w:spacing w:after="0"/>
              <w:rPr>
                <w:sz w:val="20"/>
                <w:szCs w:val="20"/>
                <w:color w:val="auto"/>
              </w:rPr>
            </w:pPr>
          </w:p>
        </w:tc>
        <w:tc>
          <w:tcPr>
            <w:tcW w:w="2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1,003,205</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5,768,390</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38,084,835</w:t>
            </w:r>
          </w:p>
        </w:tc>
      </w:tr>
      <w:tr>
        <w:trPr>
          <w:trHeight w:val="472"/>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w w:val="97"/>
              </w:rPr>
              <w:t>Year Ended April 30, 2013</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Asia and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3"/>
              </w:rPr>
              <w:t>North America</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Europe</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4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3,497,338</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118,791</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3,616,129</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(14,048,062)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(1,091,473)</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(1,179,680)</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(16,319,215)</w:t>
            </w:r>
          </w:p>
        </w:tc>
      </w:t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675,354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24,128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700,968</w:t>
            </w: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23,097,183</w:t>
            </w:r>
          </w:p>
        </w:tc>
        <w:tc>
          <w:tcPr>
            <w:tcW w:w="2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1,518,496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215,380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24,831,059</w:t>
            </w:r>
          </w:p>
        </w:tc>
      </w:tr>
      <w:tr>
        <w:trPr>
          <w:trHeight w:val="472"/>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7"/>
              </w:rPr>
              <w:t>(15)</w:t>
            </w:r>
          </w:p>
        </w:tc>
        <w:tc>
          <w:tcPr>
            <w:tcW w:w="3700" w:type="dxa"/>
            <w:vAlign w:val="bottom"/>
          </w:tcPr>
          <w:p>
            <w:pPr>
              <w:ind w:left="240"/>
              <w:spacing w:after="0"/>
              <w:rPr>
                <w:sz w:val="20"/>
                <w:szCs w:val="20"/>
                <w:color w:val="auto"/>
              </w:rPr>
            </w:pPr>
            <w:r>
              <w:rPr>
                <w:rFonts w:ascii="Arial" w:cs="Arial" w:eastAsia="Arial" w:hAnsi="Arial"/>
                <w:sz w:val="18"/>
                <w:szCs w:val="18"/>
                <w:b w:val="1"/>
                <w:bCs w:val="1"/>
                <w:color w:val="auto"/>
              </w:rPr>
              <w:t>Subsequent Event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June 10, 2014, the Company announced that it had terminated the employment of Charles F. Dunleavy as Chief Executive Officer and as an employee of the Company, effective June 9, 2014. Mr. Dunleavy was also removed from his position as Chairman of the Board of Directors. David L. Keller, who has served as a non-executive director of the Company since October 2013, assumed the position of Interim Chief Executive Officer, effective June 9, 2014, and will continue in this position while the Company searches for a permanent replacement. Mr. Dunleavy has notified the Company that he has retained counsel to represent him in connection with an alleged wrongful termination of his employment.</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also announced that the Board of Directors has appointed a Special Committee, composed of two outside directors and the Interim Chief Executive Officer, to conduct an internal investigation into the agreement between Victorian Wave Partners Pty Ltd, a project-specific operating entity wholly-owned by the Company's subsidiary Ocean Power Technologies (Australia) Pty Ltd, and ARENA. The Special Committee has retained outside counsel to assist in this investigation.</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July 2014, VWP’s Board of Directors concluded that the wave power demonstration project contemplated was no longer commercially viable, and VWP delivered a termination notice to ARENA. In conjunction with the termination notice, VWP advised ARENA of its intent to repay to ARENA the funding given to VWP to date, including interest, within 30 days after the date of the Termination Notice. The parties are currently discussing how the repayment will be made. VWP will also observe other applicable termination provisions in the Funding Deed.</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On June 13, 2014, the Company and its former Chief Executive Officer Charles Dunleavy were named as defendants in a putative securities class action filed in the United States District Court for the District of New Jersey captioned </w:t>
      </w:r>
      <w:r>
        <w:rPr>
          <w:rFonts w:ascii="Arial" w:cs="Arial" w:eastAsia="Arial" w:hAnsi="Arial"/>
          <w:sz w:val="16"/>
          <w:szCs w:val="16"/>
          <w:i w:val="1"/>
          <w:iCs w:val="1"/>
          <w:color w:val="auto"/>
        </w:rPr>
        <w:t>Roby v. Ocean Power Technologies, Inc., et al</w:t>
      </w:r>
      <w:r>
        <w:rPr>
          <w:rFonts w:ascii="Arial" w:cs="Arial" w:eastAsia="Arial" w:hAnsi="Arial"/>
          <w:sz w:val="16"/>
          <w:szCs w:val="16"/>
          <w:color w:val="auto"/>
        </w:rPr>
        <w:t xml:space="preserve">., Case No. 3:14-cv-03799-FLW-LHG. The complaint is brought on behalf of a putative class of investors who purchased the Company’s common stock during the period January 14, 2014 through June 9, 2014. The complaint alleges claims for violations of §10(b) and §20(a) of the Securities Exchange Act of 1934 arising out of public statements regarding an agreement between Victorian Wave Partners Pty. Ltd., a project-specific operating entity owned by the Company’s subsidiary, Ocean Power Technologies (Australasia) Pty. Ltd., and the Australian Renewable Energy Agency for the development of a wave power station (the “VWP Project”). On June 13 and June 20, 2014, two additional putative securities class actions captioned </w:t>
      </w:r>
      <w:r>
        <w:rPr>
          <w:rFonts w:ascii="Arial" w:cs="Arial" w:eastAsia="Arial" w:hAnsi="Arial"/>
          <w:sz w:val="16"/>
          <w:szCs w:val="16"/>
          <w:i w:val="1"/>
          <w:iCs w:val="1"/>
          <w:color w:val="auto"/>
        </w:rPr>
        <w:t>Chew, et al. v. Ocean Power Technologies, Inc. et. al</w:t>
      </w:r>
      <w:r>
        <w:rPr>
          <w:rFonts w:ascii="Arial" w:cs="Arial" w:eastAsia="Arial" w:hAnsi="Arial"/>
          <w:sz w:val="16"/>
          <w:szCs w:val="16"/>
          <w:color w:val="auto"/>
        </w:rPr>
        <w:t xml:space="preserve">., Case No 3:14-cv-03815-MAS-DEA, and </w:t>
      </w:r>
      <w:r>
        <w:rPr>
          <w:rFonts w:ascii="Arial" w:cs="Arial" w:eastAsia="Arial" w:hAnsi="Arial"/>
          <w:sz w:val="16"/>
          <w:szCs w:val="16"/>
          <w:i w:val="1"/>
          <w:iCs w:val="1"/>
          <w:color w:val="auto"/>
        </w:rPr>
        <w:t>Konstantinidis v. Ocean Power Technologies, Inc., et al</w:t>
      </w:r>
      <w:r>
        <w:rPr>
          <w:rFonts w:ascii="Arial" w:cs="Arial" w:eastAsia="Arial" w:hAnsi="Arial"/>
          <w:sz w:val="16"/>
          <w:szCs w:val="16"/>
          <w:color w:val="auto"/>
        </w:rPr>
        <w:t xml:space="preserve">., Case No. 3:14-cv-04015-FLW-DEA, were filed in the same federal court alleging substantially similar claims. The </w:t>
      </w:r>
      <w:r>
        <w:rPr>
          <w:rFonts w:ascii="Arial" w:cs="Arial" w:eastAsia="Arial" w:hAnsi="Arial"/>
          <w:sz w:val="16"/>
          <w:szCs w:val="16"/>
          <w:i w:val="1"/>
          <w:iCs w:val="1"/>
          <w:color w:val="auto"/>
        </w:rPr>
        <w:t>Chew</w:t>
      </w:r>
      <w:r>
        <w:rPr>
          <w:rFonts w:ascii="Arial" w:cs="Arial" w:eastAsia="Arial" w:hAnsi="Arial"/>
          <w:sz w:val="16"/>
          <w:szCs w:val="16"/>
          <w:color w:val="auto"/>
        </w:rPr>
        <w:t xml:space="preserve"> complaint also names as a defendant Chief Financial Officer Mark Featherstone. On July 22, 2014, a fourth securities class action complaint was filed against the Company, Mr. Dunleavy, and Mr. Featherstone in federal court in New Jersey, captioned </w:t>
      </w:r>
      <w:r>
        <w:rPr>
          <w:rFonts w:ascii="Arial" w:cs="Arial" w:eastAsia="Arial" w:hAnsi="Arial"/>
          <w:sz w:val="16"/>
          <w:szCs w:val="16"/>
          <w:i w:val="1"/>
          <w:iCs w:val="1"/>
          <w:color w:val="auto"/>
        </w:rPr>
        <w:t>Turner v.</w:t>
      </w:r>
      <w:r>
        <w:rPr>
          <w:rFonts w:ascii="Arial" w:cs="Arial" w:eastAsia="Arial" w:hAnsi="Arial"/>
          <w:sz w:val="16"/>
          <w:szCs w:val="16"/>
          <w:color w:val="auto"/>
        </w:rPr>
        <w:t xml:space="preserve"> </w:t>
      </w:r>
      <w:r>
        <w:rPr>
          <w:rFonts w:ascii="Arial" w:cs="Arial" w:eastAsia="Arial" w:hAnsi="Arial"/>
          <w:sz w:val="16"/>
          <w:szCs w:val="16"/>
          <w:i w:val="1"/>
          <w:iCs w:val="1"/>
          <w:color w:val="auto"/>
        </w:rPr>
        <w:t>Ocean Power Technologies, Inc., et al.</w:t>
      </w:r>
      <w:r>
        <w:rPr>
          <w:rFonts w:ascii="Arial" w:cs="Arial" w:eastAsia="Arial" w:hAnsi="Arial"/>
          <w:sz w:val="16"/>
          <w:szCs w:val="16"/>
          <w:color w:val="auto"/>
        </w:rPr>
        <w:t>, Case No. 3:14-cv-04592. The</w:t>
      </w:r>
      <w:r>
        <w:rPr>
          <w:rFonts w:ascii="Arial" w:cs="Arial" w:eastAsia="Arial" w:hAnsi="Arial"/>
          <w:sz w:val="16"/>
          <w:szCs w:val="16"/>
          <w:i w:val="1"/>
          <w:iCs w:val="1"/>
          <w:color w:val="auto"/>
        </w:rPr>
        <w:t xml:space="preserve"> Turner </w:t>
      </w:r>
      <w:r>
        <w:rPr>
          <w:rFonts w:ascii="Arial" w:cs="Arial" w:eastAsia="Arial" w:hAnsi="Arial"/>
          <w:sz w:val="16"/>
          <w:szCs w:val="16"/>
          <w:color w:val="auto"/>
        </w:rPr>
        <w:t>complaint is filed on behalf of a putative class of investors who purchased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common stock during the period January 14, 2014 to July 14, 2014 and also makes allegations relating to the VWP Project. All four complaints seek unspecified monetary damages and other relief. The cases are still in their preliminary stages and defendants have not yet responded to the complaints.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5" w:name="page76"/>
    <w:bookmarkEnd w:id="75"/>
    <w:p>
      <w:pPr>
        <w:jc w:val="both"/>
        <w:ind w:firstLine="405"/>
        <w:spacing w:after="0" w:line="259" w:lineRule="auto"/>
        <w:rPr>
          <w:sz w:val="20"/>
          <w:szCs w:val="20"/>
          <w:color w:val="auto"/>
        </w:rPr>
      </w:pPr>
      <w:r>
        <w:rPr>
          <w:rFonts w:ascii="Arial" w:cs="Arial" w:eastAsia="Arial" w:hAnsi="Arial"/>
          <w:sz w:val="18"/>
          <w:szCs w:val="18"/>
          <w:color w:val="auto"/>
        </w:rPr>
        <w:t>On July 10, 2014, the Company received a demand letter (“Demand Letter”) from a lawyer claiming to represent a shareholder demanding that the Company’s Board of Directors establish an independent committee to investigate and remedy alleged breaches of fiduciary duties by the Board of Directors and management relating to the VWP Project. The Board of Directors will address the Demand Letter at their next scheduled meeting in August or September and respond as appropriate to the allegations in the Demand Letter.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ectPr>
          <w:pgSz w:w="11900" w:h="16838" w:orient="portrait"/>
          <w:cols w:equalWidth="0" w:num="1">
            <w:col w:w="11420"/>
          </w:cols>
          <w:pgMar w:left="240" w:top="58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154940</wp:posOffset>
            </wp:positionV>
            <wp:extent cx="2461260" cy="5918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612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1590 Reed Road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Pennington, NJ 08534 USA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609-730-0400 - Fax: 609-730-0404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David R. Heinz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7108 Hasentree Club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Wake Forest, NC 27587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Duncan: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 (“OPT” or the “Company”) is very pleased to offer you a position as a full time employee.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OPT hereby offers to you the position of </w:t>
      </w:r>
      <w:r>
        <w:rPr>
          <w:rFonts w:ascii="Arial" w:cs="Arial" w:eastAsia="Arial" w:hAnsi="Arial"/>
          <w:sz w:val="18"/>
          <w:szCs w:val="18"/>
          <w:b w:val="1"/>
          <w:bCs w:val="1"/>
          <w:color w:val="auto"/>
        </w:rPr>
        <w:t>Vice President, Autonomous Power</w:t>
      </w:r>
      <w:r>
        <w:rPr>
          <w:rFonts w:ascii="Arial" w:cs="Arial" w:eastAsia="Arial" w:hAnsi="Arial"/>
          <w:sz w:val="18"/>
          <w:szCs w:val="18"/>
          <w:color w:val="auto"/>
        </w:rPr>
        <w:t xml:space="preserve"> of Ocean Power Technologies, Inc., reporting to me. As such, your duties and responsibilities will be those duties and responsibilities consistent with your position as may from time to time be assigned by me, including your focus on the Company’s autonomous power business.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OPT may add to or alter your position and responsibilities as deemed appropriate in the future. In addition, you will have the following responsibilities: (a) devote attention, labor, skill and energy to the business of OPT and diligently, and to the best of your ability, perform all duties incident to your employment as described in this letter, and (b) use your best efforts to promote the interests, goodwill and welfare of OPT.</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Compensation for your services, subject to the terms of this letter, shall be a salary of </w:t>
      </w:r>
      <w:r>
        <w:rPr>
          <w:rFonts w:ascii="Arial" w:cs="Arial" w:eastAsia="Arial" w:hAnsi="Arial"/>
          <w:sz w:val="17"/>
          <w:szCs w:val="17"/>
          <w:b w:val="1"/>
          <w:bCs w:val="1"/>
          <w:color w:val="auto"/>
        </w:rPr>
        <w:t>$290,000.00 on an annual basis</w:t>
      </w:r>
      <w:r>
        <w:rPr>
          <w:rFonts w:ascii="Arial" w:cs="Arial" w:eastAsia="Arial" w:hAnsi="Arial"/>
          <w:sz w:val="17"/>
          <w:szCs w:val="17"/>
          <w:color w:val="auto"/>
        </w:rPr>
        <w:t xml:space="preserve">, to be paid semi-monthly in accordance with OPT’s payroll practices, for as long as you are employed or until a change is made by OPT to your salary. Also, subject to approval of the Board of Directors of OPT, subsequent to the commencement of your employment with the Company you will be awarded </w:t>
      </w:r>
      <w:r>
        <w:rPr>
          <w:rFonts w:ascii="Arial" w:cs="Arial" w:eastAsia="Arial" w:hAnsi="Arial"/>
          <w:sz w:val="17"/>
          <w:szCs w:val="17"/>
          <w:b w:val="1"/>
          <w:bCs w:val="1"/>
          <w:color w:val="auto"/>
        </w:rPr>
        <w:t>options to acquire 60,000 shares</w:t>
      </w:r>
      <w:r>
        <w:rPr>
          <w:rFonts w:ascii="Arial" w:cs="Arial" w:eastAsia="Arial" w:hAnsi="Arial"/>
          <w:sz w:val="17"/>
          <w:szCs w:val="17"/>
          <w:color w:val="auto"/>
        </w:rPr>
        <w:t xml:space="preserve"> of the common stock of OPT, and </w:t>
      </w:r>
      <w:r>
        <w:rPr>
          <w:rFonts w:ascii="Arial" w:cs="Arial" w:eastAsia="Arial" w:hAnsi="Arial"/>
          <w:sz w:val="17"/>
          <w:szCs w:val="17"/>
          <w:b w:val="1"/>
          <w:bCs w:val="1"/>
          <w:color w:val="auto"/>
        </w:rPr>
        <w:t>35,000 restricted shares</w:t>
      </w:r>
      <w:r>
        <w:rPr>
          <w:rFonts w:ascii="Arial" w:cs="Arial" w:eastAsia="Arial" w:hAnsi="Arial"/>
          <w:sz w:val="17"/>
          <w:szCs w:val="17"/>
          <w:color w:val="auto"/>
        </w:rPr>
        <w:t xml:space="preserve"> of the common stock of OPT, under and subject to the terms of the OPT 2006 Stock Incentive Plan, as amended, and the Company’s standard restricted stock and stock option agreements. The option grant will be vested as follows: 15,000 shares vested upon grant and 45,000 shares vest over three years based on attainment of performance goals to be agreed upon with me, assuming you remain employed by the Company on such vesting dates. The term of these options will be for a period of ten (10) years from the date of grant, in accord with the Company’s standard form of stock option agreement.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restricted stock grant, the shares will be vested as follows: 15,000 shares vested upon grant and 20,000 shares vest over three years, based on attainment of performance goals to be agreed upon with me, assuming you remain employed by the Company on such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both"/>
        <w:ind w:right="20"/>
        <w:spacing w:after="0" w:line="282" w:lineRule="auto"/>
        <w:rPr>
          <w:sz w:val="20"/>
          <w:szCs w:val="20"/>
          <w:color w:val="auto"/>
        </w:rPr>
      </w:pPr>
      <w:r>
        <w:rPr>
          <w:rFonts w:ascii="Arial" w:cs="Arial" w:eastAsia="Arial" w:hAnsi="Arial"/>
          <w:sz w:val="18"/>
          <w:szCs w:val="18"/>
          <w:color w:val="auto"/>
        </w:rPr>
        <w:t xml:space="preserve">You will also be eligible to participate in the Company’s 401(k) Plan, which currently provides for a </w:t>
      </w:r>
      <w:r>
        <w:rPr>
          <w:rFonts w:ascii="Arial" w:cs="Arial" w:eastAsia="Arial" w:hAnsi="Arial"/>
          <w:sz w:val="18"/>
          <w:szCs w:val="18"/>
          <w:b w:val="1"/>
          <w:bCs w:val="1"/>
          <w:color w:val="auto"/>
        </w:rPr>
        <w:t>50% employer match</w:t>
      </w:r>
      <w:r>
        <w:rPr>
          <w:rFonts w:ascii="Arial" w:cs="Arial" w:eastAsia="Arial" w:hAnsi="Arial"/>
          <w:sz w:val="18"/>
          <w:szCs w:val="18"/>
          <w:color w:val="auto"/>
        </w:rPr>
        <w:t xml:space="preserve"> to employee contributions, under stated terms and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You shall be expected to work during OPT’s normal operating hours, as well as any additional hours needed in order to complete your assigned tasks.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Payments to you shall be less all amounts required to be withheld by Federal, State and all applicable income tax laws, regulations and rulings.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You will receive reviews of your job performance in accordance with OPT’s policies. Adjustments to your compensation, if any, will generally be considered on an annual basis. In connection with reviews of your job performance and overall performance of the Company, you will be </w:t>
      </w:r>
      <w:r>
        <w:rPr>
          <w:rFonts w:ascii="Arial" w:cs="Arial" w:eastAsia="Arial" w:hAnsi="Arial"/>
          <w:sz w:val="18"/>
          <w:szCs w:val="18"/>
          <w:b w:val="1"/>
          <w:bCs w:val="1"/>
          <w:color w:val="auto"/>
        </w:rPr>
        <w:t>eligible for consideration of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bonus award with a target of 35% </w:t>
      </w:r>
      <w:r>
        <w:rPr>
          <w:rFonts w:ascii="Arial" w:cs="Arial" w:eastAsia="Arial" w:hAnsi="Arial"/>
          <w:sz w:val="18"/>
          <w:szCs w:val="18"/>
          <w:color w:val="auto"/>
        </w:rPr>
        <w:t>of your base salary and with a</w:t>
      </w:r>
      <w:r>
        <w:rPr>
          <w:rFonts w:ascii="Arial" w:cs="Arial" w:eastAsia="Arial" w:hAnsi="Arial"/>
          <w:sz w:val="18"/>
          <w:szCs w:val="18"/>
          <w:b w:val="1"/>
          <w:bCs w:val="1"/>
          <w:color w:val="auto"/>
        </w:rPr>
        <w:t xml:space="preserve"> maximum upside of 150% of that target </w:t>
      </w:r>
      <w:r>
        <w:rPr>
          <w:rFonts w:ascii="Arial" w:cs="Arial" w:eastAsia="Arial" w:hAnsi="Arial"/>
          <w:sz w:val="18"/>
          <w:szCs w:val="18"/>
          <w:color w:val="auto"/>
        </w:rPr>
        <w:t>if goals are exceeded; also, you will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consideration of awards of stock-based compensation.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to the compensation stated in this offer, during your employment you will be entitled to participate in all employee benefit plans and programs now or in the future maintained by OPT, so long as you meet any applicable eligibility requirements. You also will receive vacation time to be accrued in accordance with OPT’s policies, of </w:t>
      </w:r>
      <w:r>
        <w:rPr>
          <w:rFonts w:ascii="Arial" w:cs="Arial" w:eastAsia="Arial" w:hAnsi="Arial"/>
          <w:sz w:val="18"/>
          <w:szCs w:val="18"/>
          <w:b w:val="1"/>
          <w:bCs w:val="1"/>
          <w:color w:val="auto"/>
        </w:rPr>
        <w:t>four weeks’ annual paid vacation</w:t>
      </w:r>
      <w:r>
        <w:rPr>
          <w:rFonts w:ascii="Arial" w:cs="Arial" w:eastAsia="Arial" w:hAnsi="Arial"/>
          <w:sz w:val="18"/>
          <w:szCs w:val="18"/>
          <w:color w:val="auto"/>
        </w:rPr>
        <w:t xml:space="preserve">. In addition, you will be permitted to use up to </w:t>
      </w:r>
      <w:r>
        <w:rPr>
          <w:rFonts w:ascii="Arial" w:cs="Arial" w:eastAsia="Arial" w:hAnsi="Arial"/>
          <w:sz w:val="18"/>
          <w:szCs w:val="18"/>
          <w:b w:val="1"/>
          <w:bCs w:val="1"/>
          <w:color w:val="auto"/>
        </w:rPr>
        <w:t>five paid sick days</w:t>
      </w:r>
      <w:r>
        <w:rPr>
          <w:rFonts w:ascii="Arial" w:cs="Arial" w:eastAsia="Arial" w:hAnsi="Arial"/>
          <w:sz w:val="18"/>
          <w:szCs w:val="18"/>
          <w:color w:val="auto"/>
        </w:rPr>
        <w:t xml:space="preserve">. You will also receive a total of </w:t>
      </w:r>
      <w:r>
        <w:rPr>
          <w:rFonts w:ascii="Arial" w:cs="Arial" w:eastAsia="Arial" w:hAnsi="Arial"/>
          <w:sz w:val="18"/>
          <w:szCs w:val="18"/>
          <w:b w:val="1"/>
          <w:bCs w:val="1"/>
          <w:color w:val="auto"/>
        </w:rPr>
        <w:t>ten holidays with pay</w:t>
      </w:r>
      <w:r>
        <w:rPr>
          <w:rFonts w:ascii="Arial" w:cs="Arial" w:eastAsia="Arial" w:hAnsi="Arial"/>
          <w:sz w:val="18"/>
          <w:szCs w:val="18"/>
          <w:color w:val="auto"/>
        </w:rPr>
        <w:t>, each year.</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Your position with the Company requires you to relocate to the Pennsylvania / New Jersey area. In recognition of such relocation, the Company will reimburse you for up to </w:t>
      </w:r>
      <w:r>
        <w:rPr>
          <w:rFonts w:ascii="Arial" w:cs="Arial" w:eastAsia="Arial" w:hAnsi="Arial"/>
          <w:sz w:val="18"/>
          <w:szCs w:val="18"/>
          <w:b w:val="1"/>
          <w:bCs w:val="1"/>
          <w:color w:val="auto"/>
        </w:rPr>
        <w:t>$40,000.00</w:t>
      </w:r>
      <w:r>
        <w:rPr>
          <w:rFonts w:ascii="Arial" w:cs="Arial" w:eastAsia="Arial" w:hAnsi="Arial"/>
          <w:sz w:val="18"/>
          <w:szCs w:val="18"/>
          <w:color w:val="auto"/>
        </w:rPr>
        <w:t xml:space="preserve"> for costs incurred by you in connection with, and directly related to, that relocation. Eligible costs for such reimbursement include moving costs, the costs of two house-hunting trips in the area for your family, reasonable costs incurred by you in connection with your temporary living arrangements in or near Pennington, New Jersey prior to your permanently relocating to the Pennsylvania/New Jersey area, and customary and reasonable costs incurred in connection with the buying and selling of a home. All reimbursement requests must be supported by documentation evidencing the costs incurred by you. If you terminate your employment with the Company for reasons other than for Good Reason, or if the Company terminates your employment with the Company for Cause:</w:t>
      </w:r>
    </w:p>
    <w:p>
      <w:pPr>
        <w:spacing w:after="0" w:line="189" w:lineRule="exact"/>
        <w:rPr>
          <w:sz w:val="20"/>
          <w:szCs w:val="20"/>
          <w:color w:val="auto"/>
        </w:rPr>
      </w:pPr>
    </w:p>
    <w:p>
      <w:pPr>
        <w:ind w:left="660" w:right="100" w:hanging="4"/>
        <w:spacing w:after="0" w:line="277" w:lineRule="auto"/>
        <w:tabs>
          <w:tab w:leader="none" w:pos="9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one-year anniversary of your commencement of work, you shall repay to the Company any amount received by you pursuant to your relocation expenses;</w:t>
      </w:r>
    </w:p>
    <w:p>
      <w:pPr>
        <w:spacing w:after="0" w:line="170" w:lineRule="exact"/>
        <w:rPr>
          <w:rFonts w:ascii="Arial" w:cs="Arial" w:eastAsia="Arial" w:hAnsi="Arial"/>
          <w:sz w:val="18"/>
          <w:szCs w:val="18"/>
          <w:color w:val="auto"/>
        </w:rPr>
      </w:pPr>
    </w:p>
    <w:p>
      <w:pPr>
        <w:ind w:left="660" w:right="180" w:hanging="4"/>
        <w:spacing w:after="0" w:line="277" w:lineRule="auto"/>
        <w:tabs>
          <w:tab w:leader="none" w:pos="9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after the one-year anniversary of your commencement of work, but before the two-year anniversary of your commencement of work, you shall repay to the Company one half (1/2) of any amount received by you pursuant to your relocation expenses;</w:t>
      </w:r>
    </w:p>
    <w:p>
      <w:pPr>
        <w:spacing w:after="0" w:line="170" w:lineRule="exact"/>
        <w:rPr>
          <w:rFonts w:ascii="Arial" w:cs="Arial" w:eastAsia="Arial" w:hAnsi="Arial"/>
          <w:sz w:val="18"/>
          <w:szCs w:val="18"/>
          <w:color w:val="auto"/>
        </w:rPr>
      </w:pPr>
    </w:p>
    <w:p>
      <w:pPr>
        <w:ind w:left="660" w:right="140" w:hanging="4"/>
        <w:spacing w:after="0" w:line="277" w:lineRule="auto"/>
        <w:tabs>
          <w:tab w:leader="none" w:pos="9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following the two-year anniversary of your commencement of work, you shall not be required to repay to the Company any amount received by you pursuant to your relocation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By accepting this offer, you recognize and acknowledge that you may have access to certain ideas, processes, strategies, trade secrets, methods of operation or other non-public information (“Confidential Information”) of OPT and that all such information constitutes valuable, special and unique property of OPT. You agree that you will not, without the prior written consent of OPT, disclose or authorize or permit anyone under your direction to disclose to anyone not properly entitled thereto any such Confidential Information relative to the business, technology, operations, financial condition or services of OPT or any subsidiary. Accordingly, as part of your acceptance of this offer, you agree to execute and be bound by the attached Proprietary Information, Restrictive Covenant and Inventions Agreement (Agreement).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accepting this offer, you further represent that you are not bound by any employment contract, restrictive covenant or other restriction preventing you from entering into employment with OPT and carrying out your responsibilities to the Company or which in any way otherwise interferes with or is in conflict with such employment.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letter shall not be construed as an agreement, either express or implied, to employ you for any stated term, and shall in no way alter OPT’s policy of employment at-will, under which both you and OPT remain free to terminate the employment relationship at any time, with or without notice and with or without Cause (as defined below). Notwithstanding the above, the Company shall provide you with two (2) weeks’ notice prior to terminating your employment; provided, however, that the Company may, in its sole discretion, pay to you in lieu of such notice an amount equal to the Base Salary that would otherwise be payable to you for such two-week period. This payment will be made in accordance with the Company’s regular payroll policies.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you terminate your employment with the Company for Good Reason or the Company terminates your employment for any reason other than (i) for Cause or (ii) because you cannot perform your services as a result of physical or mental incapacitation, you will receive the following severance: if such termination occurs after 180 days from your commencement of work with the Company for a period of 3 months following your date of termination the Company will continue to pay to you your Base Salary, and will pay medical and dental benefits under the Company’s medical and dental plans then in effect; if such termination occurs after 360 days from your commencement of work with the Company for a period of 6 months following your date of termination the Company will continue to pay to you your Base Salary, and will pay medical and dental benefits under the Company’s medical and dental plans then in effect; if such termination occurs after 720 days from your commencement of work with the Company for a period of 12 months following your date of termination the Company will continue to pay to you your Base Salary, and will pay medical and dental benefits under the Company’s medical and dental plans then in effect. In connection with each of the three foregoing cases of severance, whichever is applicable, the Company will reimburse you for up to $10,000 for actual costs incurred by you in connection with, and directly related to, your relocation to another domicile in the U.S. within 12 months of the date of such termination.</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such severance will be paid by the Company as salary continuation in accordance with its regular payroll practices, and will be conditioned upon the execution and nonrevocation by you of a severance and release agreement provided by the Company and releasing all claims against it and its affiliates (to the extent permitted by applicable law). All payments to you hereunder shall be less taxes and any other deductions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“Cause” means a termination of your employment by the Company because you have done any of the following: (a) materially breached or materially failed to perform your duties under applicable law, (b) failed to follow lawful and reasonable directives of the Board, or any executive officer to whom you report,</w:t>
      </w:r>
    </w:p>
    <w:p>
      <w:pPr>
        <w:jc w:val="both"/>
        <w:ind w:firstLine="8"/>
        <w:spacing w:after="0" w:line="270" w:lineRule="auto"/>
        <w:tabs>
          <w:tab w:leader="none" w:pos="2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failed to follow the Company’s policies and procedures in effect from time to time, (d) committed an act of dishonesty in the performance of your duties or engaged in willful misconduct detrimental to the business of the Company, (e) been indicted on felony charges, (f) been convicted of misdemeanor charges involving any crime of moral turpitude, (g) breached in any material respect or failed to perform in any material respect your obligations and duties or any Agreement between you and the Company, or (h) violated your restrictive covenants with the Company (including, without limit, your noncompete, nonsolicit, nonhire, confidentiality obligations, and intellectual property transfer obligations regarding the ownership of intellectual property created or developed, in whole or in part, by you while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jc w:val="both"/>
        <w:ind w:right="40"/>
        <w:spacing w:after="0" w:line="259" w:lineRule="auto"/>
        <w:rPr>
          <w:sz w:val="20"/>
          <w:szCs w:val="20"/>
          <w:color w:val="auto"/>
        </w:rPr>
      </w:pPr>
      <w:r>
        <w:rPr>
          <w:rFonts w:ascii="Arial" w:cs="Arial" w:eastAsia="Arial" w:hAnsi="Arial"/>
          <w:sz w:val="18"/>
          <w:szCs w:val="18"/>
          <w:color w:val="auto"/>
        </w:rPr>
        <w:t>“Good Reason” means a material diminution of your duties or responsibilities or a material change in the position to which you report. A termination by you for Good Reason can only occur if (i) within sixty (60) days after the initial occurrence of the condition giving rise to Good Reason, you have given a written notice of such to the Company, (ii) the Company has not cured the condition within thirty (30) days after receipt of such notice, and (iii) you actually cease employment within thirty (30) days after the period set forth in clause (ii).</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This letter and the Agreement attached constitute the entire offer to you and, if you accept, they shall constitute the entire agreement and shall be governed by the laws of the state of New Jersey. If you agree to the terms of this offer, please sign and date below, as well as on the attached Agreement and return the originals to me.</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This Agreement shall be binding upon and inure to the benefit of both you and the Company and their respective successors and assigns, including any corporation with which or into which the Company may be merged or which may succeed to its assets or business, provided however, that your obligations are personal and shall not be assigned by you.</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offer is valid through January 6, 2014.</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Should you have any questions concerning this offer, or any other question about the Company and this position, please contact me. I look forward to hearing from you.</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understand this letter. The foregoing correctly sets forth the terms of my employment with OPT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/s/David R. Heinz</w:t>
            </w: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DATE:  30 December 2013</w:t>
            </w:r>
          </w:p>
        </w:tc>
        <w:tc>
          <w:tcPr>
            <w:tcW w:w="40" w:type="dxa"/>
            <w:vAlign w:val="bottom"/>
          </w:tcPr>
          <w:p>
            <w:pPr>
              <w:spacing w:after="0"/>
              <w:rPr>
                <w:sz w:val="20"/>
                <w:szCs w:val="20"/>
                <w:color w:val="auto"/>
              </w:rPr>
            </w:pPr>
          </w:p>
        </w:tc>
      </w:tr>
      <w:tr>
        <w:trPr>
          <w:trHeight w:val="224"/>
        </w:trPr>
        <w:tc>
          <w:tcPr>
            <w:tcW w:w="6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R. Heinz</w:t>
            </w:r>
          </w:p>
        </w:tc>
        <w:tc>
          <w:tcPr>
            <w:tcW w:w="860" w:type="dxa"/>
            <w:vAlign w:val="bottom"/>
          </w:tcPr>
          <w:p>
            <w:pPr>
              <w:spacing w:after="0"/>
              <w:rPr>
                <w:sz w:val="19"/>
                <w:szCs w:val="19"/>
                <w:color w:val="auto"/>
              </w:rPr>
            </w:pPr>
          </w:p>
        </w:tc>
        <w:tc>
          <w:tcPr>
            <w:tcW w:w="4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766"/>
        </w:trPr>
        <w:tc>
          <w:tcPr>
            <w:tcW w:w="6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INFORMATION, RESTRICTIVE COVENANT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INVENTIONS AGREEMENT</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an employee of OCEAN POWER TECHNOLOGIES, INC., or any of its subsidiaries or affiliates (together, the “Company”), and as a condition of my employment by the Company and in consideration of the compensation now and hereafter paid to me, I agree to the following:</w:t>
      </w:r>
    </w:p>
    <w:p>
      <w:pPr>
        <w:spacing w:after="0" w:line="166"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MAINTAINING CONFIDENTIAL INFORMATION</w:t>
      </w:r>
    </w:p>
    <w:p>
      <w:pPr>
        <w:spacing w:after="0" w:line="225" w:lineRule="exact"/>
        <w:rPr>
          <w:rFonts w:ascii="Arial" w:cs="Arial" w:eastAsia="Arial" w:hAnsi="Arial"/>
          <w:sz w:val="18"/>
          <w:szCs w:val="18"/>
          <w:color w:val="auto"/>
        </w:rPr>
      </w:pPr>
    </w:p>
    <w:p>
      <w:pPr>
        <w:jc w:val="both"/>
        <w:ind w:left="500" w:hanging="6"/>
        <w:spacing w:after="0" w:line="255" w:lineRule="auto"/>
        <w:tabs>
          <w:tab w:leader="none" w:pos="745"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Company Information </w:t>
      </w:r>
      <w:r>
        <w:rPr>
          <w:rFonts w:ascii="Arial" w:cs="Arial" w:eastAsia="Arial" w:hAnsi="Arial"/>
          <w:sz w:val="18"/>
          <w:szCs w:val="18"/>
          <w:color w:val="auto"/>
        </w:rPr>
        <w:t>- I agree at all times during the term of my employment and thereafter to hold in strictest confidence, and not to use,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the Company, or to disclose to any person, firm or corporation, without the written authorization of the Board of Directors of the Company, any trade secrets, confidential knowledge, data or other proprietary information of the Company. By way of illustration and not limitation, such Company information shall include information relating to products, processes, know-how, designs, formulas, methods, samples, media and/or cell lines, developmental or experimental work, improvements, discoveries, plans for research, new products, marketing and selling, business plans, budgets and unpublished financial statements, licenses, prices and costs, suppliers and customers, and information regarding the skills and compensation of other employees of the Company.</w:t>
      </w:r>
    </w:p>
    <w:p>
      <w:pPr>
        <w:spacing w:after="0" w:line="189" w:lineRule="exact"/>
        <w:rPr>
          <w:rFonts w:ascii="Arial" w:cs="Arial" w:eastAsia="Arial" w:hAnsi="Arial"/>
          <w:sz w:val="18"/>
          <w:szCs w:val="18"/>
          <w:color w:val="auto"/>
        </w:rPr>
      </w:pPr>
    </w:p>
    <w:p>
      <w:pPr>
        <w:jc w:val="both"/>
        <w:ind w:left="500" w:hanging="6"/>
        <w:spacing w:after="0" w:line="261" w:lineRule="auto"/>
        <w:tabs>
          <w:tab w:leader="none" w:pos="768"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Former Employer Information </w:t>
      </w:r>
      <w:r>
        <w:rPr>
          <w:rFonts w:ascii="Arial" w:cs="Arial" w:eastAsia="Arial" w:hAnsi="Arial"/>
          <w:sz w:val="18"/>
          <w:szCs w:val="18"/>
          <w:color w:val="auto"/>
        </w:rPr>
        <w:t>- I agree that I will not, during my employment with the Company, improperly use or disclose any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or trade secrets of my former or concurrent employers or companies, if any, and that I will not bring onto the premises of the Company any unpublished documents or any property belonging to my former or concurrent employers or companies unless previously and specifically consented to in writing by said employers or companies.</w:t>
      </w:r>
    </w:p>
    <w:p>
      <w:pPr>
        <w:spacing w:after="0" w:line="180" w:lineRule="exact"/>
        <w:rPr>
          <w:rFonts w:ascii="Arial" w:cs="Arial" w:eastAsia="Arial" w:hAnsi="Arial"/>
          <w:sz w:val="18"/>
          <w:szCs w:val="18"/>
          <w:color w:val="auto"/>
        </w:rPr>
      </w:pPr>
    </w:p>
    <w:p>
      <w:pPr>
        <w:jc w:val="both"/>
        <w:ind w:left="500" w:hanging="6"/>
        <w:spacing w:after="0" w:line="295" w:lineRule="auto"/>
        <w:tabs>
          <w:tab w:leader="none" w:pos="745"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Third Party Information </w:t>
      </w:r>
      <w:r>
        <w:rPr>
          <w:rFonts w:ascii="Arial" w:cs="Arial" w:eastAsia="Arial" w:hAnsi="Arial"/>
          <w:sz w:val="16"/>
          <w:szCs w:val="16"/>
          <w:color w:val="auto"/>
        </w:rPr>
        <w:t>- I recognize that the Company has received and in the future will receive confidential or proprietary information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parties subject to a duty on the Company’s part to maintain the confidentiality of such information and, in some cases, to use it only for certain limited purposes. I agree that I owe the Company and such third parties, both during the term of my employment and thereafter, a duty to hold all such confidential and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 unless expressly authorized to act otherwise by an officer of the Company.</w:t>
      </w:r>
    </w:p>
    <w:p>
      <w:pPr>
        <w:spacing w:after="0" w:line="155" w:lineRule="exact"/>
        <w:rPr>
          <w:rFonts w:ascii="Arial" w:cs="Arial" w:eastAsia="Arial" w:hAnsi="Arial"/>
          <w:sz w:val="16"/>
          <w:szCs w:val="16"/>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ASSIGNMENT OF INVENTIONS AND ORIGINAL WORKS</w:t>
      </w:r>
    </w:p>
    <w:p>
      <w:pPr>
        <w:spacing w:after="0" w:line="225" w:lineRule="exact"/>
        <w:rPr>
          <w:rFonts w:ascii="Arial" w:cs="Arial" w:eastAsia="Arial" w:hAnsi="Arial"/>
          <w:sz w:val="18"/>
          <w:szCs w:val="18"/>
          <w:color w:val="auto"/>
        </w:rPr>
      </w:pPr>
    </w:p>
    <w:p>
      <w:pPr>
        <w:jc w:val="both"/>
        <w:ind w:left="500" w:hanging="6"/>
        <w:spacing w:after="0" w:line="261" w:lineRule="auto"/>
        <w:tabs>
          <w:tab w:leader="none" w:pos="745"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Inventions and Original Works Assigned to the Company </w:t>
      </w:r>
      <w:r>
        <w:rPr>
          <w:rFonts w:ascii="Arial" w:cs="Arial" w:eastAsia="Arial" w:hAnsi="Arial"/>
          <w:sz w:val="18"/>
          <w:szCs w:val="18"/>
          <w:color w:val="auto"/>
        </w:rPr>
        <w:t>- I agree that I will make prompt written disclosure to the Company, will hold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sole right and benefit of the Company, and hereby assign to the Company all my right, title and interest in and to any ideas, inventions, original works or authorship, developments, improvements or trade secrets which I may solely or jointly conceive or reduce to practice, or cause to be conceived or reduced to practice, during the period of my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p>
      <w:pPr>
        <w:ind w:left="6"/>
        <w:spacing w:after="0" w:line="342" w:lineRule="auto"/>
        <w:rPr>
          <w:sz w:val="20"/>
          <w:szCs w:val="20"/>
          <w:color w:val="auto"/>
        </w:rPr>
      </w:pPr>
      <w:r>
        <w:rPr>
          <w:rFonts w:ascii="Arial" w:cs="Arial" w:eastAsia="Arial" w:hAnsi="Arial"/>
          <w:sz w:val="16"/>
          <w:szCs w:val="16"/>
          <w:color w:val="auto"/>
        </w:rPr>
        <w:t>I acknowledge that all original works of authorship which are made by me (solely or jointly with others) within the scope of my employment and which are protectable by copyright are “works made for hire,” as that term is defined in the United Stations Copyright Act (17 U.S.C., Section 101).</w:t>
      </w:r>
    </w:p>
    <w:p>
      <w:pPr>
        <w:spacing w:after="0" w:line="120" w:lineRule="exact"/>
        <w:rPr>
          <w:sz w:val="20"/>
          <w:szCs w:val="20"/>
          <w:color w:val="auto"/>
        </w:rPr>
      </w:pPr>
    </w:p>
    <w:p>
      <w:pPr>
        <w:jc w:val="both"/>
        <w:ind w:left="6" w:hanging="6"/>
        <w:spacing w:after="0" w:line="266" w:lineRule="auto"/>
        <w:tabs>
          <w:tab w:leader="none" w:pos="261"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Inventions and Original Works Assigned to the United States </w:t>
      </w:r>
      <w:r>
        <w:rPr>
          <w:rFonts w:ascii="Arial" w:cs="Arial" w:eastAsia="Arial" w:hAnsi="Arial"/>
          <w:sz w:val="18"/>
          <w:szCs w:val="18"/>
          <w:color w:val="auto"/>
        </w:rPr>
        <w:t>- I hereby assign to the United States government all my right, title and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and to any and all inventions, original works of authorship, developments, improvements or trade secrets whenever full title to same is required to be in the United States by a contract between the Company and the United States or any of its agencies.</w:t>
      </w:r>
    </w:p>
    <w:p>
      <w:pPr>
        <w:spacing w:after="0" w:line="176" w:lineRule="exact"/>
        <w:rPr>
          <w:rFonts w:ascii="Arial" w:cs="Arial" w:eastAsia="Arial" w:hAnsi="Arial"/>
          <w:sz w:val="18"/>
          <w:szCs w:val="18"/>
          <w:color w:val="auto"/>
        </w:rPr>
      </w:pPr>
    </w:p>
    <w:p>
      <w:pPr>
        <w:jc w:val="both"/>
        <w:ind w:left="6" w:hanging="6"/>
        <w:spacing w:after="0" w:line="272" w:lineRule="auto"/>
        <w:tabs>
          <w:tab w:leader="none" w:pos="25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Obtaining Letters Patent, Copyright Registrations and Other Protections </w:t>
      </w:r>
      <w:r>
        <w:rPr>
          <w:rFonts w:ascii="Arial" w:cs="Arial" w:eastAsia="Arial" w:hAnsi="Arial"/>
          <w:sz w:val="17"/>
          <w:szCs w:val="17"/>
          <w:color w:val="auto"/>
        </w:rPr>
        <w:t>- I will assist the Company in every proper way to obtain and enforce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and foreign proprietary rights relating to any and all inventions, original works of authorship, developments, improvements or trade secrets of the Company in any and all countries. To that end I will execute, verify and deliver such documents and perform such other acts (including appearing as a witness) that the Company may reasonable request for use in applying for, obtaining, perfecting, evidencing, sustaining and enforcing such proprietary rights and the assignment thereof. In addition, I will execute, verify and deliver assignments of such proprietary rights to the Company or its designee. My obligation to assist the Company with respect to proprietary rights in any and all countries shall continue beyond the termination of my employment, but the Company shall compensate me at a reasonable rate after my termination for the time actually spent by me at the Company’s request on such assistance.</w:t>
      </w:r>
    </w:p>
    <w:p>
      <w:pPr>
        <w:spacing w:after="0" w:line="176" w:lineRule="exact"/>
        <w:rPr>
          <w:sz w:val="20"/>
          <w:szCs w:val="20"/>
          <w:color w:val="auto"/>
        </w:rPr>
      </w:pPr>
    </w:p>
    <w:p>
      <w:pPr>
        <w:jc w:val="both"/>
        <w:ind w:left="6"/>
        <w:spacing w:after="0" w:line="255" w:lineRule="auto"/>
        <w:rPr>
          <w:sz w:val="20"/>
          <w:szCs w:val="20"/>
          <w:color w:val="auto"/>
        </w:rPr>
      </w:pPr>
      <w:r>
        <w:rPr>
          <w:rFonts w:ascii="Arial" w:cs="Arial" w:eastAsia="Arial" w:hAnsi="Arial"/>
          <w:sz w:val="18"/>
          <w:szCs w:val="18"/>
          <w:color w:val="auto"/>
        </w:rPr>
        <w:t>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attorney-in-fact,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to the Company.</w:t>
      </w:r>
    </w:p>
    <w:p>
      <w:pPr>
        <w:spacing w:after="0" w:line="189" w:lineRule="exact"/>
        <w:rPr>
          <w:sz w:val="20"/>
          <w:szCs w:val="20"/>
          <w:color w:val="auto"/>
        </w:rPr>
      </w:pPr>
    </w:p>
    <w:p>
      <w:pPr>
        <w:jc w:val="both"/>
        <w:ind w:left="6" w:hanging="6"/>
        <w:spacing w:after="0" w:line="258" w:lineRule="auto"/>
        <w:tabs>
          <w:tab w:leader="none" w:pos="261"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Obligation to Keep the Company Informed </w:t>
      </w:r>
      <w:r>
        <w:rPr>
          <w:rFonts w:ascii="Arial" w:cs="Arial" w:eastAsia="Arial" w:hAnsi="Arial"/>
          <w:sz w:val="18"/>
          <w:szCs w:val="18"/>
          <w:color w:val="auto"/>
        </w:rPr>
        <w:t>- In addition to my obligations under paragraph 2(a) above, during the period of my employment I</w:t>
      </w:r>
      <w:r>
        <w:rPr>
          <w:rFonts w:ascii="Arial" w:cs="Arial" w:eastAsia="Arial" w:hAnsi="Arial"/>
          <w:sz w:val="18"/>
          <w:szCs w:val="18"/>
          <w:b w:val="1"/>
          <w:bCs w:val="1"/>
          <w:color w:val="auto"/>
        </w:rPr>
        <w:t xml:space="preserve"> </w:t>
      </w:r>
      <w:r>
        <w:rPr>
          <w:rFonts w:ascii="Arial" w:cs="Arial" w:eastAsia="Arial" w:hAnsi="Arial"/>
          <w:sz w:val="18"/>
          <w:szCs w:val="18"/>
          <w:color w:val="auto"/>
        </w:rPr>
        <w:t>will promptly disclose to the Company fully and in writing all patent applications filed by me or on my behalf. I agree to keep and maintain adequate and current records (in the form of notes, sketches, drawings and in any other form that may be required by the Company) of all proprietary information developed by me and all inventions made by me during the period of my employment by the Company, which records shall be available to and remain the sole property of the Company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486410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26"/>
          </w:cols>
          <w:pgMar w:left="734" w:top="584" w:right="239" w:bottom="1440" w:gutter="0" w:footer="0" w:header="0"/>
        </w:sectPr>
      </w:pPr>
    </w:p>
    <w:bookmarkStart w:id="82" w:name="page83"/>
    <w:bookmarkEnd w:id="82"/>
    <w:p>
      <w:pPr>
        <w:ind w:left="492" w:hanging="492"/>
        <w:spacing w:after="0"/>
        <w:tabs>
          <w:tab w:leader="none" w:pos="49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NON-COMPETITION</w:t>
      </w:r>
    </w:p>
    <w:p>
      <w:pPr>
        <w:spacing w:after="0" w:line="229" w:lineRule="exact"/>
        <w:rPr>
          <w:rFonts w:ascii="Arial" w:cs="Arial" w:eastAsia="Arial" w:hAnsi="Arial"/>
          <w:sz w:val="18"/>
          <w:szCs w:val="18"/>
          <w:color w:val="auto"/>
        </w:rPr>
      </w:pPr>
    </w:p>
    <w:p>
      <w:pPr>
        <w:jc w:val="both"/>
        <w:ind w:left="492"/>
        <w:spacing w:after="0" w:line="257" w:lineRule="auto"/>
        <w:rPr>
          <w:rFonts w:ascii="Arial" w:cs="Arial" w:eastAsia="Arial" w:hAnsi="Arial"/>
          <w:sz w:val="18"/>
          <w:szCs w:val="18"/>
          <w:color w:val="auto"/>
        </w:rPr>
      </w:pPr>
      <w:r>
        <w:rPr>
          <w:rFonts w:ascii="Arial" w:cs="Arial" w:eastAsia="Arial" w:hAnsi="Arial"/>
          <w:sz w:val="18"/>
          <w:szCs w:val="18"/>
          <w:color w:val="auto"/>
        </w:rPr>
        <w:t>I agree that, during my employment with the Company and for a period of one (1) year after termination of my employment with the Company, I will not, without the Company’s expressed written consent, engage in any consulting, employment or business that is directly or indirectly competitive with the Company or assist others in any business that is competitive with the Company. A company shall be considered “competitive” with the Company if such company engages in any line of business in competition with the ocean wave energy generation technology services and/or products with which I was, directly or indirectly, engaged while an employee of the Company.</w:t>
      </w:r>
    </w:p>
    <w:p>
      <w:pPr>
        <w:spacing w:after="0" w:line="184" w:lineRule="exact"/>
        <w:rPr>
          <w:rFonts w:ascii="Arial" w:cs="Arial" w:eastAsia="Arial" w:hAnsi="Arial"/>
          <w:sz w:val="18"/>
          <w:szCs w:val="18"/>
          <w:color w:val="auto"/>
        </w:rPr>
      </w:pPr>
    </w:p>
    <w:p>
      <w:pPr>
        <w:ind w:left="492" w:hanging="492"/>
        <w:spacing w:after="0"/>
        <w:tabs>
          <w:tab w:leader="none" w:pos="49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NON-SOLICITATION/NON-INTERFERENCE</w:t>
      </w:r>
    </w:p>
    <w:p>
      <w:pPr>
        <w:spacing w:after="0" w:line="225" w:lineRule="exact"/>
        <w:rPr>
          <w:rFonts w:ascii="Arial" w:cs="Arial" w:eastAsia="Arial" w:hAnsi="Arial"/>
          <w:sz w:val="18"/>
          <w:szCs w:val="18"/>
          <w:color w:val="auto"/>
        </w:rPr>
      </w:pPr>
    </w:p>
    <w:p>
      <w:pPr>
        <w:jc w:val="both"/>
        <w:ind w:left="492" w:hanging="6"/>
        <w:spacing w:after="0" w:line="256" w:lineRule="auto"/>
        <w:tabs>
          <w:tab w:leader="none" w:pos="737"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Employees and Independent Contractors - </w:t>
      </w:r>
      <w:r>
        <w:rPr>
          <w:rFonts w:ascii="Arial" w:cs="Arial" w:eastAsia="Arial" w:hAnsi="Arial"/>
          <w:sz w:val="18"/>
          <w:szCs w:val="18"/>
          <w:color w:val="auto"/>
        </w:rPr>
        <w:t>During my employment and for a period of one (1) year after termination of my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will not recruit, solicit, or hire, or assist others in recruiting, soliciting or hiring, any past or present employee, director, contractor or other business associate (collectively each a “Business Relation”) or otherwise induce any Business Relation to terminate or cease his/her employment or other business relationship with the Company. The term Business Relation shall include those individuals or entities who were employed, engaged or associated with the Company during my employment or, if after the termination of my employment, within the twelve (12) month period prior to the termination of my employment.</w:t>
      </w:r>
    </w:p>
    <w:p>
      <w:pPr>
        <w:spacing w:after="0" w:line="187" w:lineRule="exact"/>
        <w:rPr>
          <w:rFonts w:ascii="Arial" w:cs="Arial" w:eastAsia="Arial" w:hAnsi="Arial"/>
          <w:sz w:val="18"/>
          <w:szCs w:val="18"/>
          <w:color w:val="auto"/>
        </w:rPr>
      </w:pPr>
    </w:p>
    <w:p>
      <w:pPr>
        <w:jc w:val="both"/>
        <w:ind w:left="492" w:hanging="6"/>
        <w:spacing w:after="0" w:line="261" w:lineRule="auto"/>
        <w:tabs>
          <w:tab w:leader="none" w:pos="747"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Clients, Customers and Business Contacts - </w:t>
      </w:r>
      <w:r>
        <w:rPr>
          <w:rFonts w:ascii="Arial" w:cs="Arial" w:eastAsia="Arial" w:hAnsi="Arial"/>
          <w:sz w:val="18"/>
          <w:szCs w:val="18"/>
          <w:color w:val="auto"/>
        </w:rPr>
        <w:t>During my employment and for the period of one (1) year after termination of my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 will not solicit, divert, or take away, or attempt to solicit, divert or take away the business or patronage of any of the clients, customers, business contacts or accounts of the Company which were contacted, solicited or served by me at any time during my employment with the Company or regarding which I had access to substantive confidential information.</w:t>
      </w:r>
    </w:p>
    <w:p>
      <w:pPr>
        <w:spacing w:after="0" w:line="180" w:lineRule="exact"/>
        <w:rPr>
          <w:rFonts w:ascii="Arial" w:cs="Arial" w:eastAsia="Arial" w:hAnsi="Arial"/>
          <w:sz w:val="18"/>
          <w:szCs w:val="18"/>
          <w:color w:val="auto"/>
        </w:rPr>
      </w:pPr>
    </w:p>
    <w:p>
      <w:pPr>
        <w:ind w:left="492" w:hanging="492"/>
        <w:spacing w:after="0"/>
        <w:tabs>
          <w:tab w:leader="none" w:pos="49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 CONFLICTING OBLIGATIONS</w:t>
      </w:r>
    </w:p>
    <w:p>
      <w:pPr>
        <w:spacing w:after="0" w:line="229" w:lineRule="exact"/>
        <w:rPr>
          <w:rFonts w:ascii="Arial" w:cs="Arial" w:eastAsia="Arial" w:hAnsi="Arial"/>
          <w:sz w:val="18"/>
          <w:szCs w:val="18"/>
          <w:color w:val="auto"/>
        </w:rPr>
      </w:pPr>
    </w:p>
    <w:p>
      <w:pPr>
        <w:jc w:val="both"/>
        <w:ind w:left="492"/>
        <w:spacing w:after="0" w:line="264" w:lineRule="auto"/>
        <w:rPr>
          <w:rFonts w:ascii="Arial" w:cs="Arial" w:eastAsia="Arial" w:hAnsi="Arial"/>
          <w:sz w:val="18"/>
          <w:szCs w:val="18"/>
          <w:color w:val="auto"/>
        </w:rPr>
      </w:pPr>
      <w:r>
        <w:rPr>
          <w:rFonts w:ascii="Arial" w:cs="Arial" w:eastAsia="Arial" w:hAnsi="Arial"/>
          <w:sz w:val="18"/>
          <w:szCs w:val="18"/>
          <w:color w:val="auto"/>
        </w:rPr>
        <w:t>I represent that my performance of all the terms of this Agreement and as an employee of the Company does not and will not breach any agreement or obligation of mine relating to any time prior to my employment by the Company. I have not entered into, and I agree I will not enter into, any agreement either written or oral in conflict herewith.</w:t>
      </w:r>
    </w:p>
    <w:p>
      <w:pPr>
        <w:spacing w:after="0" w:line="177" w:lineRule="exact"/>
        <w:rPr>
          <w:rFonts w:ascii="Arial" w:cs="Arial" w:eastAsia="Arial" w:hAnsi="Arial"/>
          <w:sz w:val="18"/>
          <w:szCs w:val="18"/>
          <w:color w:val="auto"/>
        </w:rPr>
      </w:pPr>
    </w:p>
    <w:p>
      <w:pPr>
        <w:ind w:left="492" w:hanging="492"/>
        <w:spacing w:after="0"/>
        <w:tabs>
          <w:tab w:leader="none" w:pos="49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RETURN OF COMPANY PROPERTY</w:t>
      </w:r>
    </w:p>
    <w:p>
      <w:pPr>
        <w:spacing w:after="0" w:line="229" w:lineRule="exact"/>
        <w:rPr>
          <w:rFonts w:ascii="Arial" w:cs="Arial" w:eastAsia="Arial" w:hAnsi="Arial"/>
          <w:sz w:val="18"/>
          <w:szCs w:val="18"/>
          <w:color w:val="auto"/>
        </w:rPr>
      </w:pPr>
    </w:p>
    <w:p>
      <w:pPr>
        <w:jc w:val="both"/>
        <w:ind w:left="492"/>
        <w:spacing w:after="0" w:line="297" w:lineRule="auto"/>
        <w:rPr>
          <w:rFonts w:ascii="Arial" w:cs="Arial" w:eastAsia="Arial" w:hAnsi="Arial"/>
          <w:sz w:val="18"/>
          <w:szCs w:val="18"/>
          <w:color w:val="auto"/>
        </w:rPr>
      </w:pPr>
      <w:r>
        <w:rPr>
          <w:rFonts w:ascii="Arial" w:cs="Arial" w:eastAsia="Arial" w:hAnsi="Arial"/>
          <w:sz w:val="16"/>
          <w:szCs w:val="16"/>
          <w:color w:val="auto"/>
        </w:rPr>
        <w:t>When I leave the employ of the Company or upon any request from the Company, I will deliver to the Company (and will not keep in my possession, recreate or deliver to anyone else) any and all devices, records, data, notes, reports, proposals, lists, correspondence, specifications, drawings, blueprints, sketches, materials, equipment, other documents or property, together with all copies thereof (in whatever medium recorded) belonging to the Company, its successors or assigns whether kept at the Company, home or elsewhere. I further agree that all Company property, including disks and other storage media and filing cabinets or other work areas, is subject to inspection by Company personnel at any time with or without notice.</w:t>
      </w:r>
    </w:p>
    <w:p>
      <w:pPr>
        <w:spacing w:after="0" w:line="154" w:lineRule="exact"/>
        <w:rPr>
          <w:rFonts w:ascii="Arial" w:cs="Arial" w:eastAsia="Arial" w:hAnsi="Arial"/>
          <w:sz w:val="18"/>
          <w:szCs w:val="18"/>
          <w:color w:val="auto"/>
        </w:rPr>
      </w:pPr>
    </w:p>
    <w:p>
      <w:pPr>
        <w:ind w:left="492" w:hanging="492"/>
        <w:spacing w:after="0"/>
        <w:tabs>
          <w:tab w:leader="none" w:pos="49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NOTIFICATION OF NEW EMPLOYER</w:t>
      </w:r>
    </w:p>
    <w:p>
      <w:pPr>
        <w:spacing w:after="0" w:line="229" w:lineRule="exact"/>
        <w:rPr>
          <w:rFonts w:ascii="Arial" w:cs="Arial" w:eastAsia="Arial" w:hAnsi="Arial"/>
          <w:sz w:val="18"/>
          <w:szCs w:val="18"/>
          <w:color w:val="auto"/>
        </w:rPr>
      </w:pPr>
    </w:p>
    <w:p>
      <w:pPr>
        <w:ind w:left="492"/>
        <w:spacing w:after="0" w:line="277" w:lineRule="auto"/>
        <w:rPr>
          <w:rFonts w:ascii="Arial" w:cs="Arial" w:eastAsia="Arial" w:hAnsi="Arial"/>
          <w:sz w:val="18"/>
          <w:szCs w:val="18"/>
          <w:color w:val="auto"/>
        </w:rPr>
      </w:pPr>
      <w:r>
        <w:rPr>
          <w:rFonts w:ascii="Arial" w:cs="Arial" w:eastAsia="Arial" w:hAnsi="Arial"/>
          <w:sz w:val="18"/>
          <w:szCs w:val="18"/>
          <w:color w:val="auto"/>
        </w:rPr>
        <w:t>In the event that I leave the employ of the Company, I hereby consent to the notification of my new employer of my rights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475615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83" w:name="page84"/>
    <w:bookmarkEnd w:id="83"/>
    <w:p>
      <w:pPr>
        <w:ind w:left="492" w:hanging="492"/>
        <w:spacing w:after="0"/>
        <w:tabs>
          <w:tab w:leader="none" w:pos="49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LEGAL AND EQUITABLE REMEDIES</w:t>
      </w:r>
    </w:p>
    <w:p>
      <w:pPr>
        <w:spacing w:after="0" w:line="229" w:lineRule="exact"/>
        <w:rPr>
          <w:rFonts w:ascii="Arial" w:cs="Arial" w:eastAsia="Arial" w:hAnsi="Arial"/>
          <w:sz w:val="18"/>
          <w:szCs w:val="18"/>
          <w:color w:val="auto"/>
        </w:rPr>
      </w:pPr>
    </w:p>
    <w:p>
      <w:pPr>
        <w:jc w:val="both"/>
        <w:ind w:left="492"/>
        <w:spacing w:after="0" w:line="286" w:lineRule="auto"/>
        <w:rPr>
          <w:rFonts w:ascii="Arial" w:cs="Arial" w:eastAsia="Arial" w:hAnsi="Arial"/>
          <w:sz w:val="18"/>
          <w:szCs w:val="18"/>
          <w:color w:val="auto"/>
        </w:rPr>
      </w:pPr>
      <w:r>
        <w:rPr>
          <w:rFonts w:ascii="Arial" w:cs="Arial" w:eastAsia="Arial" w:hAnsi="Arial"/>
          <w:sz w:val="17"/>
          <w:szCs w:val="17"/>
          <w:color w:val="auto"/>
        </w:rPr>
        <w:t>Because my services are personal and unique and because I may have access to and become acquainted with the proprietary information of the Company,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61" w:lineRule="exact"/>
        <w:rPr>
          <w:rFonts w:ascii="Arial" w:cs="Arial" w:eastAsia="Arial" w:hAnsi="Arial"/>
          <w:sz w:val="18"/>
          <w:szCs w:val="18"/>
          <w:color w:val="auto"/>
        </w:rPr>
      </w:pPr>
    </w:p>
    <w:p>
      <w:pPr>
        <w:ind w:left="492" w:hanging="492"/>
        <w:spacing w:after="0"/>
        <w:tabs>
          <w:tab w:leader="none" w:pos="49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5" w:lineRule="exact"/>
        <w:rPr>
          <w:rFonts w:ascii="Arial" w:cs="Arial" w:eastAsia="Arial" w:hAnsi="Arial"/>
          <w:sz w:val="18"/>
          <w:szCs w:val="18"/>
          <w:color w:val="auto"/>
        </w:rPr>
      </w:pPr>
    </w:p>
    <w:p>
      <w:pPr>
        <w:jc w:val="both"/>
        <w:ind w:left="492" w:hanging="6"/>
        <w:spacing w:after="0" w:line="266" w:lineRule="auto"/>
        <w:tabs>
          <w:tab w:leader="none" w:pos="885"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Not an Employment Contract </w:t>
      </w:r>
      <w:r>
        <w:rPr>
          <w:rFonts w:ascii="Arial" w:cs="Arial" w:eastAsia="Arial" w:hAnsi="Arial"/>
          <w:sz w:val="18"/>
          <w:szCs w:val="18"/>
          <w:color w:val="auto"/>
        </w:rPr>
        <w:t>- I agree and understand that nothing in this Agreement shall confer any right with respect to continuation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nor shall it interfere in any way with my right or the Company’s right to terminate my employment at any time, with or without cause.</w:t>
      </w:r>
    </w:p>
    <w:p>
      <w:pPr>
        <w:spacing w:after="0" w:line="176" w:lineRule="exact"/>
        <w:rPr>
          <w:rFonts w:ascii="Arial" w:cs="Arial" w:eastAsia="Arial" w:hAnsi="Arial"/>
          <w:sz w:val="18"/>
          <w:szCs w:val="18"/>
          <w:color w:val="auto"/>
        </w:rPr>
      </w:pPr>
    </w:p>
    <w:p>
      <w:pPr>
        <w:jc w:val="both"/>
        <w:ind w:left="492" w:hanging="6"/>
        <w:spacing w:after="0" w:line="266" w:lineRule="auto"/>
        <w:tabs>
          <w:tab w:leader="none" w:pos="909"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Consent to Personal Jurisdiction </w:t>
      </w:r>
      <w:r>
        <w:rPr>
          <w:rFonts w:ascii="Arial" w:cs="Arial" w:eastAsia="Arial" w:hAnsi="Arial"/>
          <w:sz w:val="18"/>
          <w:szCs w:val="18"/>
          <w:color w:val="auto"/>
        </w:rPr>
        <w:t>- This Agreement will be governed by and construed according to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Jersey, excluding conflicts of laws principles. I hereby expressly consent to the personal jurisdiction of the state and federal courts located in New Jersey for any lawsuit filed there against me by the Company arising from or relating to this Agreement.</w:t>
      </w:r>
    </w:p>
    <w:p>
      <w:pPr>
        <w:spacing w:after="0" w:line="176" w:lineRule="exact"/>
        <w:rPr>
          <w:rFonts w:ascii="Arial" w:cs="Arial" w:eastAsia="Arial" w:hAnsi="Arial"/>
          <w:sz w:val="18"/>
          <w:szCs w:val="18"/>
          <w:color w:val="auto"/>
        </w:rPr>
      </w:pPr>
    </w:p>
    <w:p>
      <w:pPr>
        <w:jc w:val="both"/>
        <w:ind w:left="492" w:hanging="6"/>
        <w:spacing w:after="0" w:line="258" w:lineRule="auto"/>
        <w:tabs>
          <w:tab w:leader="none" w:pos="926"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 This Agreement sets forth the final, complete and exclusive agreement and understanding between the Company and me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subject matter hereof and supersedes all prior and contemporaneous understandings and agreements relating to its subject matter. No modification of or amendment to this Agreement, nor any waiver of any rights under this Agreement, will be effective unless in writing and signed by both the Company and me. Any subsequent change or changes in my duties, salary or compensation will not affect the validity or scope of this Agreement.</w:t>
      </w:r>
    </w:p>
    <w:p>
      <w:pPr>
        <w:spacing w:after="0" w:line="183" w:lineRule="exact"/>
        <w:rPr>
          <w:rFonts w:ascii="Arial" w:cs="Arial" w:eastAsia="Arial" w:hAnsi="Arial"/>
          <w:sz w:val="18"/>
          <w:szCs w:val="18"/>
          <w:color w:val="auto"/>
        </w:rPr>
      </w:pPr>
    </w:p>
    <w:p>
      <w:pPr>
        <w:ind w:left="492" w:hanging="6"/>
        <w:spacing w:after="0" w:line="282" w:lineRule="auto"/>
        <w:tabs>
          <w:tab w:leader="none" w:pos="895"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 If one or more of the provisions in this Agreement are deemed unenforceable by law, then the remaining provisions will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in full force and effect.</w:t>
      </w:r>
    </w:p>
    <w:p>
      <w:pPr>
        <w:spacing w:after="0" w:line="161" w:lineRule="exact"/>
        <w:rPr>
          <w:rFonts w:ascii="Arial" w:cs="Arial" w:eastAsia="Arial" w:hAnsi="Arial"/>
          <w:sz w:val="18"/>
          <w:szCs w:val="18"/>
          <w:color w:val="auto"/>
        </w:rPr>
      </w:pPr>
    </w:p>
    <w:p>
      <w:pPr>
        <w:ind w:left="492" w:hanging="6"/>
        <w:spacing w:after="0" w:line="282" w:lineRule="auto"/>
        <w:tabs>
          <w:tab w:leader="none" w:pos="872"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 This Agreement will be binding upon my heirs, executors, administrators and other legal representatives and will be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the Company, its successors and its assigns.</w:t>
      </w:r>
    </w:p>
    <w:p>
      <w:pPr>
        <w:spacing w:after="0" w:line="161" w:lineRule="exact"/>
        <w:rPr>
          <w:rFonts w:ascii="Arial" w:cs="Arial" w:eastAsia="Arial" w:hAnsi="Arial"/>
          <w:sz w:val="18"/>
          <w:szCs w:val="18"/>
          <w:color w:val="auto"/>
        </w:rPr>
      </w:pPr>
    </w:p>
    <w:p>
      <w:pPr>
        <w:ind w:left="492" w:hanging="6"/>
        <w:spacing w:after="0" w:line="282" w:lineRule="auto"/>
        <w:tabs>
          <w:tab w:leader="none" w:pos="991"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 The provisions of this Agreement shall survive the termination of my employment and the assignment of this Agreement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any successor in interest of other assignee.</w:t>
      </w:r>
    </w:p>
    <w:p>
      <w:pPr>
        <w:spacing w:after="0" w:line="161" w:lineRule="exact"/>
        <w:rPr>
          <w:rFonts w:ascii="Arial" w:cs="Arial" w:eastAsia="Arial" w:hAnsi="Arial"/>
          <w:sz w:val="18"/>
          <w:szCs w:val="18"/>
          <w:color w:val="auto"/>
        </w:rPr>
      </w:pPr>
    </w:p>
    <w:p>
      <w:pPr>
        <w:jc w:val="both"/>
        <w:ind w:left="492" w:hanging="6"/>
        <w:spacing w:after="0" w:line="266" w:lineRule="auto"/>
        <w:tabs>
          <w:tab w:leader="none" w:pos="895"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 No waiver by the Company of any breach of this Agreement shall be waiver of any preceding or succeeding breach. No waiver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any right under this Agreement shall be construed as a waiver of any other right. The Company shall not be required to give notice to enforce strict adherence to all terms of this Agreement.</w:t>
      </w:r>
    </w:p>
    <w:p>
      <w:pPr>
        <w:spacing w:after="0" w:line="176" w:lineRule="exact"/>
        <w:rPr>
          <w:rFonts w:ascii="Arial" w:cs="Arial" w:eastAsia="Arial" w:hAnsi="Arial"/>
          <w:sz w:val="18"/>
          <w:szCs w:val="18"/>
          <w:color w:val="auto"/>
        </w:rPr>
      </w:pPr>
    </w:p>
    <w:p>
      <w:pPr>
        <w:jc w:val="both"/>
        <w:ind w:left="492" w:hanging="6"/>
        <w:spacing w:after="0" w:line="266" w:lineRule="auto"/>
        <w:tabs>
          <w:tab w:leader="none" w:pos="882"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 Any notices required or permitted hereunder hall be given to the appropriate party at the address specified below or at such other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party shall specify in writing. Such notice shall be deemed given upon personal delivery, or sent by certified or registered mail, postage prepaid, three (3) days after the date of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This Agreement shall be effective as of the first day of my employment with the Company, namely: </w:t>
      </w:r>
      <w:r>
        <w:rPr>
          <w:rFonts w:ascii="Arial" w:cs="Arial" w:eastAsia="Arial" w:hAnsi="Arial"/>
          <w:sz w:val="18"/>
          <w:szCs w:val="18"/>
          <w:u w:val="single" w:color="auto"/>
          <w:color w:val="auto"/>
        </w:rPr>
        <w:t>January 13, 2014.</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 UNDERSTAND THAT THIS AGREEMENT AFFECTS MY RIGHTS TO INVENTIONS I MAKE DURING MY EMPLOYMENT, AND RESTRICTS MY RIGHT TO DISCLOSE OR USE THE COMPANY’S PROPRIETARY INFORMATION DURING OR SUBSEQUENT TO MY EMPLOYMENT.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 HAVE READ THIS AGREEMENT CAREFULLY AND UNDERSTAND ITS TERMS.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0"/>
              </w:rPr>
              <w:t>Dated:</w:t>
            </w:r>
          </w:p>
        </w:tc>
        <w:tc>
          <w:tcPr>
            <w:tcW w:w="2340" w:type="dxa"/>
            <w:vAlign w:val="bottom"/>
          </w:tcPr>
          <w:p>
            <w:pPr>
              <w:ind w:left="320"/>
              <w:spacing w:after="0"/>
              <w:rPr>
                <w:sz w:val="20"/>
                <w:szCs w:val="20"/>
                <w:color w:val="auto"/>
              </w:rPr>
            </w:pPr>
            <w:r>
              <w:rPr>
                <w:rFonts w:ascii="Arial" w:cs="Arial" w:eastAsia="Arial" w:hAnsi="Arial"/>
                <w:sz w:val="18"/>
                <w:szCs w:val="18"/>
                <w:color w:val="auto"/>
              </w:rPr>
              <w:t>December 30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 2013</w:t>
            </w:r>
          </w:p>
        </w:tc>
        <w:tc>
          <w:tcPr>
            <w:tcW w:w="7040" w:type="dxa"/>
            <w:vAlign w:val="bottom"/>
            <w:gridSpan w:val="2"/>
          </w:tcPr>
          <w:p>
            <w:pPr>
              <w:ind w:left="1980"/>
              <w:spacing w:after="0"/>
              <w:rPr>
                <w:sz w:val="20"/>
                <w:szCs w:val="20"/>
                <w:color w:val="auto"/>
              </w:rPr>
            </w:pPr>
            <w:r>
              <w:rPr>
                <w:rFonts w:ascii="Arial" w:cs="Arial" w:eastAsia="Arial" w:hAnsi="Arial"/>
                <w:sz w:val="18"/>
                <w:szCs w:val="18"/>
                <w:color w:val="auto"/>
              </w:rPr>
              <w:t>/s/David R. Heinz</w:t>
            </w:r>
          </w:p>
        </w:tc>
      </w:tr>
      <w:tr>
        <w:trPr>
          <w:trHeight w:val="224"/>
        </w:trPr>
        <w:tc>
          <w:tcPr>
            <w:tcW w:w="500" w:type="dxa"/>
            <w:vAlign w:val="bottom"/>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bl>
    <w:p>
      <w:pPr>
        <w:spacing w:after="0" w:line="18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David R. Heinz</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Printed 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10.38</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Employment Agreement (“Agreement”), by and between Ocean Power Technologies, Inc. (“OPT”) and David L. Keller (“Keller”), each a “party” and both the “parties,” is dated and effective June 9,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Keller has served on OPT’s Board of Directors as a Non-Executive Director since October 2013;</w:t>
      </w:r>
    </w:p>
    <w:p>
      <w:pPr>
        <w:spacing w:after="0" w:line="225" w:lineRule="exact"/>
        <w:rPr>
          <w:sz w:val="20"/>
          <w:szCs w:val="20"/>
          <w:color w:val="auto"/>
        </w:rPr>
      </w:pPr>
    </w:p>
    <w:p>
      <w:pPr>
        <w:ind w:left="980" w:right="60" w:hanging="97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OPT Board of Directors terminated Charles F. Dunleavy as Chief Executive Officer (“CEO”) and Chairman of the Board of OPT on June 9,</w:t>
      </w:r>
      <w:r>
        <w:rPr>
          <w:rFonts w:ascii="Arial" w:cs="Arial" w:eastAsia="Arial" w:hAnsi="Arial"/>
          <w:sz w:val="18"/>
          <w:szCs w:val="18"/>
          <w:b w:val="1"/>
          <w:bCs w:val="1"/>
          <w:color w:val="auto"/>
        </w:rPr>
        <w:t xml:space="preserve"> </w:t>
      </w:r>
      <w:r>
        <w:rPr>
          <w:rFonts w:ascii="Arial" w:cs="Arial" w:eastAsia="Arial" w:hAnsi="Arial"/>
          <w:sz w:val="18"/>
          <w:szCs w:val="18"/>
          <w:color w:val="auto"/>
        </w:rPr>
        <w:t>2014;</w:t>
      </w:r>
    </w:p>
    <w:p>
      <w:pPr>
        <w:spacing w:after="0" w:line="162" w:lineRule="exact"/>
        <w:rPr>
          <w:sz w:val="20"/>
          <w:szCs w:val="20"/>
          <w:color w:val="auto"/>
        </w:rPr>
      </w:pPr>
    </w:p>
    <w:p>
      <w:pPr>
        <w:ind w:left="980" w:right="40" w:hanging="97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OPT Board of Directors requested Keller also to serve as Interim CEO effective June 9, 2014 and to continue to serve as Interim CEO while</w:t>
      </w:r>
      <w:r>
        <w:rPr>
          <w:rFonts w:ascii="Arial" w:cs="Arial" w:eastAsia="Arial" w:hAnsi="Arial"/>
          <w:sz w:val="18"/>
          <w:szCs w:val="18"/>
          <w:b w:val="1"/>
          <w:bCs w:val="1"/>
          <w:color w:val="auto"/>
        </w:rPr>
        <w:t xml:space="preserve"> </w:t>
      </w:r>
      <w:r>
        <w:rPr>
          <w:rFonts w:ascii="Arial" w:cs="Arial" w:eastAsia="Arial" w:hAnsi="Arial"/>
          <w:sz w:val="18"/>
          <w:szCs w:val="18"/>
          <w:color w:val="auto"/>
        </w:rPr>
        <w:t>OPT searches for a permanent CEO, and Keller has agreed to do 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to the following:</w:t>
      </w:r>
    </w:p>
    <w:p>
      <w:pPr>
        <w:spacing w:after="0" w:line="229" w:lineRule="exact"/>
        <w:rPr>
          <w:sz w:val="20"/>
          <w:szCs w:val="20"/>
          <w:color w:val="auto"/>
        </w:rPr>
      </w:pPr>
    </w:p>
    <w:p>
      <w:pPr>
        <w:ind w:left="460" w:right="160" w:hanging="452"/>
        <w:spacing w:after="0" w:line="198" w:lineRule="auto"/>
        <w:tabs>
          <w:tab w:leader="none" w:pos="460" w:val="left"/>
        </w:tabs>
        <w:numPr>
          <w:ilvl w:val="0"/>
          <w:numId w:val="60"/>
        </w:numPr>
        <w:rPr>
          <w:rFonts w:ascii="Arial" w:cs="Arial" w:eastAsia="Arial" w:hAnsi="Arial"/>
          <w:sz w:val="31"/>
          <w:szCs w:val="31"/>
          <w:color w:val="auto"/>
          <w:vertAlign w:val="subscript"/>
        </w:rPr>
      </w:pPr>
      <w:r>
        <w:rPr>
          <w:rFonts w:ascii="Arial" w:cs="Arial" w:eastAsia="Arial" w:hAnsi="Arial"/>
          <w:sz w:val="16"/>
          <w:szCs w:val="16"/>
          <w:color w:val="auto"/>
        </w:rPr>
        <w:t>Keller shall serve as Interim CEO for OPT effective June 9, 2014, and shall continue to serve as Interim CEO for OPT, at the pleasure of the Board of Directors for OPT, until such time as a permanent CEO can be found or until such other time as Keller and the OPT may agree in writing.</w:t>
      </w:r>
    </w:p>
    <w:p>
      <w:pPr>
        <w:spacing w:after="0" w:line="202" w:lineRule="exact"/>
        <w:rPr>
          <w:rFonts w:ascii="Arial" w:cs="Arial" w:eastAsia="Arial" w:hAnsi="Arial"/>
          <w:sz w:val="31"/>
          <w:szCs w:val="31"/>
          <w:color w:val="auto"/>
          <w:vertAlign w:val="subscript"/>
        </w:rPr>
      </w:pPr>
    </w:p>
    <w:p>
      <w:pPr>
        <w:ind w:left="820" w:right="200" w:hanging="353"/>
        <w:spacing w:after="0" w:line="258" w:lineRule="auto"/>
        <w:tabs>
          <w:tab w:leader="none" w:pos="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Keller’s duties and responsibilities as Interim CEO shall include those normally incident to the position of CEO as well as such additional duties and responsibilities as may be assigned to Keller by the OPT Board of Directors.</w:t>
      </w:r>
    </w:p>
    <w:p>
      <w:pPr>
        <w:spacing w:after="0" w:line="1" w:lineRule="exact"/>
        <w:rPr>
          <w:rFonts w:ascii="Arial" w:cs="Arial" w:eastAsia="Arial" w:hAnsi="Arial"/>
          <w:sz w:val="18"/>
          <w:szCs w:val="18"/>
          <w:color w:val="auto"/>
        </w:rPr>
      </w:pPr>
    </w:p>
    <w:p>
      <w:pPr>
        <w:ind w:left="820" w:right="60" w:hanging="353"/>
        <w:spacing w:after="0" w:line="250" w:lineRule="auto"/>
        <w:tabs>
          <w:tab w:leader="none" w:pos="8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performing his services as Interim CEO, Keller acknowledges that he owes OPT a duty of loyalty, he will act in the best interest of OPT, and he will perform his duties and responsibilities with good faith and due care.</w:t>
      </w:r>
    </w:p>
    <w:p>
      <w:pPr>
        <w:ind w:left="820" w:right="40" w:hanging="353"/>
        <w:spacing w:after="0" w:line="270" w:lineRule="auto"/>
        <w:tabs>
          <w:tab w:leader="none" w:pos="8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 performing services as Interim CEO as provided for herein, Keller shall be indemnified and held harmless by OPT to the fullest extent allowed by law, OPT’s Certificate of Incorporation and by-laws, from and against any and all losses, claims, damages, liabilities, expenses (including legal fees), judgments, fines, settlements and other amounts arising from any and all claims, demands, actions, suits or proceedings, civil, criminal, administrative or investigative, in which Keller may be involved or threatened to be involved as a party or otherwise by reason of Keller’s service as Interim CEO. The foregoing indemnification shall not apply if, as determined in a final adjudication by a court of law with jurisdiction, Keller’s conduct is unlawful or constitutes gross negligence or willful or wanton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86" w:name="page87"/>
    <w:bookmarkEnd w:id="86"/>
    <w:p>
      <w:pPr>
        <w:ind w:left="660" w:right="20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Keller shall be compensated by OPT for his service as Interim CEO at a rate of $1,500.00 per weekday pro-rata as necessary or appropriate. Keller acknowledges that his service as Interim CEO may require work on weekends and holidays as needed; however, Keller will not be provided any additional compensation for any service performed on weekends or holidays.</w:t>
      </w:r>
    </w:p>
    <w:p>
      <w:pPr>
        <w:spacing w:after="0" w:line="181" w:lineRule="exact"/>
        <w:rPr>
          <w:rFonts w:ascii="Arial" w:cs="Arial" w:eastAsia="Arial" w:hAnsi="Arial"/>
          <w:sz w:val="18"/>
          <w:szCs w:val="18"/>
          <w:color w:val="auto"/>
        </w:rPr>
      </w:pPr>
    </w:p>
    <w:p>
      <w:pPr>
        <w:ind w:left="660" w:right="160" w:hanging="652"/>
        <w:spacing w:after="0" w:line="286"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Keller shall be treated as a contractor during the term of his service as Interim CEO. OPT will not withhold any federal, state, local or other payroll taxes for Keller, and instead Keller acknowledges that he will be responsible for paying any federal, state, local or other payroll taxes. In addition, Keller shall </w:t>
      </w:r>
      <w:r>
        <w:rPr>
          <w:rFonts w:ascii="Arial" w:cs="Arial" w:eastAsia="Arial" w:hAnsi="Arial"/>
          <w:sz w:val="17"/>
          <w:szCs w:val="17"/>
          <w:b w:val="1"/>
          <w:bCs w:val="1"/>
          <w:color w:val="auto"/>
        </w:rPr>
        <w:t>not</w:t>
      </w:r>
      <w:r>
        <w:rPr>
          <w:rFonts w:ascii="Arial" w:cs="Arial" w:eastAsia="Arial" w:hAnsi="Arial"/>
          <w:sz w:val="17"/>
          <w:szCs w:val="17"/>
          <w:color w:val="auto"/>
        </w:rPr>
        <w:t xml:space="preserve"> be entitled to any benefits afforded OPT employees including but not limited to vacation benefits.</w:t>
      </w:r>
    </w:p>
    <w:p>
      <w:pPr>
        <w:spacing w:after="0" w:line="165" w:lineRule="exact"/>
        <w:rPr>
          <w:rFonts w:ascii="Arial" w:cs="Arial" w:eastAsia="Arial" w:hAnsi="Arial"/>
          <w:sz w:val="17"/>
          <w:szCs w:val="17"/>
          <w:color w:val="auto"/>
        </w:rPr>
      </w:pPr>
    </w:p>
    <w:p>
      <w:pPr>
        <w:ind w:left="660" w:right="80" w:hanging="652"/>
        <w:spacing w:after="0" w:line="279"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Shortly following the start of each month Keller shall invoice OPT for services performed as Interim CEO for the prior month and such invoice may be submitted electronically. Keller may submit reasonable and necessary expenses associated with Keller’s service as Interim CEO as part of each invoice submitted or separately as expenses are incurred. OPT shall pay the full amount of Keller’s invoices (to the degree consistent with this Agreement) as soon as reasonably possible and in any event within 30 calendar days of the receipt of the invoice by OPT.</w:t>
      </w:r>
    </w:p>
    <w:p>
      <w:pPr>
        <w:spacing w:after="0" w:line="171" w:lineRule="exact"/>
        <w:rPr>
          <w:rFonts w:ascii="Arial" w:cs="Arial" w:eastAsia="Arial" w:hAnsi="Arial"/>
          <w:sz w:val="17"/>
          <w:szCs w:val="17"/>
          <w:color w:val="auto"/>
        </w:rPr>
      </w:pPr>
    </w:p>
    <w:p>
      <w:pPr>
        <w:ind w:left="660" w:right="38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Within 30 calendar days after Keller completes his service as Interim CEO, the OPT Board of Directors shall make a one-time grant to Keller of restricted OPT common stock with the number of shares to be determined.</w:t>
      </w:r>
    </w:p>
    <w:p>
      <w:pPr>
        <w:spacing w:after="0" w:line="166" w:lineRule="exact"/>
        <w:rPr>
          <w:rFonts w:ascii="Arial" w:cs="Arial" w:eastAsia="Arial" w:hAnsi="Arial"/>
          <w:sz w:val="18"/>
          <w:szCs w:val="18"/>
          <w:color w:val="auto"/>
        </w:rPr>
      </w:pPr>
    </w:p>
    <w:p>
      <w:pPr>
        <w:jc w:val="both"/>
        <w:ind w:left="660" w:right="120" w:hanging="652"/>
        <w:spacing w:after="0" w:line="26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During the period of time that Keller serves as Interim CEO he will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receive any additional compensation as a member of the Board of Directors of OPT or as a member of any of the committees or subcommittees of the Board of Directors including but not limited to the Special Committee of the Board of Directors created on June 10, 2014.</w:t>
      </w:r>
    </w:p>
    <w:p>
      <w:pPr>
        <w:spacing w:after="0" w:line="180"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Agreement shall terminate in the event of Keller’s death or due to a disability, sickness or injury (each to be determined by the OPT Board of Directors in its sole and complete discretion) that renders Keller is incapable of performing substantially all of the duties and responsibilities required under this Agreement for a period of 30 consecutive calendar days.</w:t>
      </w:r>
    </w:p>
    <w:p>
      <w:pPr>
        <w:spacing w:after="0" w:line="181" w:lineRule="exact"/>
        <w:rPr>
          <w:rFonts w:ascii="Arial" w:cs="Arial" w:eastAsia="Arial" w:hAnsi="Arial"/>
          <w:sz w:val="18"/>
          <w:szCs w:val="18"/>
          <w:color w:val="auto"/>
        </w:rPr>
      </w:pPr>
    </w:p>
    <w:p>
      <w:pPr>
        <w:jc w:val="both"/>
        <w:ind w:left="660" w:right="10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Neither this Agreement nor the rights or obligations hereunder shall be assigned by either party except that this Agreement shall bind any successor of OPT or its assets or its businesses, whether direct or indirect, by purchase, merger, consolidation or otherwise, and in the same manner and extent that OPT would be obligated under this Agreement if no succession had taken place.</w:t>
      </w:r>
    </w:p>
    <w:p>
      <w:pPr>
        <w:spacing w:after="0" w:line="181" w:lineRule="exact"/>
        <w:rPr>
          <w:rFonts w:ascii="Arial" w:cs="Arial" w:eastAsia="Arial" w:hAnsi="Arial"/>
          <w:sz w:val="18"/>
          <w:szCs w:val="18"/>
          <w:color w:val="auto"/>
        </w:rPr>
      </w:pPr>
    </w:p>
    <w:p>
      <w:pPr>
        <w:ind w:left="660" w:right="220" w:hanging="652"/>
        <w:spacing w:after="0" w:line="31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waiver by either party of a breach of any provision in this Agreement by the other party will operate or be construed as a waiver of any subsequent breach by such other party or any similar of dissimilar provision or condition at the same or any subsequent time. The failure of either party to take any action by reason of any breach will not deprive such party of the right to take action at any time while such breach may continue.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ind w:left="660" w:right="16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dispute, controversy or claim between OPT and Keller arising out of or relating in any way to this Agreement, if not resolvable by discussions between them, shall be finally settled by confidential arbitration in Princeton, New Jersey or such other location as OPT and Keller may mutually agree.</w:t>
      </w:r>
    </w:p>
    <w:p>
      <w:pPr>
        <w:spacing w:after="0" w:line="181" w:lineRule="exact"/>
        <w:rPr>
          <w:rFonts w:ascii="Arial" w:cs="Arial" w:eastAsia="Arial" w:hAnsi="Arial"/>
          <w:sz w:val="18"/>
          <w:szCs w:val="18"/>
          <w:color w:val="auto"/>
        </w:rPr>
      </w:pPr>
    </w:p>
    <w:p>
      <w:pPr>
        <w:ind w:left="1300" w:right="560" w:hanging="644"/>
        <w:spacing w:after="0" w:line="258"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such arbitration shall be before the American Arbitration Association in accordance with its then-existing rules for resolution of employment disputes. The arbitrator’s award shall be final and binding.</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OPT and Keller will share equally the cost of the arbitrator but each party shall bear its own costs and attorneys’ fees incurred in connection with such arbitration.</w:t>
      </w:r>
    </w:p>
    <w:p>
      <w:pPr>
        <w:ind w:left="1300" w:right="120" w:hanging="644"/>
        <w:spacing w:after="0" w:line="261"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Jersey without reference to principles of conflict of laws.</w:t>
      </w:r>
    </w:p>
    <w:p>
      <w:pPr>
        <w:spacing w:after="0" w:line="183" w:lineRule="exact"/>
        <w:rPr>
          <w:rFonts w:ascii="Arial" w:cs="Arial" w:eastAsia="Arial" w:hAnsi="Arial"/>
          <w:sz w:val="18"/>
          <w:szCs w:val="18"/>
          <w:color w:val="auto"/>
        </w:rPr>
      </w:pPr>
    </w:p>
    <w:p>
      <w:pPr>
        <w:ind w:left="660" w:right="20" w:hanging="652"/>
        <w:spacing w:after="0" w:line="25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contains the entire agreement of the parties with respect to the matters covered herein, and this Agreement supersedes all prior and contemporaneous agreements or understandings, whether oral or written, between the parties regarding the matters covered herein. This Agreement may be executed in counterparts, each counterpart may consist of a copy or original signature page, each counterpart when so executed and delivered shall be considered an original, and all such counterparts will together constitute one and the same instrument. This Agreement may be amended only by a written instrument executed by the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WHEREFORE</w:t>
      </w:r>
      <w:r>
        <w:rPr>
          <w:rFonts w:ascii="Arial" w:cs="Arial" w:eastAsia="Arial" w:hAnsi="Arial"/>
          <w:sz w:val="18"/>
          <w:szCs w:val="18"/>
          <w:color w:val="auto"/>
        </w:rPr>
        <w:t>, the parties have executed this Agreement to be effective for all purposes as to the date first identified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Ocean Power Technologies, Inc.</w:t>
            </w:r>
          </w:p>
        </w:tc>
        <w:tc>
          <w:tcPr>
            <w:tcW w:w="6600" w:type="dxa"/>
            <w:vAlign w:val="bottom"/>
            <w:gridSpan w:val="2"/>
          </w:tcPr>
          <w:p>
            <w:pPr>
              <w:ind w:left="660"/>
              <w:spacing w:after="0"/>
              <w:rPr>
                <w:sz w:val="20"/>
                <w:szCs w:val="20"/>
                <w:color w:val="auto"/>
              </w:rPr>
            </w:pPr>
            <w:r>
              <w:rPr>
                <w:rFonts w:ascii="Arial" w:cs="Arial" w:eastAsia="Arial" w:hAnsi="Arial"/>
                <w:sz w:val="18"/>
                <w:szCs w:val="18"/>
                <w:b w:val="1"/>
                <w:bCs w:val="1"/>
                <w:color w:val="auto"/>
              </w:rPr>
              <w:t>David L. Keller</w:t>
            </w:r>
          </w:p>
        </w:tc>
      </w:tr>
      <w:tr>
        <w:trPr>
          <w:trHeight w:val="20"/>
        </w:trPr>
        <w:tc>
          <w:tcPr>
            <w:tcW w:w="4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r>
      <w:tr>
        <w:trPr>
          <w:trHeight w:val="642"/>
        </w:trPr>
        <w:tc>
          <w:tcPr>
            <w:tcW w:w="4820" w:type="dxa"/>
            <w:vAlign w:val="bottom"/>
          </w:tcPr>
          <w:p>
            <w:pPr>
              <w:spacing w:after="0"/>
              <w:rPr>
                <w:sz w:val="20"/>
                <w:szCs w:val="20"/>
                <w:color w:val="auto"/>
              </w:rPr>
            </w:pPr>
            <w:r>
              <w:rPr>
                <w:rFonts w:ascii="Arial" w:cs="Arial" w:eastAsia="Arial" w:hAnsi="Arial"/>
                <w:sz w:val="18"/>
                <w:szCs w:val="18"/>
                <w:color w:val="auto"/>
              </w:rPr>
              <w:t>/s/Terence J. Cryan</w:t>
            </w:r>
          </w:p>
        </w:tc>
        <w:tc>
          <w:tcPr>
            <w:tcW w:w="6600" w:type="dxa"/>
            <w:vAlign w:val="bottom"/>
            <w:gridSpan w:val="2"/>
          </w:tcPr>
          <w:p>
            <w:pPr>
              <w:ind w:left="660"/>
              <w:spacing w:after="0"/>
              <w:rPr>
                <w:sz w:val="20"/>
                <w:szCs w:val="20"/>
                <w:color w:val="auto"/>
              </w:rPr>
            </w:pPr>
            <w:r>
              <w:rPr>
                <w:rFonts w:ascii="Arial" w:cs="Arial" w:eastAsia="Arial" w:hAnsi="Arial"/>
                <w:sz w:val="18"/>
                <w:szCs w:val="18"/>
                <w:color w:val="auto"/>
              </w:rPr>
              <w:t>/s/David L. Keller</w:t>
            </w:r>
          </w:p>
        </w:tc>
      </w:tr>
      <w:tr>
        <w:trPr>
          <w:trHeight w:val="20"/>
        </w:trPr>
        <w:tc>
          <w:tcPr>
            <w:tcW w:w="4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r>
      <w:tr>
        <w:trPr>
          <w:trHeight w:val="426"/>
        </w:trPr>
        <w:tc>
          <w:tcPr>
            <w:tcW w:w="4820" w:type="dxa"/>
            <w:vAlign w:val="bottom"/>
          </w:tcPr>
          <w:p>
            <w:pPr>
              <w:spacing w:after="0"/>
              <w:rPr>
                <w:sz w:val="20"/>
                <w:szCs w:val="20"/>
                <w:color w:val="auto"/>
              </w:rPr>
            </w:pPr>
            <w:r>
              <w:rPr>
                <w:rFonts w:ascii="Arial" w:cs="Arial" w:eastAsia="Arial" w:hAnsi="Arial"/>
                <w:sz w:val="18"/>
                <w:szCs w:val="18"/>
                <w:color w:val="auto"/>
              </w:rPr>
              <w:t>Terence J. Cryan</w:t>
            </w:r>
          </w:p>
        </w:tc>
        <w:tc>
          <w:tcPr>
            <w:tcW w:w="6600" w:type="dxa"/>
            <w:vAlign w:val="bottom"/>
            <w:gridSpan w:val="2"/>
          </w:tcPr>
          <w:p>
            <w:pPr>
              <w:ind w:left="660"/>
              <w:spacing w:after="0"/>
              <w:rPr>
                <w:sz w:val="20"/>
                <w:szCs w:val="20"/>
                <w:color w:val="auto"/>
              </w:rPr>
            </w:pPr>
            <w:r>
              <w:rPr>
                <w:rFonts w:ascii="Arial" w:cs="Arial" w:eastAsia="Arial" w:hAnsi="Arial"/>
                <w:sz w:val="18"/>
                <w:szCs w:val="18"/>
                <w:color w:val="auto"/>
              </w:rPr>
              <w:t>David L. Keller</w:t>
            </w:r>
          </w:p>
        </w:tc>
      </w:tr>
    </w:tbl>
    <w:p>
      <w:pPr>
        <w:spacing w:after="0"/>
        <w:rPr>
          <w:sz w:val="20"/>
          <w:szCs w:val="20"/>
          <w:color w:val="auto"/>
        </w:rPr>
      </w:pPr>
      <w:r>
        <w:rPr>
          <w:rFonts w:ascii="Arial" w:cs="Arial" w:eastAsia="Arial" w:hAnsi="Arial"/>
          <w:sz w:val="18"/>
          <w:szCs w:val="18"/>
          <w:color w:val="auto"/>
        </w:rPr>
        <w:t>Interim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Page 3 of 3</w:t>
      </w:r>
    </w:p>
    <w:p>
      <w:pPr>
        <w:sectPr>
          <w:pgSz w:w="11900" w:h="16838" w:orient="portrait"/>
          <w:cols w:equalWidth="0" w:num="1">
            <w:col w:w="11420"/>
          </w:cols>
          <w:pgMar w:left="240" w:top="584"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500" w:type="dxa"/>
            <w:vAlign w:val="bottom"/>
          </w:tcPr>
          <w:p>
            <w:pPr>
              <w:ind w:left="2560"/>
              <w:spacing w:after="0"/>
              <w:rPr>
                <w:sz w:val="20"/>
                <w:szCs w:val="20"/>
                <w:color w:val="auto"/>
              </w:rPr>
            </w:pPr>
            <w:r>
              <w:rPr>
                <w:rFonts w:ascii="Arial" w:cs="Arial" w:eastAsia="Arial" w:hAnsi="Arial"/>
                <w:sz w:val="18"/>
                <w:szCs w:val="18"/>
                <w:b w:val="1"/>
                <w:bCs w:val="1"/>
                <w:color w:val="auto"/>
                <w:w w:val="91"/>
              </w:rPr>
              <w:t>Exhibit 21.1</w:t>
            </w:r>
          </w:p>
        </w:tc>
      </w:tr>
      <w:tr>
        <w:trPr>
          <w:trHeight w:val="446"/>
        </w:trPr>
        <w:tc>
          <w:tcPr>
            <w:tcW w:w="79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11"/>
        </w:trPr>
        <w:tc>
          <w:tcPr>
            <w:tcW w:w="7920" w:type="dxa"/>
            <w:vAlign w:val="bottom"/>
          </w:tcPr>
          <w:p>
            <w:pPr>
              <w:ind w:left="180"/>
              <w:spacing w:after="0"/>
              <w:rPr>
                <w:sz w:val="20"/>
                <w:szCs w:val="20"/>
                <w:color w:val="auto"/>
              </w:rPr>
            </w:pPr>
            <w:r>
              <w:rPr>
                <w:rFonts w:ascii="Arial" w:cs="Arial" w:eastAsia="Arial" w:hAnsi="Arial"/>
                <w:sz w:val="18"/>
                <w:szCs w:val="18"/>
                <w:color w:val="auto"/>
              </w:rPr>
              <w:t>Ocean Power Technologies Ltd</w:t>
            </w:r>
          </w:p>
        </w:tc>
        <w:tc>
          <w:tcPr>
            <w:tcW w:w="350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Ocean Power Technologies (Australasia) Pty Ltd</w:t>
            </w:r>
          </w:p>
        </w:tc>
        <w:tc>
          <w:tcPr>
            <w:tcW w:w="350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Reedsport OPT Wave Park LLC</w:t>
            </w:r>
          </w:p>
        </w:tc>
        <w:tc>
          <w:tcPr>
            <w:tcW w:w="3500" w:type="dxa"/>
            <w:vAlign w:val="bottom"/>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Oregon Wave Energy Partners I, LLC</w:t>
            </w:r>
          </w:p>
        </w:tc>
        <w:tc>
          <w:tcPr>
            <w:tcW w:w="35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7920" w:type="dxa"/>
            <w:vAlign w:val="bottom"/>
          </w:tcPr>
          <w:p>
            <w:pPr>
              <w:ind w:left="180"/>
              <w:spacing w:after="0"/>
              <w:rPr>
                <w:sz w:val="20"/>
                <w:szCs w:val="20"/>
                <w:color w:val="auto"/>
              </w:rPr>
            </w:pPr>
            <w:r>
              <w:rPr>
                <w:rFonts w:ascii="Arial" w:cs="Arial" w:eastAsia="Arial" w:hAnsi="Arial"/>
                <w:sz w:val="18"/>
                <w:szCs w:val="18"/>
                <w:color w:val="auto"/>
              </w:rPr>
              <w:t>Victorian Wave Partners Pty Ltd</w:t>
            </w:r>
          </w:p>
        </w:tc>
        <w:tc>
          <w:tcPr>
            <w:tcW w:w="350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bl>
    <w:p>
      <w:pPr>
        <w:sectPr>
          <w:pgSz w:w="11900" w:h="16838" w:orient="portrait"/>
          <w:cols w:equalWidth="0" w:num="1">
            <w:col w:w="11420"/>
          </w:cols>
          <w:pgMar w:left="240" w:top="33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333-142547 and No. 333-165856) on Form S-8 and the registration statement (No. 333-186181) on Form S-3 of Ocean Power Technologies, Inc. of our report dated July 29, 2014, with respect to the consolidated balance sheets of Ocean Power Technologies, Inc. and subsidiaries as of April 30, 2014 and 2013, and the related consolidated statements of operations, comprehensive loss, stockholders' equity, and cash flows for each of the years in the two-year period ended April 30, 2014, which report appears in the April 30, 2014 Annual Report on Form 10-K of Ocean Power Technologies,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29, 2014</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David L. Keller, certify that:</w:t>
      </w:r>
    </w:p>
    <w:p>
      <w:pPr>
        <w:spacing w:after="0" w:line="200" w:lineRule="exact"/>
        <w:rPr>
          <w:sz w:val="20"/>
          <w:szCs w:val="20"/>
          <w:color w:val="auto"/>
        </w:rPr>
      </w:pPr>
    </w:p>
    <w:p>
      <w:pPr>
        <w:spacing w:after="0" w:line="240" w:lineRule="exact"/>
        <w:rPr>
          <w:sz w:val="20"/>
          <w:szCs w:val="20"/>
          <w:color w:val="auto"/>
        </w:rPr>
      </w:pPr>
    </w:p>
    <w:p>
      <w:pPr>
        <w:ind w:left="820" w:hanging="353"/>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820" w:right="140" w:hanging="353"/>
        <w:spacing w:after="0" w:line="264"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00" w:hanging="353"/>
        <w:spacing w:after="0" w:line="308" w:lineRule="auto"/>
        <w:tabs>
          <w:tab w:leader="none" w:pos="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20" w:right="120" w:hanging="353"/>
        <w:spacing w:after="0" w:line="264"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380" w:hanging="454"/>
        <w:spacing w:after="0" w:line="264" w:lineRule="auto"/>
        <w:tabs>
          <w:tab w:leader="none" w:pos="1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380" w:right="140" w:hanging="454"/>
        <w:spacing w:after="0" w:line="264" w:lineRule="auto"/>
        <w:tabs>
          <w:tab w:leader="none" w:pos="1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1380" w:right="300" w:hanging="454"/>
        <w:spacing w:after="0" w:line="342" w:lineRule="auto"/>
        <w:tabs>
          <w:tab w:leader="none" w:pos="13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3" w:lineRule="exact"/>
        <w:rPr>
          <w:rFonts w:ascii="Arial" w:cs="Arial" w:eastAsia="Arial" w:hAnsi="Arial"/>
          <w:sz w:val="16"/>
          <w:szCs w:val="16"/>
          <w:color w:val="auto"/>
        </w:rPr>
      </w:pPr>
    </w:p>
    <w:p>
      <w:pPr>
        <w:ind w:left="1380" w:right="20" w:hanging="454"/>
        <w:spacing w:after="0" w:line="264" w:lineRule="auto"/>
        <w:tabs>
          <w:tab w:leader="none" w:pos="1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20" w:right="40" w:hanging="353"/>
        <w:spacing w:after="0" w:line="342"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353" w:lineRule="exact"/>
        <w:rPr>
          <w:rFonts w:ascii="Arial" w:cs="Arial" w:eastAsia="Arial" w:hAnsi="Arial"/>
          <w:sz w:val="16"/>
          <w:szCs w:val="16"/>
          <w:color w:val="auto"/>
        </w:rPr>
      </w:pPr>
    </w:p>
    <w:p>
      <w:pPr>
        <w:ind w:left="1380" w:right="540" w:hanging="454"/>
        <w:spacing w:after="0" w:line="342" w:lineRule="auto"/>
        <w:tabs>
          <w:tab w:leader="none" w:pos="13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3" w:lineRule="exact"/>
        <w:rPr>
          <w:rFonts w:ascii="Arial" w:cs="Arial" w:eastAsia="Arial" w:hAnsi="Arial"/>
          <w:sz w:val="16"/>
          <w:szCs w:val="16"/>
          <w:color w:val="auto"/>
        </w:rPr>
      </w:pPr>
    </w:p>
    <w:p>
      <w:pPr>
        <w:ind w:left="1380" w:right="260" w:hanging="454"/>
        <w:spacing w:after="0" w:line="277" w:lineRule="auto"/>
        <w:tabs>
          <w:tab w:leader="none" w:pos="1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DAVID L. KELLER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2014</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00" w:lineRule="exact"/>
        <w:rPr>
          <w:sz w:val="20"/>
          <w:szCs w:val="20"/>
          <w:color w:val="auto"/>
        </w:rPr>
      </w:pPr>
    </w:p>
    <w:p>
      <w:pPr>
        <w:spacing w:after="0" w:line="255" w:lineRule="exact"/>
        <w:rPr>
          <w:sz w:val="20"/>
          <w:szCs w:val="20"/>
          <w:color w:val="auto"/>
        </w:rPr>
      </w:pPr>
    </w:p>
    <w:p>
      <w:pPr>
        <w:ind w:left="820" w:hanging="353"/>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820" w:right="140" w:hanging="353"/>
        <w:spacing w:after="0" w:line="264"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00" w:hanging="353"/>
        <w:spacing w:after="0" w:line="308" w:lineRule="auto"/>
        <w:tabs>
          <w:tab w:leader="none" w:pos="8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20" w:right="120" w:hanging="353"/>
        <w:spacing w:after="0" w:line="264"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380" w:hanging="454"/>
        <w:spacing w:after="0" w:line="264"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380" w:right="140" w:hanging="454"/>
        <w:spacing w:after="0" w:line="264"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1380" w:right="300" w:hanging="454"/>
        <w:spacing w:after="0" w:line="342" w:lineRule="auto"/>
        <w:tabs>
          <w:tab w:leader="none" w:pos="13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3" w:lineRule="exact"/>
        <w:rPr>
          <w:rFonts w:ascii="Arial" w:cs="Arial" w:eastAsia="Arial" w:hAnsi="Arial"/>
          <w:sz w:val="16"/>
          <w:szCs w:val="16"/>
          <w:color w:val="auto"/>
        </w:rPr>
      </w:pPr>
    </w:p>
    <w:p>
      <w:pPr>
        <w:jc w:val="both"/>
        <w:ind w:left="1380" w:hanging="454"/>
        <w:spacing w:after="0" w:line="264"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820" w:right="40" w:hanging="353"/>
        <w:spacing w:after="0" w:line="342"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353" w:lineRule="exact"/>
        <w:rPr>
          <w:rFonts w:ascii="Arial" w:cs="Arial" w:eastAsia="Arial" w:hAnsi="Arial"/>
          <w:sz w:val="16"/>
          <w:szCs w:val="16"/>
          <w:color w:val="auto"/>
        </w:rPr>
      </w:pPr>
    </w:p>
    <w:p>
      <w:pPr>
        <w:ind w:left="1380" w:right="540" w:hanging="454"/>
        <w:spacing w:after="0" w:line="342" w:lineRule="auto"/>
        <w:tabs>
          <w:tab w:leader="none" w:pos="13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3" w:lineRule="exact"/>
        <w:rPr>
          <w:rFonts w:ascii="Arial" w:cs="Arial" w:eastAsia="Arial" w:hAnsi="Arial"/>
          <w:sz w:val="16"/>
          <w:szCs w:val="16"/>
          <w:color w:val="auto"/>
        </w:rPr>
      </w:pPr>
    </w:p>
    <w:p>
      <w:pPr>
        <w:ind w:left="1380" w:right="260" w:hanging="454"/>
        <w:spacing w:after="0" w:line="277" w:lineRule="auto"/>
        <w:tabs>
          <w:tab w:leader="none" w:pos="13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2014</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2014 as filed with the Securities and Exchange Commission on the date hereof (the “Report”), the undersigned, David L. Keller, Interim Chief Executive Officer of the Company, hereby certifies, pursuant to 18 U.S.C. Section 1350, that:</w:t>
      </w:r>
    </w:p>
    <w:p>
      <w:pPr>
        <w:spacing w:after="0" w:line="200" w:lineRule="exact"/>
        <w:rPr>
          <w:sz w:val="20"/>
          <w:szCs w:val="20"/>
          <w:color w:val="auto"/>
        </w:rPr>
      </w:pPr>
    </w:p>
    <w:p>
      <w:pPr>
        <w:spacing w:after="0" w:line="211" w:lineRule="exact"/>
        <w:rPr>
          <w:sz w:val="20"/>
          <w:szCs w:val="20"/>
          <w:color w:val="auto"/>
        </w:rPr>
      </w:pPr>
    </w:p>
    <w:p>
      <w:pPr>
        <w:ind w:left="920" w:hanging="453"/>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DAVID L. KELLER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2014 as filed with the Securities and Exchange Commission on the date hereof (the "Report"), the undersigned, Mark A. Featherstone, Chief Financial Officer of the Company, hereby certifies, pursuant to 18 U.S.C. Section 1350, that:</w:t>
      </w:r>
    </w:p>
    <w:p>
      <w:pPr>
        <w:spacing w:after="0" w:line="200" w:lineRule="exact"/>
        <w:rPr>
          <w:sz w:val="20"/>
          <w:szCs w:val="20"/>
          <w:color w:val="auto"/>
        </w:rPr>
      </w:pPr>
    </w:p>
    <w:p>
      <w:pPr>
        <w:spacing w:after="0" w:line="211" w:lineRule="exact"/>
        <w:rPr>
          <w:sz w:val="20"/>
          <w:szCs w:val="20"/>
          <w:color w:val="auto"/>
        </w:rPr>
      </w:pPr>
    </w:p>
    <w:p>
      <w:pPr>
        <w:ind w:left="920" w:hanging="453"/>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lvl w:ilvl="1">
      <w:lvlJc w:val="left"/>
      <w:lvlText w:val="-"/>
      <w:numFmt w:val="bullet"/>
      <w:start w:val="1"/>
    </w:lvl>
  </w:abstractNum>
  <w:abstractNum w:abstractNumId="4">
    <w:nsid w:val="440BADFC"/>
    <w:multiLevelType w:val="hybridMultilevel"/>
    <w:lvl w:ilvl="0">
      <w:lvlJc w:val="left"/>
      <w:lvlText w:val="(%1)"/>
      <w:numFmt w:val="decimal"/>
      <w:start w:val="609"/>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lowerLetter"/>
      <w:start w:val="1"/>
    </w:lvl>
    <w:lvl w:ilvl="1">
      <w:lvlJc w:val="left"/>
      <w:lvlText w:val="(%2)"/>
      <w:numFmt w:val="decimal"/>
      <w:start w:val="3"/>
    </w:lvl>
  </w:abstractNum>
  <w:abstractNum w:abstractNumId="27">
    <w:nsid w:val="6DE91B18"/>
    <w:multiLevelType w:val="hybridMultilevel"/>
    <w:lvl w:ilvl="0">
      <w:lvlJc w:val="left"/>
      <w:lvlText w:val="*"/>
      <w:numFmt w:val="bullet"/>
      <w:start w:val="1"/>
    </w:lvl>
    <w:lvl w:ilvl="1">
      <w:lvlJc w:val="left"/>
      <w:lvlText w:val="%2"/>
      <w:numFmt w:val="decimal"/>
      <w:start w:val="10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1"/>
    </w:lvl>
    <w:lvl w:ilvl="1">
      <w:lvlJc w:val="left"/>
      <w:lvlText w:val="(%2)"/>
      <w:numFmt w:val="lowerLetter"/>
      <w:start w:val="1"/>
    </w:lvl>
  </w:abstractNum>
  <w:abstractNum w:abstractNumId="30">
    <w:nsid w:val="32FFF902"/>
    <w:multiLevelType w:val="hybridMultilevel"/>
    <w:lvl w:ilvl="0">
      <w:lvlJc w:val="left"/>
      <w:lvlText w:val="(%1)"/>
      <w:numFmt w:val="decimal"/>
      <w:start w:val="2"/>
    </w:lvl>
    <w:lvl w:ilvl="1">
      <w:lvlJc w:val="left"/>
      <w:lvlText w:val="(%2)"/>
      <w:numFmt w:val="lowerLetter"/>
      <w:start w:val="1"/>
    </w:lvl>
  </w:abstractNum>
  <w:abstractNum w:abstractNumId="31">
    <w:nsid w:val="684A481A"/>
    <w:multiLevelType w:val="hybridMultilevel"/>
    <w:lvl w:ilvl="0">
      <w:lvlJc w:val="left"/>
      <w:lvlText w:val="(%1)"/>
      <w:numFmt w:val="lowerLetter"/>
      <w:start w:val="6"/>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lowerLetter"/>
      <w:start w:val="10"/>
    </w:lvl>
  </w:abstractNum>
  <w:abstractNum w:abstractNumId="34">
    <w:nsid w:val="3DC240FB"/>
    <w:multiLevelType w:val="hybridMultilevel"/>
    <w:lvl w:ilvl="0">
      <w:lvlJc w:val="left"/>
      <w:lvlText w:val="(%1)"/>
      <w:numFmt w:val="lowerLetter"/>
      <w:start w:val="12"/>
    </w:lvl>
  </w:abstractNum>
  <w:abstractNum w:abstractNumId="35">
    <w:nsid w:val="1BA026FA"/>
    <w:multiLevelType w:val="hybridMultilevel"/>
    <w:lvl w:ilvl="0">
      <w:lvlJc w:val="left"/>
      <w:lvlText w:val="(%1)"/>
      <w:numFmt w:val="decimal"/>
      <w:start w:val="3"/>
    </w:lvl>
  </w:abstractNum>
  <w:abstractNum w:abstractNumId="36">
    <w:nsid w:val="79A1DEAA"/>
    <w:multiLevelType w:val="hybridMultilevel"/>
    <w:lvl w:ilvl="0">
      <w:lvlJc w:val="left"/>
      <w:lvlText w:val="(%1)"/>
      <w:numFmt w:val="decimal"/>
      <w:start w:val="4"/>
    </w:lvl>
  </w:abstractNum>
  <w:abstractNum w:abstractNumId="37">
    <w:nsid w:val="75C6C33A"/>
    <w:multiLevelType w:val="hybridMultilevel"/>
    <w:lvl w:ilvl="0">
      <w:lvlJc w:val="left"/>
      <w:lvlText w:val="(%1)"/>
      <w:numFmt w:val="decimal"/>
      <w:start w:val="6"/>
    </w:lvl>
  </w:abstractNum>
  <w:abstractNum w:abstractNumId="38">
    <w:nsid w:val="12E685FB"/>
    <w:multiLevelType w:val="hybridMultilevel"/>
    <w:lvl w:ilvl="0">
      <w:lvlJc w:val="left"/>
      <w:lvlText w:val="(%1)"/>
      <w:numFmt w:val="decimal"/>
      <w:start w:val="7"/>
    </w:lvl>
  </w:abstractNum>
  <w:abstractNum w:abstractNumId="39">
    <w:nsid w:val="70C6A529"/>
    <w:multiLevelType w:val="hybridMultilevel"/>
    <w:lvl w:ilvl="0">
      <w:lvlJc w:val="left"/>
      <w:lvlText w:val="(%1)"/>
      <w:numFmt w:val="decimal"/>
      <w:start w:val="9"/>
    </w:lvl>
  </w:abstractNum>
  <w:abstractNum w:abstractNumId="40">
    <w:nsid w:val="520EEDD1"/>
    <w:multiLevelType w:val="hybridMultilevel"/>
    <w:lvl w:ilvl="0">
      <w:lvlJc w:val="left"/>
      <w:lvlText w:val="(%1)"/>
      <w:numFmt w:val="decimal"/>
      <w:start w:val="10"/>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2"/>
    </w:lvl>
  </w:abstractNum>
  <w:abstractNum w:abstractNumId="44">
    <w:nsid w:val="649BB77C"/>
    <w:multiLevelType w:val="hybridMultilevel"/>
    <w:lvl w:ilvl="0">
      <w:lvlJc w:val="left"/>
      <w:lvlText w:val="(%1)"/>
      <w:numFmt w:val="lowerLetter"/>
      <w:start w:val="3"/>
    </w:lvl>
  </w:abstractNum>
  <w:abstractNum w:abstractNumId="45">
    <w:nsid w:val="275AC794"/>
    <w:multiLevelType w:val="hybridMultilevel"/>
    <w:lvl w:ilvl="0">
      <w:lvlJc w:val="left"/>
      <w:lvlText w:val="(%1)"/>
      <w:numFmt w:val="decimal"/>
      <w:start w:val="12"/>
    </w:lvl>
  </w:abstractNum>
  <w:abstractNum w:abstractNumId="46">
    <w:nsid w:val="39386575"/>
    <w:multiLevelType w:val="hybridMultilevel"/>
    <w:lvl w:ilvl="0">
      <w:lvlJc w:val="left"/>
      <w:lvlText w:val="(%1)"/>
      <w:numFmt w:val="decimal"/>
      <w:start w:val="13"/>
    </w:lvl>
    <w:lvl w:ilvl="1">
      <w:lvlJc w:val="left"/>
      <w:lvlText w:val="(%2)"/>
      <w:numFmt w:val="lowerLetter"/>
      <w:start w:val="1"/>
    </w:lvl>
  </w:abstractNum>
  <w:abstractNum w:abstractNumId="47">
    <w:nsid w:val="1CF10FD8"/>
    <w:multiLevelType w:val="hybridMultilevel"/>
    <w:lvl w:ilvl="0">
      <w:lvlJc w:val="left"/>
      <w:lvlText w:val="(%1)"/>
      <w:numFmt w:val="lowerLetter"/>
      <w:start w:val="2"/>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lowerLetter"/>
      <w:start w:val="4"/>
    </w:lvl>
  </w:abstractNum>
  <w:abstractNum w:abstractNumId="50">
    <w:nsid w:val="47398C89"/>
    <w:multiLevelType w:val="hybridMultilevel"/>
    <w:lvl w:ilvl="0">
      <w:lvlJc w:val="left"/>
      <w:lvlText w:val="(%1)"/>
      <w:numFmt w:val="lowerLetter"/>
      <w:start w:val="5"/>
    </w:lvl>
  </w:abstractNum>
  <w:abstractNum w:abstractNumId="51">
    <w:nsid w:val="354FE9F9"/>
    <w:multiLevelType w:val="hybridMultilevel"/>
    <w:lvl w:ilvl="0">
      <w:lvlJc w:val="left"/>
      <w:lvlText w:val="(%1)"/>
      <w:numFmt w:val="decimal"/>
      <w:start w:val="14"/>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3"/>
    </w:lvl>
  </w:abstractNum>
  <w:abstractNum w:abstractNumId="54">
    <w:nsid w:val="D34B6A8"/>
    <w:multiLevelType w:val="hybridMultilevel"/>
    <w:lvl w:ilvl="0">
      <w:lvlJc w:val="left"/>
      <w:lvlText w:val="%1."/>
      <w:numFmt w:val="decimal"/>
      <w:start w:val="1"/>
    </w:lvl>
    <w:lvl w:ilvl="1">
      <w:lvlJc w:val="left"/>
      <w:lvlText w:val="(%2)"/>
      <w:numFmt w:val="lowerLetter"/>
      <w:start w:val="1"/>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lowerLetter"/>
      <w:start w:val="4"/>
    </w:lvl>
  </w:abstractNum>
  <w:abstractNum w:abstractNumId="57">
    <w:nsid w:val="61574095"/>
    <w:multiLevelType w:val="hybridMultilevel"/>
    <w:lvl w:ilvl="0">
      <w:lvlJc w:val="left"/>
      <w:lvlText w:val="%1."/>
      <w:numFmt w:val="decimal"/>
      <w:start w:val="3"/>
    </w:lvl>
    <w:lvl w:ilvl="1">
      <w:lvlJc w:val="left"/>
      <w:lvlText w:val="(%2)"/>
      <w:numFmt w:val="lowerLetter"/>
      <w:start w:val="1"/>
    </w:lvl>
  </w:abstractNum>
  <w:abstractNum w:abstractNumId="58">
    <w:nsid w:val="7E0C57B1"/>
    <w:multiLevelType w:val="hybridMultilevel"/>
    <w:lvl w:ilvl="0">
      <w:lvlJc w:val="left"/>
      <w:lvlText w:val="%1."/>
      <w:numFmt w:val="decimal"/>
      <w:start w:val="8"/>
    </w:lvl>
    <w:lvl w:ilvl="1">
      <w:lvlJc w:val="left"/>
      <w:lvlText w:val="(%2)"/>
      <w:numFmt w:val="lowerLetter"/>
      <w:start w:val="1"/>
    </w:lvl>
  </w:abstractNum>
  <w:abstractNum w:abstractNumId="59">
    <w:nsid w:val="77AE35EB"/>
    <w:multiLevelType w:val="hybridMultilevel"/>
    <w:lvl w:ilvl="0">
      <w:lvlJc w:val="left"/>
      <w:lvlText w:val="%1."/>
      <w:numFmt w:val="decimal"/>
      <w:start w:val="1"/>
    </w:lvl>
    <w:lvl w:ilvl="1">
      <w:lvlJc w:val="left"/>
      <w:lvlText w:val="%2."/>
      <w:numFmt w:val="lowerLetter"/>
      <w:start w:val="1"/>
    </w:lvl>
  </w:abstractNum>
  <w:abstractNum w:abstractNumId="60">
    <w:nsid w:val="579BE4F1"/>
    <w:multiLevelType w:val="hybridMultilevel"/>
    <w:lvl w:ilvl="0">
      <w:lvlJc w:val="left"/>
      <w:lvlText w:val="%1."/>
      <w:numFmt w:val="decimal"/>
      <w:start w:val="2"/>
    </w:lvl>
  </w:abstractNum>
  <w:abstractNum w:abstractNumId="61">
    <w:nsid w:val="310C50B3"/>
    <w:multiLevelType w:val="hybridMultilevel"/>
    <w:lvl w:ilvl="0">
      <w:lvlJc w:val="left"/>
      <w:lvlText w:val="%1."/>
      <w:numFmt w:val="decimal"/>
      <w:start w:val="10"/>
    </w:lvl>
    <w:lvl w:ilvl="1">
      <w:lvlJc w:val="left"/>
      <w:lvlText w:val="%2."/>
      <w:numFmt w:val="lowerLetter"/>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2019-12-07T14:43:17Z</dcterms:created>
  <dcterms:modified xsi:type="dcterms:W3CDTF">2019-12-07T14:43:17Z</dcterms:modified>
</cp:coreProperties>
</file>