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 SECURITIES AND EXCHANGE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20549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71" w:lineRule="exact"/>
        <w:rPr>
          <w:sz w:val="24"/>
          <w:szCs w:val="24"/>
          <w:color w:val="auto"/>
        </w:rPr>
      </w:pPr>
    </w:p>
    <w:p>
      <w:pPr>
        <w:ind w:left="1380" w:right="1240" w:hanging="1156"/>
        <w:spacing w:after="0" w:line="261" w:lineRule="auto"/>
        <w:tabs>
          <w:tab w:leader="none" w:pos="1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April 30, 2013</w:t>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1380" w:hanging="1156"/>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1380"/>
        <w:spacing w:after="0"/>
        <w:tabs>
          <w:tab w:leader="none" w:pos="4140" w:val="left"/>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172085</wp:posOffset>
            </wp:positionV>
            <wp:extent cx="147510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0861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468" w:right="2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1590 REED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PENNINGTON, NJ 08534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4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66"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6" w:lineRule="exact"/>
        <w:rPr>
          <w:sz w:val="24"/>
          <w:szCs w:val="24"/>
          <w:color w:val="auto"/>
        </w:rPr>
      </w:pPr>
    </w:p>
    <w:p>
      <w:pPr>
        <w:ind w:left="2140"/>
        <w:spacing w:after="0"/>
        <w:tabs>
          <w:tab w:leader="none" w:pos="706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Name of Exchange on Which Registered</w:t>
      </w:r>
    </w:p>
    <w:p>
      <w:pPr>
        <w:sectPr>
          <w:pgSz w:w="11900" w:h="16838" w:orient="portrait"/>
          <w:cols w:equalWidth="0" w:num="1">
            <w:col w:w="11420"/>
          </w:cols>
          <w:pgMar w:left="240" w:top="468" w:right="239" w:bottom="1440" w:gutter="0" w:footer="0" w:header="0"/>
          <w:type w:val="continuous"/>
        </w:sectPr>
      </w:pPr>
    </w:p>
    <w:p>
      <w:pPr>
        <w:spacing w:after="0" w:line="229"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Common Stock, par value $0.001</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The Nasdaq Global Market</w:t>
      </w:r>
    </w:p>
    <w:p>
      <w:pPr>
        <w:spacing w:after="0" w:line="200" w:lineRule="exact"/>
        <w:rPr>
          <w:sz w:val="24"/>
          <w:szCs w:val="24"/>
          <w:color w:val="auto"/>
        </w:rPr>
      </w:pPr>
    </w:p>
    <w:p>
      <w:pPr>
        <w:sectPr>
          <w:pgSz w:w="11900" w:h="16838" w:orient="portrait"/>
          <w:cols w:equalWidth="0" w:num="2">
            <w:col w:w="6920" w:space="720"/>
            <w:col w:w="3780"/>
          </w:cols>
          <w:pgMar w:left="240" w:top="468" w:right="239" w:bottom="1440" w:gutter="0" w:footer="0" w:header="0"/>
          <w:type w:val="continuous"/>
        </w:sectPr>
      </w:pP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468" w:right="239" w:bottom="1440" w:gutter="0" w:footer="0" w:header="0"/>
          <w:type w:val="continuous"/>
        </w:sectPr>
      </w:pPr>
    </w:p>
    <w:p>
      <w:pPr>
        <w:spacing w:after="0" w:line="2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000" w:space="240"/>
            <w:col w:w="2180"/>
          </w:cols>
          <w:pgMar w:left="240" w:top="468" w:right="239" w:bottom="1440" w:gutter="0" w:footer="0" w:header="0"/>
          <w:type w:val="continuous"/>
        </w:sectPr>
      </w:pPr>
    </w:p>
    <w:p>
      <w:pPr>
        <w:spacing w:after="0" w:line="8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80" w:space="220"/>
            <w:col w:w="2020"/>
          </w:cols>
          <w:pgMar w:left="240" w:top="468" w:right="239" w:bottom="1440" w:gutter="0" w:footer="0" w:header="0"/>
          <w:type w:val="continuous"/>
        </w:sectPr>
      </w:pPr>
    </w:p>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4" w:lineRule="exact"/>
        <w:rPr>
          <w:sz w:val="24"/>
          <w:szCs w:val="24"/>
          <w:color w:val="auto"/>
        </w:rPr>
      </w:pPr>
    </w:p>
    <w:p>
      <w:pPr>
        <w:ind w:left="2880" w:right="680" w:hanging="4033"/>
        <w:spacing w:after="0" w:line="239" w:lineRule="exact"/>
        <w:tabs>
          <w:tab w:leader="none" w:pos="2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11"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ind w:right="80"/>
        <w:spacing w:after="0" w:line="264"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2012, the last business day of the registrant's most recently completed second fiscal quarter, was $23.8 million based on the closing sale price of the registrant's common stock on that date as reported on the Nasdaq Global Market.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June 30, 2013 was 10,355,140.</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our Proxy Statement for the 2013 Annual Meeting of Stockholders, to be filed within 120 days of April 30, 2013, are incorporated by reference in Part III. Such Proxy Statement, except for the parts therein which have been specifically incorporated by reference, shall not be deemed “filed” for the purposes of this Annual Report or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25"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6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OCEAN POWER</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rPr>
              <w:t>TECHNOLOGIES,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gridSpan w:val="15"/>
          </w:tcPr>
          <w:p>
            <w:pPr>
              <w:jc w:val="center"/>
              <w:ind w:right="3120"/>
              <w:spacing w:after="0"/>
              <w:rPr>
                <w:sz w:val="20"/>
                <w:szCs w:val="20"/>
                <w:color w:val="auto"/>
              </w:rPr>
            </w:pPr>
            <w:r>
              <w:rPr>
                <w:rFonts w:ascii="Arial" w:cs="Arial" w:eastAsia="Arial" w:hAnsi="Arial"/>
                <w:sz w:val="18"/>
                <w:szCs w:val="18"/>
                <w:b w:val="1"/>
                <w:bCs w:val="1"/>
                <w:color w:val="auto"/>
              </w:rPr>
              <w:t>INDEX TO REPORT ON FORM 10-K</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0" w:type="dxa"/>
            <w:vAlign w:val="bottom"/>
            <w:gridSpan w:val="10"/>
            <w:shd w:val="clear" w:color="auto" w:fill="CCEEFF"/>
          </w:tcPr>
          <w:p>
            <w:pPr>
              <w:jc w:val="center"/>
              <w:ind w:right="4420"/>
              <w:spacing w:after="0" w:line="176" w:lineRule="exact"/>
              <w:rPr>
                <w:sz w:val="20"/>
                <w:szCs w:val="20"/>
                <w:color w:val="auto"/>
              </w:rPr>
            </w:pPr>
            <w:r>
              <w:rPr>
                <w:rFonts w:ascii="Arial" w:cs="Arial" w:eastAsia="Arial" w:hAnsi="Arial"/>
                <w:sz w:val="18"/>
                <w:szCs w:val="18"/>
                <w:b w:val="1"/>
                <w:bCs w:val="1"/>
                <w:color w:val="auto"/>
                <w:w w:val="98"/>
              </w:rPr>
              <w:t>PART I</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1:</w:t>
            </w:r>
          </w:p>
        </w:tc>
        <w:tc>
          <w:tcPr>
            <w:tcW w:w="4300" w:type="dxa"/>
            <w:vAlign w:val="bottom"/>
            <w:tcBorders>
              <w:top w:val="single" w:sz="8" w:color="CCEEFF"/>
            </w:tcBorders>
            <w:gridSpan w:val="16"/>
          </w:tcPr>
          <w:p>
            <w:pPr>
              <w:spacing w:after="0" w:line="176" w:lineRule="exact"/>
              <w:rPr>
                <w:sz w:val="20"/>
                <w:szCs w:val="20"/>
                <w:color w:val="auto"/>
              </w:rPr>
            </w:pPr>
            <w:r>
              <w:rPr>
                <w:rFonts w:ascii="Arial" w:cs="Arial" w:eastAsia="Arial" w:hAnsi="Arial"/>
                <w:sz w:val="18"/>
                <w:szCs w:val="18"/>
                <w:color w:val="auto"/>
              </w:rPr>
              <w:t>Business</w:t>
            </w:r>
          </w:p>
        </w:tc>
        <w:tc>
          <w:tcPr>
            <w:tcW w:w="580" w:type="dxa"/>
            <w:vAlign w:val="bottom"/>
            <w:tcBorders>
              <w:top w:val="single" w:sz="8" w:color="auto"/>
            </w:tcBorders>
            <w:gridSpan w:val="2"/>
          </w:tcPr>
          <w:p>
            <w:pPr>
              <w:spacing w:after="0"/>
              <w:rPr>
                <w:sz w:val="15"/>
                <w:szCs w:val="15"/>
                <w:color w:val="auto"/>
              </w:rPr>
            </w:pPr>
          </w:p>
        </w:tc>
        <w:tc>
          <w:tcPr>
            <w:tcW w:w="4420" w:type="dxa"/>
            <w:vAlign w:val="bottom"/>
            <w:tcBorders>
              <w:top w:val="single" w:sz="8" w:color="CCEEFF"/>
            </w:tcBorders>
            <w:gridSpan w:val="8"/>
          </w:tcPr>
          <w:p>
            <w:pPr>
              <w:spacing w:after="0"/>
              <w:rPr>
                <w:sz w:val="15"/>
                <w:szCs w:val="15"/>
                <w:color w:val="auto"/>
              </w:rPr>
            </w:pPr>
          </w:p>
        </w:tc>
        <w:tc>
          <w:tcPr>
            <w:tcW w:w="940" w:type="dxa"/>
            <w:vAlign w:val="bottom"/>
            <w:tcBorders>
              <w:top w:val="single" w:sz="8" w:color="CCEEFF"/>
            </w:tcBorders>
          </w:tcPr>
          <w:p>
            <w:pPr>
              <w:jc w:val="right"/>
              <w:ind w:right="35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Item 1A:</w:t>
            </w:r>
          </w:p>
        </w:tc>
        <w:tc>
          <w:tcPr>
            <w:tcW w:w="520" w:type="dxa"/>
            <w:vAlign w:val="bottom"/>
            <w:shd w:val="clear" w:color="auto" w:fill="CCEEFF"/>
          </w:tcPr>
          <w:p>
            <w:pPr>
              <w:spacing w:after="0"/>
              <w:rPr>
                <w:sz w:val="15"/>
                <w:szCs w:val="15"/>
                <w:color w:val="auto"/>
              </w:rPr>
            </w:pP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Risk Factors</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tcPr>
          <w:p>
            <w:pPr>
              <w:spacing w:after="0" w:line="176" w:lineRule="exact"/>
              <w:rPr>
                <w:sz w:val="20"/>
                <w:szCs w:val="20"/>
                <w:color w:val="auto"/>
              </w:rPr>
            </w:pPr>
            <w:r>
              <w:rPr>
                <w:rFonts w:ascii="Arial" w:cs="Arial" w:eastAsia="Arial" w:hAnsi="Arial"/>
                <w:sz w:val="18"/>
                <w:szCs w:val="18"/>
                <w:color w:val="auto"/>
                <w:w w:val="92"/>
              </w:rPr>
              <w:t>Item 1B:</w:t>
            </w:r>
          </w:p>
        </w:tc>
        <w:tc>
          <w:tcPr>
            <w:tcW w:w="520" w:type="dxa"/>
            <w:vAlign w:val="bottom"/>
          </w:tcPr>
          <w:p>
            <w:pPr>
              <w:spacing w:after="0"/>
              <w:rPr>
                <w:sz w:val="15"/>
                <w:szCs w:val="15"/>
                <w:color w:val="auto"/>
              </w:rPr>
            </w:pP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Unresolved Staff Comments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Properties</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3:</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Legal Proceedings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Mine Safety Disclosures</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40" w:type="dxa"/>
            <w:vAlign w:val="bottom"/>
            <w:gridSpan w:val="11"/>
            <w:shd w:val="clear" w:color="auto" w:fill="CCEEFF"/>
          </w:tcPr>
          <w:p>
            <w:pPr>
              <w:jc w:val="center"/>
              <w:ind w:right="4380"/>
              <w:spacing w:after="0" w:line="176" w:lineRule="exact"/>
              <w:rPr>
                <w:sz w:val="20"/>
                <w:szCs w:val="20"/>
                <w:color w:val="auto"/>
              </w:rPr>
            </w:pPr>
            <w:r>
              <w:rPr>
                <w:rFonts w:ascii="Arial" w:cs="Arial" w:eastAsia="Arial" w:hAnsi="Arial"/>
                <w:sz w:val="18"/>
                <w:szCs w:val="18"/>
                <w:b w:val="1"/>
                <w:bCs w:val="1"/>
                <w:color w:val="auto"/>
              </w:rPr>
              <w:t>PART II</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5:</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Selected Financial Data</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Item 7A:</w:t>
            </w:r>
          </w:p>
        </w:tc>
        <w:tc>
          <w:tcPr>
            <w:tcW w:w="520" w:type="dxa"/>
            <w:vAlign w:val="bottom"/>
            <w:shd w:val="clear" w:color="auto" w:fill="CCEEFF"/>
          </w:tcPr>
          <w:p>
            <w:pPr>
              <w:spacing w:after="0"/>
              <w:rPr>
                <w:sz w:val="17"/>
                <w:szCs w:val="17"/>
                <w:color w:val="auto"/>
              </w:rPr>
            </w:pP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auto"/>
            </w:tcBorders>
            <w:gridSpan w:val="5"/>
          </w:tcPr>
          <w:p>
            <w:pPr>
              <w:spacing w:after="0" w:line="176" w:lineRule="exact"/>
              <w:rPr>
                <w:sz w:val="20"/>
                <w:szCs w:val="20"/>
                <w:color w:val="auto"/>
              </w:rPr>
            </w:pPr>
            <w:r>
              <w:rPr>
                <w:rFonts w:ascii="Arial" w:cs="Arial" w:eastAsia="Arial" w:hAnsi="Arial"/>
                <w:sz w:val="18"/>
                <w:szCs w:val="18"/>
                <w:color w:val="auto"/>
              </w:rPr>
              <w:t>Item 8:</w:t>
            </w:r>
          </w:p>
        </w:tc>
        <w:tc>
          <w:tcPr>
            <w:tcW w:w="520" w:type="dxa"/>
            <w:vAlign w:val="bottom"/>
            <w:tcBorders>
              <w:top w:val="single" w:sz="8" w:color="CCEEFF"/>
            </w:tcBorders>
          </w:tcPr>
          <w:p>
            <w:pPr>
              <w:spacing w:after="0"/>
              <w:rPr>
                <w:sz w:val="15"/>
                <w:szCs w:val="15"/>
                <w:color w:val="auto"/>
              </w:rPr>
            </w:pPr>
          </w:p>
        </w:tc>
        <w:tc>
          <w:tcPr>
            <w:tcW w:w="4360" w:type="dxa"/>
            <w:vAlign w:val="bottom"/>
            <w:tcBorders>
              <w:top w:val="single" w:sz="8" w:color="auto"/>
            </w:tcBorders>
            <w:gridSpan w:val="17"/>
          </w:tcPr>
          <w:p>
            <w:pPr>
              <w:spacing w:after="0" w:line="176" w:lineRule="exact"/>
              <w:rPr>
                <w:sz w:val="20"/>
                <w:szCs w:val="20"/>
                <w:color w:val="auto"/>
              </w:rPr>
            </w:pPr>
            <w:r>
              <w:rPr>
                <w:rFonts w:ascii="Arial" w:cs="Arial" w:eastAsia="Arial" w:hAnsi="Arial"/>
                <w:sz w:val="18"/>
                <w:szCs w:val="18"/>
                <w:color w:val="auto"/>
              </w:rPr>
              <w:t>Financial Statements and Supplementary Data</w:t>
            </w:r>
          </w:p>
        </w:tc>
        <w:tc>
          <w:tcPr>
            <w:tcW w:w="4940" w:type="dxa"/>
            <w:vAlign w:val="bottom"/>
            <w:tcBorders>
              <w:top w:val="single" w:sz="8" w:color="CCEEFF"/>
            </w:tcBorders>
            <w:gridSpan w:val="9"/>
          </w:tcPr>
          <w:p>
            <w:pPr>
              <w:spacing w:after="0"/>
              <w:rPr>
                <w:sz w:val="15"/>
                <w:szCs w:val="15"/>
                <w:color w:val="auto"/>
              </w:rPr>
            </w:pPr>
          </w:p>
        </w:tc>
        <w:tc>
          <w:tcPr>
            <w:tcW w:w="940" w:type="dxa"/>
            <w:vAlign w:val="bottom"/>
            <w:tcBorders>
              <w:top w:val="single" w:sz="8" w:color="CCEEFF"/>
            </w:tcBorders>
          </w:tcPr>
          <w:p>
            <w:pPr>
              <w:jc w:val="right"/>
              <w:ind w:right="3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9A:</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Controls and Procedures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0" w:type="dxa"/>
            <w:vAlign w:val="bottom"/>
            <w:gridSpan w:val="13"/>
            <w:shd w:val="clear" w:color="auto" w:fill="CCEEFF"/>
          </w:tcPr>
          <w:p>
            <w:pPr>
              <w:jc w:val="center"/>
              <w:ind w:right="4200"/>
              <w:spacing w:after="0" w:line="176" w:lineRule="exact"/>
              <w:rPr>
                <w:sz w:val="20"/>
                <w:szCs w:val="20"/>
                <w:color w:val="auto"/>
              </w:rPr>
            </w:pPr>
            <w:r>
              <w:rPr>
                <w:rFonts w:ascii="Arial" w:cs="Arial" w:eastAsia="Arial" w:hAnsi="Arial"/>
                <w:sz w:val="18"/>
                <w:szCs w:val="18"/>
                <w:b w:val="1"/>
                <w:bCs w:val="1"/>
                <w:color w:val="auto"/>
              </w:rPr>
              <w:t>PART III</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10:</w:t>
            </w:r>
          </w:p>
        </w:tc>
        <w:tc>
          <w:tcPr>
            <w:tcW w:w="4240" w:type="dxa"/>
            <w:vAlign w:val="bottom"/>
            <w:tcBorders>
              <w:top w:val="single" w:sz="8" w:color="CCEEFF"/>
            </w:tcBorders>
            <w:gridSpan w:val="14"/>
          </w:tcPr>
          <w:p>
            <w:pPr>
              <w:spacing w:after="0" w:line="176" w:lineRule="exact"/>
              <w:rPr>
                <w:sz w:val="20"/>
                <w:szCs w:val="20"/>
                <w:color w:val="auto"/>
              </w:rPr>
            </w:pPr>
            <w:r>
              <w:rPr>
                <w:rFonts w:ascii="Arial" w:cs="Arial" w:eastAsia="Arial" w:hAnsi="Arial"/>
                <w:sz w:val="18"/>
                <w:szCs w:val="18"/>
                <w:color w:val="auto"/>
                <w:w w:val="93"/>
              </w:rPr>
              <w:t>Directors, Executive Officers and Corporate Governance</w:t>
            </w:r>
          </w:p>
        </w:tc>
        <w:tc>
          <w:tcPr>
            <w:tcW w:w="720" w:type="dxa"/>
            <w:vAlign w:val="bottom"/>
            <w:tcBorders>
              <w:top w:val="single" w:sz="8" w:color="auto"/>
            </w:tcBorders>
            <w:gridSpan w:val="6"/>
          </w:tcPr>
          <w:p>
            <w:pPr>
              <w:spacing w:after="0"/>
              <w:rPr>
                <w:sz w:val="15"/>
                <w:szCs w:val="15"/>
                <w:color w:val="auto"/>
              </w:rPr>
            </w:pPr>
          </w:p>
        </w:tc>
        <w:tc>
          <w:tcPr>
            <w:tcW w:w="4340" w:type="dxa"/>
            <w:vAlign w:val="bottom"/>
            <w:tcBorders>
              <w:top w:val="single" w:sz="8" w:color="CCEEFF"/>
            </w:tcBorders>
            <w:gridSpan w:val="6"/>
          </w:tcPr>
          <w:p>
            <w:pPr>
              <w:spacing w:after="0"/>
              <w:rPr>
                <w:sz w:val="15"/>
                <w:szCs w:val="15"/>
                <w:color w:val="auto"/>
              </w:rPr>
            </w:pPr>
          </w:p>
        </w:tc>
        <w:tc>
          <w:tcPr>
            <w:tcW w:w="940" w:type="dxa"/>
            <w:vAlign w:val="bottom"/>
            <w:tcBorders>
              <w:top w:val="single" w:sz="8" w:color="CCEEFF"/>
            </w:tcBorders>
          </w:tcPr>
          <w:p>
            <w:pPr>
              <w:jc w:val="right"/>
              <w:ind w:right="35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Executive Compensation</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12:</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9"/>
              </w:rPr>
              <w:t>Item 13:</w:t>
            </w:r>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5460" w:type="dxa"/>
            <w:vAlign w:val="bottom"/>
            <w:tcBorders>
              <w:bottom w:val="single" w:sz="8" w:color="auto"/>
            </w:tcBorders>
            <w:gridSpan w:val="21"/>
            <w:shd w:val="clear" w:color="auto" w:fill="CCEEFF"/>
          </w:tcPr>
          <w:p>
            <w:pPr>
              <w:spacing w:after="0" w:line="176" w:lineRule="exact"/>
              <w:rPr>
                <w:sz w:val="20"/>
                <w:szCs w:val="20"/>
                <w:color w:val="auto"/>
              </w:rPr>
            </w:pPr>
            <w:r>
              <w:rPr>
                <w:rFonts w:ascii="Arial" w:cs="Arial" w:eastAsia="Arial" w:hAnsi="Arial"/>
                <w:sz w:val="18"/>
                <w:szCs w:val="18"/>
                <w:color w:val="auto"/>
                <w:w w:val="89"/>
              </w:rPr>
              <w:t>Certain Relationships and Related Transactions, and Director Independence</w:t>
            </w:r>
          </w:p>
        </w:tc>
        <w:tc>
          <w:tcPr>
            <w:tcW w:w="3840" w:type="dxa"/>
            <w:vAlign w:val="bottom"/>
            <w:tcBorders>
              <w:bottom w:val="single" w:sz="8" w:color="CCEEFF"/>
            </w:tcBorders>
            <w:gridSpan w:val="5"/>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gridSpan w:val="6"/>
          </w:tcPr>
          <w:p>
            <w:pPr>
              <w:spacing w:after="0" w:line="176" w:lineRule="exact"/>
              <w:rPr>
                <w:sz w:val="20"/>
                <w:szCs w:val="20"/>
                <w:color w:val="auto"/>
              </w:rPr>
            </w:pPr>
            <w:r>
              <w:rPr>
                <w:rFonts w:ascii="Arial" w:cs="Arial" w:eastAsia="Arial" w:hAnsi="Arial"/>
                <w:sz w:val="18"/>
                <w:szCs w:val="18"/>
                <w:color w:val="auto"/>
              </w:rPr>
              <w:t>Item 14:</w:t>
            </w:r>
          </w:p>
        </w:tc>
        <w:tc>
          <w:tcPr>
            <w:tcW w:w="9300" w:type="dxa"/>
            <w:vAlign w:val="bottom"/>
            <w:gridSpan w:val="26"/>
          </w:tcPr>
          <w:p>
            <w:pPr>
              <w:spacing w:after="0" w:line="176" w:lineRule="exact"/>
              <w:rPr>
                <w:sz w:val="20"/>
                <w:szCs w:val="20"/>
                <w:color w:val="auto"/>
              </w:rPr>
            </w:pPr>
            <w:r>
              <w:rPr>
                <w:rFonts w:ascii="Arial" w:cs="Arial" w:eastAsia="Arial" w:hAnsi="Arial"/>
                <w:sz w:val="18"/>
                <w:szCs w:val="18"/>
                <w:color w:val="auto"/>
              </w:rPr>
              <w:t>Principal Accountant Fees and Services</w:t>
            </w:r>
          </w:p>
        </w:tc>
        <w:tc>
          <w:tcPr>
            <w:tcW w:w="94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12"/>
          </w:tcPr>
          <w:p>
            <w:pPr>
              <w:jc w:val="center"/>
              <w:ind w:right="4340"/>
              <w:spacing w:after="0" w:line="176" w:lineRule="exact"/>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3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Exhibits, Financial Statement Schedules</w:t>
            </w:r>
          </w:p>
        </w:tc>
        <w:tc>
          <w:tcPr>
            <w:tcW w:w="94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648"/>
        <w:spacing w:after="0" w:line="197"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The Ocean Power Technologies logo, CellBuoy</w:t>
      </w:r>
      <w:r>
        <w:rPr>
          <w:rFonts w:ascii="Arial" w:cs="Arial" w:eastAsia="Arial" w:hAnsi="Arial"/>
          <w:sz w:val="30"/>
          <w:szCs w:val="30"/>
          <w:color w:val="auto"/>
          <w:vertAlign w:val="superscript"/>
        </w:rPr>
        <w:t>®</w:t>
      </w:r>
      <w:r>
        <w:rPr>
          <w:rFonts w:ascii="Arial" w:cs="Arial" w:eastAsia="Arial" w:hAnsi="Arial"/>
          <w:sz w:val="18"/>
          <w:szCs w:val="18"/>
          <w:color w:val="auto"/>
        </w:rPr>
        <w:t>, Talk on Water</w:t>
      </w:r>
      <w:r>
        <w:rPr>
          <w:rFonts w:ascii="Arial" w:cs="Arial" w:eastAsia="Arial" w:hAnsi="Arial"/>
          <w:sz w:val="30"/>
          <w:szCs w:val="30"/>
          <w:color w:val="auto"/>
          <w:vertAlign w:val="superscript"/>
        </w:rPr>
        <w:t>®</w:t>
      </w:r>
      <w:r>
        <w:rPr>
          <w:rFonts w:ascii="Arial" w:cs="Arial" w:eastAsia="Arial" w:hAnsi="Arial"/>
          <w:sz w:val="18"/>
          <w:szCs w:val="18"/>
          <w:color w:val="auto"/>
        </w:rPr>
        <w:t>, Making Waves in Power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Powertower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trademarks or service marks of Ocean Power Technologies, Inc. All other trademarks appearing in this annual report are the property of their respective holders.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fiscal year ends on April 30. References to fiscal 2013 are to the fiscal year ended April 30, 2013.</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67"/>
        <w:spacing w:after="0" w:line="274"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our customers operations and maintenance services for our PowerBuoy systems. In addition, we continue to develop and expect to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and until we achieve positive cash flow from the planned commercialization of our products and services.</w:t>
      </w:r>
    </w:p>
    <w:p>
      <w:pPr>
        <w:spacing w:after="0" w:line="180"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Our PowerBuoy system is based on modular, ocean-going buoys, which we have been ocean testing for over fifteen years. The rising and falling of the waves moves the buoy-like structure creating mechanical energy that our proprietary technologies convert into electricity. We have tested and developed wave power generation and control technology using proven equipment and processes in novel applications and have deployed and maintained our systems in the ocean. The PowerBuoy technology has the unique, patented capability to electronically "tune" itself automatically as wave characteristics change. This enables the PowerBuoy to optimize its efficiency and resulting power output in dynamic ocean wave conditions. Our two PowerBuoy product lines are designed for the following applications:</w:t>
      </w:r>
    </w:p>
    <w:p>
      <w:pPr>
        <w:spacing w:after="0" w:line="193" w:lineRule="exact"/>
        <w:rPr>
          <w:sz w:val="20"/>
          <w:szCs w:val="20"/>
          <w:color w:val="auto"/>
        </w:rPr>
      </w:pPr>
    </w:p>
    <w:p>
      <w:pPr>
        <w:jc w:val="both"/>
        <w:ind w:left="660" w:hanging="328"/>
        <w:spacing w:after="0" w:line="26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utility PowerBuoy system is capable of supplying electricity to a local or regional electric power grid. Our wave power stations will be comprised of a single PowerBuoy system or an integrated array of PowerBuoy systems, plus the remaining components required to deliver electricity to a power grid. We intend to sell our utility PowerBuoy system to utilities and other electrical power producers seeking to add electricity generated by wave energy to their existing electricity supply. In July 2007, our PowerBuoy interface with the electrical utility power grid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utility scale Mark 3 PowerBuoy (previously referred to as the “150kW PowerBuoy” or “PB150”) structure and mooring system achieved independent certification from Lloyd’s Register. This certification confirms that the PB150 design complies with certain international standards promulgated for floating offshore installations. The Lloyd’s Register process included detailed design analysis and appraisals, addressing the Mark 3’s structure, hydrodynamics, mooring and anchoring. This PowerBuoy was deployed off the coast of Scotland from April 2011 through October 2011.</w:t>
      </w:r>
    </w:p>
    <w:p>
      <w:pPr>
        <w:spacing w:after="0" w:line="187"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autonomous PowerBuoy system is designed to generate power for use independent of the power grid in remote locations. We have successfully operated an autonomous PowerBuoy APB-350 off the coast of New Jersey, which we designed and manufactured under the US Navy’s Littoral Expeditionary Autonomous PowerBuoy (LEAP) program for coastal security and maritime surveillance. The APB-350 PowerBuoy structure, incorporating a unique power take-off and onboard system for energy storage and management, is significantly smaller than our standard utility PowerBuoy. With the funding from the US Navy, we have been able to refine our PowerBuoy system while simultaneously preparing for commercial deployment to address a particular customer need. The APB-350 Autonomous PowerBuoy is designed to provide persistent, off-grid clean energy in remote ocean locations. We believe there are a variety of potential applications for this system, including homeland security, offshore oil and gas platforms, aquaculture and ocean-based communication and data gathering such as for tsunami warnings and seismic surveys. Within the Homeland Security market sector, in 2012 we were awarded by the U.S. Department of Homeland Security a Cooperative Research and Development Agreement, or CRADA, which will utilize the same APB-350 Autonomous PowerBuoy as was deployed off the coast of New Jersey in 2011 under the LEAP program.</w:t>
      </w:r>
    </w:p>
    <w:p>
      <w:pPr>
        <w:spacing w:after="0" w:line="21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product development and engineering efforts are focused primarily on increasing energy output, reliability and scalability of the design of our utility PowerBuoy system, with the goal of generating electricity from our technology at a levelized cost of energy competitive with other alternative sources of energy. Currently, we are marketing Mark 3 PowerBuoys that drive a peak rated generator with a maximum output of 866 kW. We have also initiated product development efforts in connection with our Mark 4 PowerBuoy (previously referred to as the “500 kW PowerBuoy” or “PB500”). The Mark 4 PowerBuoy is planned to drive a peak rated generator of 2.4 MW. Under a multi-year planned program, structural development of the Mark 4’s major subsystems is in progress, and wave tank tests of models have been performed. Assuming we are able to reach significant annual manufacturing volume levels of our Mark 4 PowerBuoy systems and increase the energy output of our PowerBuoy systems, we believe we will be able to offer a renewable electricity solution that competes with other existing renewable energy systems and, in certain cases, with existing fossil fuel systems in key markets.</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both"/>
        <w:ind w:firstLine="405"/>
        <w:spacing w:after="0" w:line="264" w:lineRule="auto"/>
        <w:rPr>
          <w:sz w:val="20"/>
          <w:szCs w:val="20"/>
          <w:color w:val="auto"/>
        </w:rPr>
      </w:pPr>
      <w:r>
        <w:rPr>
          <w:rFonts w:ascii="Arial" w:cs="Arial" w:eastAsia="Arial" w:hAnsi="Arial"/>
          <w:sz w:val="18"/>
          <w:szCs w:val="18"/>
          <w:color w:val="auto"/>
        </w:rPr>
        <w:t>If we achieve economies of scale for our Mark 3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or where sufficient subsidies are available.</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continue to develop and expect to market our undersea substation pod (USP) and marine energy infrastructure services to other companies in the marine energy sector. We completed the successful in-ocean trials of our USP in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offshore energy systems developed by other companies. The required switching and protection circuits for the individual marine energy devices are also included in the USP.</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 important element of our business strategy is to expand our partnerships in key market areas. Our recent relationships are with the following:</w:t>
      </w:r>
    </w:p>
    <w:p>
      <w:pPr>
        <w:spacing w:after="0" w:line="237" w:lineRule="exact"/>
        <w:rPr>
          <w:sz w:val="20"/>
          <w:szCs w:val="20"/>
          <w:color w:val="auto"/>
        </w:rPr>
      </w:pPr>
    </w:p>
    <w:p>
      <w:pPr>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Commonwealth of Australia, which granted Victorian Wave Partners Pty. Ltd (VWP) an A$66.5 million conditional grant in connection with a planned 19 megawatt (MW) (62.5 MW peak generator rating) wave power project off the cost of Victoria, Australia. Our Australian subsidiary Ocean Power Technologies (Australasia) Pty. Ltd owns 100% of VWP.</w:t>
      </w:r>
    </w:p>
    <w:p>
      <w:pPr>
        <w:spacing w:after="0" w:line="181"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Lockheed Martin, which is providing design, manufacturing, system integration and supply chain management expertise to enhance our technology, under the DOE grant we received for the Mark 3 PowerBuoy project near Reedsport, Oregon. This builds on previous work we conducted with Lockheed Martin. In addition, both companies entered into a teaming agreement relating to the VWP wave energy project in Victoria, Australia.</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Mitsui Engineering and Shipbuilding, with which we are working to develop a wave power project in Japan.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 Navy:</w:t>
      </w:r>
    </w:p>
    <w:p>
      <w:pPr>
        <w:spacing w:after="0" w:line="225" w:lineRule="exact"/>
        <w:rPr>
          <w:rFonts w:ascii="Arial" w:cs="Arial" w:eastAsia="Arial" w:hAnsi="Arial"/>
          <w:sz w:val="18"/>
          <w:szCs w:val="18"/>
          <w:color w:val="auto"/>
        </w:rPr>
      </w:pPr>
    </w:p>
    <w:p>
      <w:pPr>
        <w:ind w:left="820" w:right="180" w:hanging="324"/>
        <w:spacing w:after="0" w:line="308" w:lineRule="auto"/>
        <w:rPr>
          <w:rFonts w:ascii="Arial" w:cs="Arial" w:eastAsia="Arial" w:hAnsi="Arial"/>
          <w:sz w:val="18"/>
          <w:szCs w:val="18"/>
          <w:color w:val="auto"/>
        </w:rPr>
      </w:pPr>
      <w:r>
        <w:rPr>
          <w:rFonts w:ascii="Arial" w:cs="Arial" w:eastAsia="Arial" w:hAnsi="Arial"/>
          <w:sz w:val="17"/>
          <w:szCs w:val="17"/>
          <w:color w:val="auto"/>
        </w:rPr>
        <w:t>— From 2009 to 2011, we ocean-tested our PowerBuoy at the US Marine Corps Base Hawaii at Kaneohe Bay. The Oahu PowerBuoy was launched under our program with the US Navy for ocean testing and demonstration of PowerBuoys, including connection to the Oahu grid.</w:t>
      </w:r>
    </w:p>
    <w:p>
      <w:pPr>
        <w:spacing w:after="0" w:line="146" w:lineRule="exact"/>
        <w:rPr>
          <w:rFonts w:ascii="Arial" w:cs="Arial" w:eastAsia="Arial" w:hAnsi="Arial"/>
          <w:sz w:val="18"/>
          <w:szCs w:val="18"/>
          <w:color w:val="auto"/>
        </w:rPr>
      </w:pPr>
    </w:p>
    <w:p>
      <w:pPr>
        <w:ind w:left="820" w:right="460" w:hanging="324"/>
        <w:spacing w:after="0" w:line="277" w:lineRule="auto"/>
        <w:rPr>
          <w:rFonts w:ascii="Arial" w:cs="Arial" w:eastAsia="Arial" w:hAnsi="Arial"/>
          <w:sz w:val="18"/>
          <w:szCs w:val="18"/>
          <w:color w:val="auto"/>
        </w:rPr>
      </w:pPr>
      <w:r>
        <w:rPr>
          <w:rFonts w:ascii="Arial" w:cs="Arial" w:eastAsia="Arial" w:hAnsi="Arial"/>
          <w:sz w:val="18"/>
          <w:szCs w:val="18"/>
          <w:color w:val="auto"/>
        </w:rPr>
        <w:t>— We operated in 2011 an autonomous PowerBuoy off the coast of New Jersey, designed and manufactured by us under the US Navy’s Littoral Expeditionary Autonomous PowerBuoy (LEAP) Program for coastal security and maritime security.</w:t>
      </w:r>
    </w:p>
    <w:p>
      <w:pPr>
        <w:spacing w:after="0" w:line="170"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We have built an autonomous PowerBuoy as the power source for the Navy's Deep Water Active Detection System (DWADS).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Pacific Northwest Generating Cooperative (PNGC Power) and the US Department of Energy (DOE), both of which are providing funding toward the construction, ocean installation, and ocean trials of a Mark 3 PowerBuoy off the coast of Oregon.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Scottish Government, to develop a Mark 3 PowerBuoy, which was deployed off the coast of Invergordon, Scotland in 2011.</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European Union (EU) has awarded funding to deploy a PowerBuoy off the coast of northern Spain. We commenced work under the EU grant in fiscal year 2012.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DOE and the UK Government’s Technology Strategy Board to help fund the scale-up of the power output per PowerBuoy.</w:t>
      </w:r>
    </w:p>
    <w:p>
      <w:pPr>
        <w:spacing w:after="0" w:line="225"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w:t>
      </w:r>
    </w:p>
    <w:p>
      <w:pPr>
        <w:jc w:val="both"/>
        <w:ind w:firstLine="8"/>
        <w:spacing w:after="0" w:line="295" w:lineRule="auto"/>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730-0400. Our website address is </w:t>
      </w:r>
      <w:r>
        <w:rPr>
          <w:rFonts w:ascii="Arial" w:cs="Arial" w:eastAsia="Arial" w:hAnsi="Arial"/>
          <w:sz w:val="16"/>
          <w:szCs w:val="16"/>
          <w:i w:val="1"/>
          <w:iCs w:val="1"/>
          <w:color w:val="auto"/>
        </w:rPr>
        <w:t>www.oceanpowertechnologies.com.</w:t>
      </w:r>
      <w:r>
        <w:rPr>
          <w:rFonts w:ascii="Arial" w:cs="Arial" w:eastAsia="Arial" w:hAnsi="Arial"/>
          <w:sz w:val="16"/>
          <w:szCs w:val="16"/>
          <w:color w:val="auto"/>
        </w:rPr>
        <w:t xml:space="preserve"> We make available free of charge on our website our annual reports on Form 10-K, quarterly reports on Form 10-Q, current reports on Form 8-K and all amendments to those reports as soon as reasonably practicable after such material is filed electronically with the Securities and Exchange Commission, or SEC. The information on our website is not a part of this Annual Report. Our common stock has been listed on the NASDAQ Global Market since April 24, 2007, the date on which we commenced our initial public offering in the United States.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w:t>
      </w:r>
    </w:p>
    <w:p>
      <w:pPr>
        <w:spacing w:after="0" w:line="270"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color w:val="auto"/>
        </w:rPr>
        <w:t>The World Energy Council has stated that wave energy has the potential to produce around 2,000 terawatt hours of electricity a year, or enough power to meet 10% of the world’s current energy needs. Global demand for electric power is expected to increase from 19.1 trillion kilowatt hours in 2008 to 35.2 trillion kilowatt hours by 2035 according to Energy Information Administration’s Outlook 2011.</w:t>
      </w:r>
    </w:p>
    <w:p>
      <w:pPr>
        <w:spacing w:after="0" w:line="181" w:lineRule="exact"/>
        <w:rPr>
          <w:sz w:val="20"/>
          <w:szCs w:val="20"/>
          <w:color w:val="auto"/>
        </w:rPr>
      </w:pPr>
    </w:p>
    <w:p>
      <w:pPr>
        <w:ind w:right="260" w:firstLine="389"/>
        <w:spacing w:after="0" w:line="259" w:lineRule="auto"/>
        <w:rPr>
          <w:sz w:val="20"/>
          <w:szCs w:val="20"/>
          <w:color w:val="auto"/>
        </w:rPr>
      </w:pPr>
      <w:r>
        <w:rPr>
          <w:rFonts w:ascii="Arial" w:cs="Arial" w:eastAsia="Arial" w:hAnsi="Arial"/>
          <w:sz w:val="18"/>
          <w:szCs w:val="18"/>
          <w:color w:val="auto"/>
        </w:rPr>
        <w:t>According to an April 2013 report from Bloomberg New Energy Finance, annual spending on clean energy projects that do not contribute to greenhouse-gas pollution may rise to $630 billion by 2030 from $190 billion in 2012. There are a variety of factors contributing to the increasing development of renewable energy systems that capture energy from replenishable natural resources, including ocean waves, tides, flowing water, wind and sunlight, and convert it into electricity. These factors include:</w:t>
      </w:r>
    </w:p>
    <w:p>
      <w:pPr>
        <w:spacing w:after="0" w:line="187" w:lineRule="exact"/>
        <w:rPr>
          <w:sz w:val="20"/>
          <w:szCs w:val="20"/>
          <w:color w:val="auto"/>
        </w:rPr>
      </w:pPr>
    </w:p>
    <w:p>
      <w:pPr>
        <w:ind w:left="660" w:right="40" w:hanging="328"/>
        <w:spacing w:after="0" w:line="277"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Rising cost of fossil fuels. </w:t>
      </w:r>
      <w:r>
        <w:rPr>
          <w:rFonts w:ascii="Arial" w:cs="Arial" w:eastAsia="Arial" w:hAnsi="Arial"/>
          <w:sz w:val="18"/>
          <w:szCs w:val="18"/>
          <w:color w:val="auto"/>
        </w:rPr>
        <w:t>Although subject to short-term fluctuations, the cost of fossil fuel used to generate electricity has been generally rising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likely to continue to rise in the future.</w:t>
      </w:r>
    </w:p>
    <w:p>
      <w:pPr>
        <w:spacing w:after="0" w:line="170" w:lineRule="exact"/>
        <w:rPr>
          <w:rFonts w:ascii="Arial" w:cs="Arial" w:eastAsia="Arial" w:hAnsi="Arial"/>
          <w:sz w:val="18"/>
          <w:szCs w:val="18"/>
          <w:color w:val="auto"/>
        </w:rPr>
      </w:pPr>
    </w:p>
    <w:p>
      <w:pPr>
        <w:jc w:val="both"/>
        <w:ind w:left="660" w:right="1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Dependence on energy from foreign sources. </w:t>
      </w:r>
      <w:r>
        <w:rPr>
          <w:rFonts w:ascii="Arial" w:cs="Arial" w:eastAsia="Arial" w:hAnsi="Arial"/>
          <w:sz w:val="18"/>
          <w:szCs w:val="18"/>
          <w:color w:val="auto"/>
        </w:rPr>
        <w:t>Many countries, including the United States, Japan and much of Europe, depend on foreign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majority of their domestic energy needs. Concerns over political and economic instability in some of the leading fossil fuel producing regions of the world are encouraging consuming countries to diversify their sources of energy.</w:t>
      </w:r>
    </w:p>
    <w:p>
      <w:pPr>
        <w:spacing w:after="0" w:line="181"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Environmental concerns. </w:t>
      </w:r>
      <w:r>
        <w:rPr>
          <w:rFonts w:ascii="Arial" w:cs="Arial" w:eastAsia="Arial" w:hAnsi="Arial"/>
          <w:sz w:val="18"/>
          <w:szCs w:val="18"/>
          <w:color w:val="auto"/>
        </w:rPr>
        <w:t>Environmental concerns regarding the contamination, pollution and by-products from fossil fuels have led many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 US states to agree to reduce emissions of carbon dioxide and other gases associated with the use of fossil fuels and to adopt policies promoting the development of cleaner technologies.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Government incentives. </w:t>
      </w:r>
      <w:r>
        <w:rPr>
          <w:rFonts w:ascii="Arial" w:cs="Arial" w:eastAsia="Arial" w:hAnsi="Arial"/>
          <w:sz w:val="18"/>
          <w:szCs w:val="18"/>
          <w:color w:val="auto"/>
        </w:rPr>
        <w:t>Many countries have adopted policies to provide incentives for the development and use of renewable energy sources,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subsidies to encourage the commercialization of renewable energy power generation.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Wave Energy</w:t>
      </w:r>
    </w:p>
    <w:p>
      <w:pPr>
        <w:spacing w:after="0" w:line="266"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The energy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tops of the waves becomes longer. The size of the waves, and the amount of energy contained in the waves, depends on the wind speed, the time the wind blows over the waves and the distance covered. The rising and falling of the waves move our PowerBuoy system creating mechanical energy that our proprietary technologies convert into usable electricity.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are a variety of benefits to using wave energy for electricity generation.</w:t>
      </w:r>
    </w:p>
    <w:p>
      <w:pPr>
        <w:spacing w:after="0" w:line="225" w:lineRule="exact"/>
        <w:rPr>
          <w:sz w:val="20"/>
          <w:szCs w:val="20"/>
          <w:color w:val="auto"/>
        </w:rPr>
      </w:pPr>
    </w:p>
    <w:p>
      <w:pPr>
        <w:ind w:left="660" w:right="14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tremendous energy in ocean waves, wave power stations with high capacity — 50MW and above —</w:t>
      </w:r>
      <w:r>
        <w:rPr>
          <w:rFonts w:ascii="Arial" w:cs="Arial" w:eastAsia="Arial" w:hAnsi="Arial"/>
          <w:sz w:val="18"/>
          <w:szCs w:val="18"/>
          <w:i w:val="1"/>
          <w:iCs w:val="1"/>
          <w:color w:val="auto"/>
        </w:rPr>
        <w:t xml:space="preserve"> </w:t>
      </w:r>
      <w:r>
        <w:rPr>
          <w:rFonts w:ascii="Arial" w:cs="Arial" w:eastAsia="Arial" w:hAnsi="Arial"/>
          <w:sz w:val="18"/>
          <w:szCs w:val="18"/>
          <w:color w:val="auto"/>
        </w:rPr>
        <w:t>can be installed in a relatively small area. We estimate that, upon completion of the development of our Mark 4 PowerBuoy system, we will be able to construct a wave power station that we expect would occupy less of the ocean surface than many offshore wind power stations of equivalent capacity.</w:t>
      </w:r>
    </w:p>
    <w:p>
      <w:pPr>
        <w:spacing w:after="0" w:line="186" w:lineRule="exact"/>
        <w:rPr>
          <w:rFonts w:ascii="Arial" w:cs="Arial" w:eastAsia="Arial" w:hAnsi="Arial"/>
          <w:sz w:val="18"/>
          <w:szCs w:val="18"/>
          <w:color w:val="auto"/>
        </w:rPr>
      </w:pPr>
    </w:p>
    <w:p>
      <w:pPr>
        <w:ind w:left="660" w:right="26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Predictability. </w:t>
      </w:r>
      <w:r>
        <w:rPr>
          <w:rFonts w:ascii="Arial" w:cs="Arial" w:eastAsia="Arial" w:hAnsi="Arial"/>
          <w:sz w:val="16"/>
          <w:szCs w:val="16"/>
          <w:color w:val="auto"/>
        </w:rPr>
        <w:t>The supply of electricity from wave energy can be forecasted several days in advance. The amount of energy a wave hundreds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 away will have when it arrives at a wave power station days later can be calculated based on satellite images and meteorological data with a high degree of accuracy. Power producers can use this information to develop sourcing plans to meet their short-term electricity needs.</w:t>
      </w:r>
    </w:p>
    <w:p>
      <w:pPr>
        <w:spacing w:after="0" w:line="146" w:lineRule="exact"/>
        <w:rPr>
          <w:rFonts w:ascii="Arial" w:cs="Arial" w:eastAsia="Arial" w:hAnsi="Arial"/>
          <w:sz w:val="16"/>
          <w:szCs w:val="16"/>
          <w:color w:val="auto"/>
        </w:rPr>
      </w:pPr>
    </w:p>
    <w:p>
      <w:pPr>
        <w:ind w:left="660" w:right="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Constant source of energy. </w:t>
      </w:r>
      <w:r>
        <w:rPr>
          <w:rFonts w:ascii="Arial" w:cs="Arial" w:eastAsia="Arial" w:hAnsi="Arial"/>
          <w:sz w:val="17"/>
          <w:szCs w:val="17"/>
          <w:color w:val="auto"/>
        </w:rPr>
        <w:t>The annual flow of waves at specific sites can be relatively constant. Based on our studies and analysis of our target sites,</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our wave power stations will be able to produce usable electricity for approximately 90% of all hours during a year.</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Close to population centers. </w:t>
      </w:r>
      <w:r>
        <w:rPr>
          <w:rFonts w:ascii="Arial" w:cs="Arial" w:eastAsia="Arial" w:hAnsi="Arial"/>
          <w:sz w:val="18"/>
          <w:szCs w:val="18"/>
          <w:color w:val="auto"/>
        </w:rPr>
        <w:t>The proximity of large population areas to large bodies of water means that on-shore power transmission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is often already in place and may be utilized for wave energy generation projects.</w:t>
      </w:r>
    </w:p>
    <w:p>
      <w:pPr>
        <w:spacing w:after="0" w:line="170"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There are currently several approaches, in different stages of development, for capturing wave energy and converting it into electricity. Methods for generating electricity from wave energy can be divided into two general categories: onshore systems and offshore systems. Our PowerBuoy system is an offshore system. Offshore systems are typically located one to five miles offshore and in water depths of between 100 and 200 feet. The system can be above, on or below the ocean surface. Many offshore systems utilize a floatation device to harness wave energy. The heaving or pitching of the floatation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first before using it to drive an electrical generator. Although maintenance costs of onshore systems may be less than those associated with offshore systems, there are a variety of disadvantages to these systems. As waves approach the shore, the energy in the waves decreases; onshore and near shore wave power stations, therefore, do not take full advantage of the amount of energy that waves in deeper water produce. In addition, there are a limited number of suitable sites for onshore and near shore systems and there are environmental and possible aesthetic issues with these wave power stations due to their size and location at or near the seashore.</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Products</w:t>
      </w:r>
    </w:p>
    <w:p>
      <w:pPr>
        <w:spacing w:after="0" w:line="2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offer two types of PowerBuoy systems: our utility PowerBuoy system, which is designed to supply electricity to a local or regional electric power grid, and our autonomous PowerBuoy system, which is designed to generate power for use independent of the power grid in remote locations. Both products use the same PowerBuoy technology.</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PowerBuoy system consists of a floating buoy-like device that is loosely moored to the seabed so that it can freely move up and down in response to the rising and falling of the waves, as well as a power take-off device, an electrical generator, a power electronics system and our control system, all of which are sealed in the unit.</w:t>
      </w:r>
    </w:p>
    <w:p>
      <w:pPr>
        <w:spacing w:after="0" w:line="181"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The power take-off device converts the mechanical stroking created by the movement of the unit caused by ocean waves into rotational mechanical energy, which, in turn, drives the electrical generator. The power electronics system then conditions the output from the generator into grid-ready electricity. The operation of the PowerBuoy system is controlled by our customized, proprietary control system.</w:t>
      </w:r>
    </w:p>
    <w:p>
      <w:pPr>
        <w:spacing w:after="0" w:line="181"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control system uses sophisticated sensors and an onboard computer to continuously monitor the PowerBuoy subsystems as well as the height, frequency and shape of the waves interacting with the PowerBuoy system. The control system collects data from the sensors and uses proprietary algorithms to electronically adjust the performance of the PowerBuoy system in real-time. By making these electrical adjustments automatically, the PowerBuoy system is able to maximize the amount of usable electricity generated from the waves. We believe that this ability to optimize the performance of the PowerBuoy system in real-time is a significant advantage of our product.</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the event of storm waves larger than 23 feet, the control system for the PowerBuoy automatically locks down the PowerBuoy system and electricity generation is suspended. When the wave heights return to a normal operating range of 23 feet or less, the control system automatically unlocks the PowerBuoy system and electricity generation and transmission recommence. This safety feature prevents the PowerBuoy system from being damaged by the increased amount of energy in storm waves.</w:t>
      </w:r>
    </w:p>
    <w:p>
      <w:pPr>
        <w:spacing w:after="0" w:line="187" w:lineRule="exact"/>
        <w:rPr>
          <w:sz w:val="20"/>
          <w:szCs w:val="20"/>
          <w:color w:val="auto"/>
        </w:rPr>
      </w:pPr>
    </w:p>
    <w:p>
      <w:pPr>
        <w:jc w:val="both"/>
        <w:ind w:firstLine="389"/>
        <w:spacing w:after="0" w:line="342" w:lineRule="auto"/>
        <w:rPr>
          <w:sz w:val="20"/>
          <w:szCs w:val="20"/>
          <w:color w:val="auto"/>
        </w:rPr>
      </w:pPr>
      <w:r>
        <w:rPr>
          <w:rFonts w:ascii="Arial" w:cs="Arial" w:eastAsia="Arial" w:hAnsi="Arial"/>
          <w:sz w:val="16"/>
          <w:szCs w:val="16"/>
          <w:color w:val="auto"/>
        </w:rPr>
        <w:t>Our Mark 3 PowerBuoy system has a maximum diameter of 36 feet near the surface, and is 135 feet long, with approximately 30 feet of the PowerBuoy system protruding above the surface of the ocean. At anticipated deployment distances, generally the system has minimal visibility from the shore.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Utility PowerBuoy System</w:t>
      </w:r>
    </w:p>
    <w:p>
      <w:pPr>
        <w:spacing w:after="0" w:line="225"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 utility PowerBuoy system is designed to transmit electricity to shore by an underwater power cable, which would then be connected to a power grid. Our utility PowerBuoy system presently being marketed to customers, the Mark 3, drives a peak rated generator of 866 kW. The utility PowerBuoy system is designed to be positioned in water with a depth of 100 to 200 feet, which can usually be found one to five miles offshore. This depth allows the system to capture meaningful amounts of energy from the waves, since decreasing water depth depletes the energy in the waves.</w:t>
      </w:r>
    </w:p>
    <w:p>
      <w:pPr>
        <w:spacing w:after="0" w:line="17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mooring system for keeping a utility PowerBuoy system in position connects it by lines to three floats that, in turn, are connected by lines to three anchors. This is a well-established mooring system, referred to as three-point mooring, which we have improved upon with various techniques that reduce cost and deployment time.</w:t>
      </w:r>
    </w:p>
    <w:p>
      <w:pPr>
        <w:spacing w:after="0" w:line="181"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refer to the entire utility power generation system at one location as a wave power station, which can either be comprised of a single PowerBuoy system or an integrated array of PowerBuoy systems connected by our USP to an underwater cable to transmit the electricity to shore. Our system is designed to be scalable, as multiple PowerBuoy units can be integrated to create a wave power station with a larger output capacity. An array of PowerBuoy systems would likely be configured in three staggered rows parallel to the incoming wave front to form a long rectangle. This staggered arrangement would maximize the level of wave energy that the wave power station can capture.</w:t>
      </w:r>
    </w:p>
    <w:p>
      <w:pPr>
        <w:spacing w:after="0" w:line="18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are also exploring the use of our utility PowerBuoy system for applications that include generating electricity for desalination of water, water treatment and natural resource processing. In these instances, the power generated by the utility PowerBuoy system would bypass the grid and be delivered directly to the point of electricity consumption for these special applications.</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ind w:left="180"/>
        <w:spacing w:after="0"/>
        <w:rPr>
          <w:sz w:val="20"/>
          <w:szCs w:val="20"/>
          <w:color w:val="auto"/>
        </w:rPr>
      </w:pPr>
      <w:r>
        <w:rPr>
          <w:rFonts w:ascii="Arial" w:cs="Arial" w:eastAsia="Arial" w:hAnsi="Arial"/>
          <w:sz w:val="18"/>
          <w:szCs w:val="18"/>
          <w:i w:val="1"/>
          <w:iCs w:val="1"/>
          <w:color w:val="auto"/>
        </w:rPr>
        <w:t>Status of Utility PowerBuoy System</w:t>
      </w:r>
    </w:p>
    <w:p>
      <w:pPr>
        <w:spacing w:after="0" w:line="225" w:lineRule="exact"/>
        <w:rPr>
          <w:sz w:val="20"/>
          <w:szCs w:val="20"/>
          <w:color w:val="auto"/>
        </w:rPr>
      </w:pPr>
    </w:p>
    <w:p>
      <w:pPr>
        <w:jc w:val="both"/>
        <w:ind w:firstLine="389"/>
        <w:spacing w:after="0" w:line="342" w:lineRule="auto"/>
        <w:rPr>
          <w:sz w:val="20"/>
          <w:szCs w:val="20"/>
          <w:color w:val="auto"/>
        </w:rPr>
      </w:pPr>
      <w:r>
        <w:rPr>
          <w:rFonts w:ascii="Arial" w:cs="Arial" w:eastAsia="Arial" w:hAnsi="Arial"/>
          <w:sz w:val="16"/>
          <w:szCs w:val="16"/>
          <w:color w:val="auto"/>
        </w:rPr>
        <w:t>Ocean trials of our first Mark 3 PowerBuoy were conducted in 2011. These ocean trials were conducted at a site approximately 33 nautical miles from Invergordon, off Scotland’s northeast coast. Our utility scale Mark 3 structure and mooring system achieved independent certification from Lloyd’s Register.</w:t>
      </w:r>
    </w:p>
    <w:p>
      <w:pPr>
        <w:spacing w:after="0" w:line="124"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w:t>
      </w:r>
    </w:p>
    <w:p>
      <w:pPr>
        <w:spacing w:after="0" w:line="166"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In September 2010, working in conjunction with the US Navy, our 40kW-rated PowerBuoy located at Marine Corps Base Hawaii became the first-ever grid connected wave energy device in the United States. This PowerBuoy was deployed from December 2009 to January 2012.</w:t>
      </w:r>
    </w:p>
    <w:p>
      <w:pPr>
        <w:spacing w:after="0" w:line="170"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Our product development and engineering efforts are focused primarily on increasing energy output, reliability and scalability of the design of our utility PowerBuoy system with the goal of generating electricity from our technology at a levelized cost of energy consistent with other alternative sources of energy. Currently we are marketing our Mark 3 PowerBuoys. We have also initiated product development efforts in connection with our Mark 4 PowerBuoy that will drive a peak rated generator of 2.4 MW. Development of the Mark 4’s major subsystems is in progress, and wave tank tests of models have been performed. Assuming we are able to reach significant annual manufacturing volume levels of our Mark 4 PowerBuoy systems and increase the energy output of our PowerBuoy systems, we believe we will be able to offer a renewable electricity solution that competes with other existing renewable energy systems and, in certain cases, with existing fossil fuel systems in key markets.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we achieve economies of scale for our Mark 3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or where sufficient subsidies are available.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Autonomous PowerBuoy System</w:t>
      </w:r>
    </w:p>
    <w:p>
      <w:pPr>
        <w:spacing w:after="0" w:line="225"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 autonomous PowerBuoy system is based on similar technology to the utility PowerBuoy system, but is designed for persistent electricity generation of relatively low amounts of continuous power for use independent of the power grid, in remote deep-ocean locations. The autonomous PowerBuoy range of products has rated continuous output from 10 watts to 350 watts, depending on the application. In addition, the Mark 3 may be utilized in an autonomous mode. Our autonomous PowerBuoy system is designed to operate anywhere in the ocean and in any depth of water.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there are a variety of potential applications for this system, including homeland security, offshore oil and gas platforms, aquaculture and ocean-based communication and data gathering such as for tsunami warnings and seismic surveys.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Status of Autonomous PowerBuoy System</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received a contract from the US Navy to provide our PowerBuoy to the LEAP program. The LEAP program has been established to enhance the US Navy's anti-terrorism and force protection capability by providing persistent power at sea for port maritime surveillance in near coast, harbor, and offshore areas. In September 2010, the US Navy provided $2.75 million in additional funding to us for the second stage of this program. During the first stage of the LEAP program, we successfully completed delivery of the design and on-land testing of a new power take-off system for the autonomous LEAP PowerBuoy. In the second stage of the program, we built and in 2011 deployed off the coast of New Jersey a LEAP PowerBuoy structure incorporating that new power take-off system. During its deployment, the system successfully endured Hurricane Irene’s storm force waves as high as 50 feet. The ocean test of the LEAP PowerBuoy further supported the use of our technology as a persistent power source for systems requiring remote power at sea. The U.S. Department of Homeland Security has awarded to us a CRADA, which will utilize the same APB-350 Autonomous PowerBuoy as was deployed off the coast of New Jersey in 2011 under the LEAP program. In addition to the radar system payload included under the LEAP program, this next deployment of the APB-350 will include an acoustic sensor array which will expand the maritime surveillance capability.</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received several contracts from the US Navy to provide our PowerBuoy technology to a unique program for ocean data gathering. Under this program, the Navy has conducted an ocean test of our autonomous PowerBuoy as the power source for the Navy's Deep Water Active Detection System, and we have completed work under a contract for ocean testing by the Navy of an advanced version of the autonomous PowerBuoy for the Navy's operational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We believe that our technology for generating electricity from wave energy and our commercial relationships give us several potential competitive advantages in the renewable energy market.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i w:val="1"/>
          <w:iCs w:val="1"/>
          <w:color w:val="auto"/>
        </w:rPr>
        <w:t>Our PowerBuoy system uses an ocean-tested technology to generate electricity.</w:t>
      </w:r>
    </w:p>
    <w:p>
      <w:pPr>
        <w:spacing w:after="0" w:line="225" w:lineRule="exact"/>
        <w:rPr>
          <w:sz w:val="20"/>
          <w:szCs w:val="20"/>
          <w:color w:val="auto"/>
        </w:rPr>
      </w:pPr>
    </w:p>
    <w:p>
      <w:pPr>
        <w:jc w:val="both"/>
        <w:ind w:left="600" w:hanging="328"/>
        <w:spacing w:after="0" w:line="272"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been conducting ocean tests for over 15 years in order to demonstrate the viability of our technology. We initiated our first ocean installation in 1997 and have had several deployments of our systems for testing and operation since then. Our grid-connected Hawaii system was deployed from December 2009 to January 2012. During its period of operation in Hawaii, our 40kW-rated PowerBuoy produced power consistent with our predictive models for the incoming wave conditions. Ocean trials of our first Mark 3 PowerBuoy were conducted in 2011. These ocean trials were conducted at a site approximately 33 nautical miles from Invergordon, off Scotland’s northeast coast. The 2011 ocean test of the LEAP PowerBuoy further supported the use of our technology as a persistent power source for systems requiring remote power at sea. Our PowerBuoy systems have endured hurricanes, winter storms and tsunami-driven waves while installed in the ocean.</w:t>
      </w:r>
    </w:p>
    <w:p>
      <w:pPr>
        <w:spacing w:after="0" w:line="177" w:lineRule="exact"/>
        <w:rPr>
          <w:rFonts w:ascii="Arial" w:cs="Arial" w:eastAsia="Arial" w:hAnsi="Arial"/>
          <w:sz w:val="17"/>
          <w:szCs w:val="17"/>
          <w:color w:val="auto"/>
        </w:rPr>
      </w:pPr>
    </w:p>
    <w:p>
      <w:pPr>
        <w:ind w:left="600" w:right="100" w:hanging="328"/>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2011, the DOE assessed our Mark 3 PowerBuoy as the highest-rated wave energy system for commercial readiness (Technology Readiness Level 7-8).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PowerBuoy system's grid connection has been certified and one of our PowerBuoys has been successfully connected to a grid.</w:t>
      </w:r>
    </w:p>
    <w:p>
      <w:pPr>
        <w:spacing w:after="0" w:line="225" w:lineRule="exact"/>
        <w:rPr>
          <w:sz w:val="20"/>
          <w:szCs w:val="20"/>
          <w:color w:val="auto"/>
        </w:rPr>
      </w:pPr>
    </w:p>
    <w:p>
      <w:pPr>
        <w:jc w:val="both"/>
        <w:ind w:left="600" w:hanging="328"/>
        <w:spacing w:after="0" w:line="286"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July 2007, we announced that our PowerBuoy grid connection system had been certified by Intertek as compliant with designated national and international standards. This qualifies our technology for integration into utility grid systems. In September 2010, our PowerBuoy, which was tested at the US Marine Corps Base in Hawaii, became the first-ever grid-connected wave energy device in the United States.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PowerBuoy system design is efficient in harnessing wave energy.</w:t>
      </w:r>
    </w:p>
    <w:p>
      <w:pPr>
        <w:spacing w:after="0" w:line="225" w:lineRule="exact"/>
        <w:rPr>
          <w:sz w:val="20"/>
          <w:szCs w:val="20"/>
          <w:color w:val="auto"/>
        </w:rPr>
      </w:pPr>
    </w:p>
    <w:p>
      <w:pPr>
        <w:jc w:val="both"/>
        <w:ind w:left="600" w:hanging="328"/>
        <w:spacing w:after="0" w:line="26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PowerBuoy system is designed to efficiently convert wave energy into electricity by using onboard sensors to detect actual wave conditions and then to automatically adjust, or "tune," the performance of the generator using our proprietary electrical and electronics-based control systems in response to that information.</w:t>
      </w:r>
    </w:p>
    <w:p>
      <w:pPr>
        <w:spacing w:after="0" w:line="181" w:lineRule="exact"/>
        <w:rPr>
          <w:rFonts w:ascii="Arial" w:cs="Arial" w:eastAsia="Arial" w:hAnsi="Arial"/>
          <w:sz w:val="18"/>
          <w:szCs w:val="18"/>
          <w:color w:val="auto"/>
        </w:rPr>
      </w:pPr>
    </w:p>
    <w:p>
      <w:pPr>
        <w:jc w:val="both"/>
        <w:ind w:left="600" w:hanging="328"/>
        <w:spacing w:after="0" w:line="297"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One measure of the efficiency of an electric power generation system is capacity factor. The capacity factor is the percent of kilowatt hours produced by a specific system in a given period as compared to the maximum kilowatt hours that could be produced by the system in that period. A high capacity factor indicates a high degree of utilization of the capacity of the system and provides a means to compare the effectiveness of different energy sources. Based on our research and analysis, and in-ocean experience to date, we believe the design capacity factor for a PowerBuoy wave power station located at many of our targeted sites would be favorably positioned in the range of 30% to 45%.</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Numerous potential sites for our wave power stations are located near major population centers worldwide.</w:t>
      </w:r>
    </w:p>
    <w:p>
      <w:pPr>
        <w:spacing w:after="0" w:line="225" w:lineRule="exact"/>
        <w:rPr>
          <w:sz w:val="20"/>
          <w:szCs w:val="20"/>
          <w:color w:val="auto"/>
        </w:rPr>
      </w:pPr>
    </w:p>
    <w:p>
      <w:pPr>
        <w:jc w:val="both"/>
        <w:ind w:left="600" w:hanging="328"/>
        <w:spacing w:after="0" w:line="25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systems are designed to work in sites with average annual wave energy of at least 20kW per meter of wave front, which can be found in many coastal locations around the world. In particular, we are currently targeting the west coast of North America, the west coast of Europe, the coasts of Australia and the east coast of Japan. These potential sites not only have appropriate natural resources for harnessing wave energy, but they are also located near large population centers with access to existing power transmission infrastructure and significant and increasing electricity requirements.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have significant commercial relationships.</w:t>
      </w:r>
    </w:p>
    <w:p>
      <w:pPr>
        <w:spacing w:after="0" w:line="225" w:lineRule="exact"/>
        <w:rPr>
          <w:sz w:val="20"/>
          <w:szCs w:val="20"/>
          <w:color w:val="auto"/>
        </w:rPr>
      </w:pPr>
    </w:p>
    <w:p>
      <w:pPr>
        <w:jc w:val="both"/>
        <w:ind w:left="600" w:hanging="328"/>
        <w:spacing w:after="0" w:line="255"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recent projects with PNGC Power, the DOE, the US Navy, Lockheed Martin, Mitsui Engineering and Shipbuilding, the EU, and the UK Government’s Technology Strategy Board, provide us with an initial opportunity to sell our wave power stations for utility applications. By collaborating with leaders in renewable energy development, we believe we are able to accelerate both our in-house knowledge of the utility power generation market and our reputation as a credible renewable energy equipment supplier. If these projects are successful, we intend to leverage our experiences with our projects to add wave power stations, new customers and complementary revenue streams from operations and maintenance contracts.</w:t>
      </w:r>
    </w:p>
    <w:p>
      <w:pPr>
        <w:spacing w:after="0" w:line="193" w:lineRule="exact"/>
        <w:rPr>
          <w:rFonts w:ascii="Arial" w:cs="Arial" w:eastAsia="Arial" w:hAnsi="Arial"/>
          <w:sz w:val="18"/>
          <w:szCs w:val="18"/>
          <w:color w:val="auto"/>
        </w:rPr>
      </w:pPr>
    </w:p>
    <w:p>
      <w:pPr>
        <w:jc w:val="both"/>
        <w:ind w:left="600" w:hanging="328"/>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relationship with the US Navy has allowed us to refine our PowerBuoy system while simultaneously preparing for commercial deployment to address a particular customer need. We believe that the successful deployment of our PowerBuoy system for the US Navy has enhanced our market visibility.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300" w:top="611"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i w:val="1"/>
          <w:iCs w:val="1"/>
          <w:color w:val="auto"/>
        </w:rPr>
        <w:t>Our systems are environmentally benign and aesthetically non-intrusive.</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believe that our PowerBuoy system does not present significant risks to marine life and does not emit significant levels of pollutants. For example, in connection with our project at the US Marine Corps Base in Hawaii, the US Navy obtained an independent environmental assessment of our PowerBuoy system prior to installation, as required by the National Environmental Policy Act. This assessment resulted in a “Finding of No Significant Impact,” the highest rating. We believe that PowerBuoy systems deployed, including larger PowerBuoy systems under development and multiple-buoy wave power stations, would have minimal environmental impact due to the physical similarities with the tested system. In addition, we received a “Finding of No Significant Impact,” from the DOE after environmental assessment in connection with our Reedsport, Oregon project.</w:t>
      </w:r>
    </w:p>
    <w:p>
      <w:pPr>
        <w:spacing w:after="0" w:line="16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our PowerBuoy systems are typically located one to five miles offshore, PowerBuoy wave power stations are usually not visible from the shore. Visual impact is often cited as one of the reasons that many communities have opposed plans to develop power stations, in particular wind power stations. Our PowerBuoy system has the distinct advantage of having only a minimal visual profile. Only a small portion of the unit is visible at close range, with the bulk of the unit hidden below the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Customers/Projects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20"/>
                <w:szCs w:val="20"/>
                <w:color w:val="auto"/>
              </w:rPr>
            </w:pPr>
          </w:p>
        </w:tc>
      </w:tr>
      <w:tr>
        <w:trPr>
          <w:trHeight w:val="210"/>
        </w:trPr>
        <w:tc>
          <w:tcPr>
            <w:tcW w:w="43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US Department of Energy</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51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380"/>
              <w:spacing w:after="0"/>
              <w:rPr>
                <w:sz w:val="20"/>
                <w:szCs w:val="20"/>
                <w:color w:val="auto"/>
              </w:rPr>
            </w:pPr>
            <w:r>
              <w:rPr>
                <w:rFonts w:ascii="Arial" w:cs="Arial" w:eastAsia="Arial" w:hAnsi="Arial"/>
                <w:sz w:val="18"/>
                <w:szCs w:val="18"/>
                <w:color w:val="auto"/>
              </w:rPr>
              <w:t>US Navy</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10"/>
              <w:spacing w:after="0"/>
              <w:rPr>
                <w:sz w:val="20"/>
                <w:szCs w:val="20"/>
                <w:color w:val="auto"/>
              </w:rPr>
            </w:pPr>
            <w:r>
              <w:rPr>
                <w:rFonts w:ascii="Arial" w:cs="Arial" w:eastAsia="Arial" w:hAnsi="Arial"/>
                <w:sz w:val="18"/>
                <w:szCs w:val="18"/>
                <w:color w:val="auto"/>
              </w:rPr>
              <w:t>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38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UK Government's Technology</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Strategy Board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ind w:left="380"/>
              <w:spacing w:after="0"/>
              <w:rPr>
                <w:sz w:val="20"/>
                <w:szCs w:val="20"/>
                <w:color w:val="auto"/>
              </w:rPr>
            </w:pPr>
            <w:r>
              <w:rPr>
                <w:rFonts w:ascii="Arial" w:cs="Arial" w:eastAsia="Arial" w:hAnsi="Arial"/>
                <w:sz w:val="18"/>
                <w:szCs w:val="18"/>
                <w:color w:val="auto"/>
              </w:rPr>
              <w:t>EU (WavePort project)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2"/>
        </w:trPr>
        <w:tc>
          <w:tcPr>
            <w:tcW w:w="438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Mitsui Engineering &amp;</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Shipbuilding</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These revenues were largely for the support of our product development efforts. Our goal in the future is that an increased portion of our revenues be from the sale of products and maintenance services, as compared to revenue to support our product development efforts.</w:t>
      </w:r>
    </w:p>
    <w:p>
      <w:pPr>
        <w:spacing w:after="0" w:line="170"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Our potential customer base for our utility PowerBuoy systems consists of public utilities, independent power producers and other governmental entities and agencies. Our potential customer base for our autonomous PowerBuoy systems consists of different public and private entities that use electricity in and near the ocean. Our efforts to identify new customers are concentrated on four geographic markets: the west coast of North America, the west coast of Europe, the coasts of Australia and the east coast of Japan.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 December 2008, we announced a Joint Development Agreement with Leighton Contractors Pty. Ltd. (Leighton) for the development of wave power projects off the east and south coasts of Australia. In 2009, Leighton formed Victorian Wave Partners Pty. Ltd. (VWP), a special purpose company for the development of a 19MW (62.5 MW peak generator rating) wave power project off the coast of Victoria, Australia. In November 2009, we announced that VWP was awarded an A$66.5 million (approximately US$62 million) grant from the Federal Government of Australia for the wave power project. The grant is subject to certain terms, including development and funding milestones, which require significant additional funding to enable the receipt of the grant funds and the completion of the project.</w:t>
      </w:r>
    </w:p>
    <w:p>
      <w:pPr>
        <w:spacing w:after="0" w:line="193"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In March 2012, our Australian subsidiary Ocean Power Technologies (Australasia) Pty. Ltd acquired 100% ownership of Victorian Wave Partners from Leighton.</w:t>
      </w:r>
    </w:p>
    <w:p>
      <w:pPr>
        <w:spacing w:after="0" w:line="170"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July 2012, we entered into a teaming agreement with Lockheed Martin with the goal of developing the VWP wave energy project in Australia. In order to expedite development of this project, Lockheed Martin plans to assist us with PowerBuoy design and manufacturability, lead the production and system integration of the wave energy converters, and support overall program management. We are assessing various financing opportunities for the project as well as potential power purchase agreements with local industry and utilities.</w:t>
      </w:r>
    </w:p>
    <w:p>
      <w:pPr>
        <w:spacing w:after="0" w:line="18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are in discussion with the Commonwealth agency that is managing the grant, Australian Renewable Energy Agency, regarding variations to the grant’s funding deed proposed by us and progress toward funding milestones. We have engaged a financial advisor to assist with the negotiations pertaining to power purchase agreements and for financing of Stage 1 of this planned three-stage project.</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the fiscal year ended April 30, 2013 we worked with Mitsui Engineering &amp; Shipbuilding under a contract worth ¥70 million (approximately US$0.7 million). This contract funded additional work to enhance our PowerBuoy technology for Japanese sea conditions. We analyzed methods to maximize buoy power capture as well as modeling and wave tank testing. We and Mitsui Engineering &amp; Shipbuilding also evaluated novel mooring strategies. In fiscal year 2014, we expect a decision to be made on the next steps toward ocean trials of a demonstration PowerBuoy off the coast of Japan. This initial buoy would provide the basis for a potential build-out of a commercial-scale wave power station in Japan.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Reedsport, Oregon Project</w:t>
      </w:r>
    </w:p>
    <w:p>
      <w:pPr>
        <w:spacing w:after="0" w:line="225"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Our plan has been to deploy a single, non-grid connected Mark 3 PowerBuoy off the coast of Reedsport, Oregon. This PowerBuoy was to be the first PowerBuoy in a prospective build out of a 1.5 megawatt grid-connected wave power station for 10 PowerBuoys at that location.</w:t>
      </w:r>
    </w:p>
    <w:p>
      <w:pPr>
        <w:spacing w:after="0" w:line="170"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We received a License from the Federal Energy Regulatory Commission (FERC) in August 2012 which authorized installation and operation of a grid connected wave energy array. The License was the culmination of negotiation and collaboration between us and stakeholders which resulted in the execution of a comprehensive settlement agreement among us and 13 federal and state agencies and non-governmental agencies in July 2010 (“Settlement Agreement”). This first-ever wave energy settlement agreement was reached after extensive technical, policy, and legal discussions regarding appropriate prevention, mitigation and enhancement measures, and study requirements. It covers a broad array of resource areas including aquatic resources, water quality, recreation, public safety, crabbing and fishing, terrestrial resources and cultural resources. The Settlement Agreement includes an Adaptive Management Plan to identify and implement environmental studies that may be required, and to provide a blueprint for the application of this new information as the wave power station develops. In negotiating the Settlement Agreement, we anticipated that we would deploy a single, non-grid connected buoy prior to obtaining the FERC License and subject to separate approvals from the US Army Corp of Engineers, National Marine Fisheries Service, Oregon Department of State Lands and others to ensure the legal and safe deployment and operation of the buoy. This buoy was not deployed prior to FERC’s issuance of the License nor immediately thereafter as had been planned.</w:t>
      </w:r>
    </w:p>
    <w:p>
      <w:pPr>
        <w:spacing w:after="0" w:line="183"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FERC staff informed us in February 2013 of their view that the License’s various planning, reporting and other pre- and post-deployment requirements may extend to this first, non-grid connected buoy. In May 2013, we filed a Motion for Extensions to Comply with License Requirements with FERC. This motion sought to move those various requirements into the future, aligning them with deployment of the full array of 10 PowerBuoys, so that they would not apply to the first non-grid connected buoy. In June 2013, FERC issued an order extending certain requirements for one year rather than aligning those requirements with the 10-buoy array as requested. By separate letter, we were informed by the FERC staff that the agency’s position remains that the License’s various requirements extend to the deployment of this initial buoy, and that we may request an amendment of its License seeking to modify various requirements. Pending ultimate resolution of this matter, we may be required to submit certain reports and perform additional studies associated with the first buoy. This process will require significant delay of the deployment of the first PowerBuoy, as well as impose additional costs on us. We continue to evaluate various options in response to the FERC staff’s position; however, absent a successful request by us either challenging FERC’s jurisdiction or seeking to modify the License to alleviate some or all of these new requirements, we will have to comply with the current License in the first buoy deployment.</w:t>
      </w:r>
    </w:p>
    <w:p>
      <w:pPr>
        <w:spacing w:after="0" w:line="169"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We intend to seek additional funding specific to this project for deployment of this PowerBuoy in view of costs associated with regulatory issues and weather delays. Deployment of this initial buoy will depend on resolution of these financial and regulatory issues, and such deployment is expected to be delayed beyond calendar 2013.</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Previous milestones in connection with this project include the following:</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August 2007, we announced the award of a $0.5 million contract from PNGC Power, providing funding toward the fabrication and installation of a Mark 3 PowerBuoy system for the Reedsport project. In October 2008, we received a $2.0 million award from the DOE in support of the project. This DOE grant was used to help fund the fabrication and factory testing of the first PowerBuoy to be installed at the Reedsport site. This was the first award for the building of ocean wave energy systems by the DOE. In September 2010, we announced the award of another grant for the Reedsport project from the DOE of $2.4 million. The scope of this award is final assembly, deployment and ocean trials of the first PowerBuoy.</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2011, we announced our collaboration with Lockheed Martin in connection with our proposed commercial-scale wave power generation project at Reedsport. Under this collaboration, Lockheed Martin is providing design, manufacturing, system integration and supply chain management expertise to enhance our PowerBuoy technology.</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b w:val="1"/>
          <w:bCs w:val="1"/>
          <w:i w:val="1"/>
          <w:iCs w:val="1"/>
          <w:color w:val="auto"/>
        </w:rPr>
        <w:t>Mark 4 PowerBuoy</w:t>
      </w:r>
    </w:p>
    <w:p>
      <w:pPr>
        <w:spacing w:after="0" w:line="22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April 2010, we received a $1.5 million award from the DOE for the development of our next generation Mark 4 PowerBuoy wave power system. In the fiscal year ended April 30, 2011, we received awards of an additional $4.7 million for development of the Mark 4, $2.4 million from the DOE and $2.3 million from the UK Government’s Technology Strategy Board. We are using proceeds from these grants to help fund the scale-up of the power output per PowerBuoy. In addition, the technology development effort will focus on increasing the power extraction efficiency and reliability. Further design of the Mark 4 PowerBuoy and major subsystems are in progress, and wave tank tests of the models have been performed.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Navy: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LEAP – APB-350</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September 2009, we received $2.4 million from the US Navy for the first stage of a contract to provide our PowerBuoy to the Navy's LEAP program. In September 2010, the US Navy awarded $2.75 million in additional funding to us for the second stage of this program. The LEAP program is being developed to enhance the US Navy's anti-terrorism and force protection capability by providing persistent power at sea for port maritime surveillance in the near coast, harbor, piers and offshore areas. During the first stage of the LEAP program, we successfully completed delivery of the design and on-land testing of a new power take-off system for the autonomous LEAP PowerBuoy. In the second stage of the program, we built and deployed a LEAP PowerBuoy structure, incorporating that new power take-off system. The LEAP system was deployed in 2011 by a US Coast Guard vessel and was ocean-tested approximately 20 miles off the coast of New Jersey. It was integrated with the Rutgers University-operated land-based radar network that provides ocean current mapping data for the National Oceanographic and Atmospheric Administration (NOAA) and US Coast Guard search and rescue operations. The ocean test of the LEAP vessel detection system demonstrated dual-use capability of the radar network and helped to verify our technology as a persistent power source for systems requiring remote power at sea. The LEAP PowerBuoy continued to operate during Hurricane Irene. We were awarded by the U.S. Department of Homeland Security a Cooperative Research and Development Agreement, or CRADA, which will utilize the same APB-350 Autonomous PowerBuoy as was deployed off the coast of New Jersey in 2011 under the LEAP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Scotland Project</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2007, we received a $1.8 million contract from the Scottish Executive toward the construction and testing of a Mark 3 grid-connected PowerBuoy system. Ocean trials of that PowerBuoy were conducted in 2011. These ocean trials were conducted at a site approximately 33 nautical miles from Invergordon, off Scotland’s northeast coast. Our utility scale Mark 3 structure and mooring system has achieved independent certification from Lloyd’s Register. This certification from Lloyd’s Register confirms that the Mark 3 design complies with the requirements of Lloyd’s 1999 Rules and Regulations for the Classification of Floating Offshore Installations at Fixed Locations.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seeking a customer for the commercial utilization of the buoy, including its deployment at various potential sites.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WavePort Project</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March 2010, we announced the award of €2.2 million under the European Commission's Seventh Framework Programme (FP7) by the European Commission's Directorate responsible for new and renewable sources of energy, energy efficiency and innovation. This grant is part of a total award of €4.5 million to a consortium of companies, including us, to deliver a PowerBuoy wave energy device under a project entitled WavePort, with an innovative wave prediction capability and a "wave-by-wave" tuning system. It is anticipated that the PowerBuoy will be deployed at a site on the north coast of Spain. We commenced work under this grant in fiscal 2012.</w:t>
      </w:r>
    </w:p>
    <w:p>
      <w:pPr>
        <w:spacing w:after="0" w:line="188"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During fiscal 2013, OPT completed testing of the innovative modular power take-off system for the PowerBuoy. This work demonstrated improved efficiencies of the system. In addition, construction of various parts of the PowerBuoy was completed. It is anticipated that the PowerBuoy will be deployed at a site off the north coast of Spain, along with other components of the project to be provided by members of the consortium.</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2006 Spain Project</w:t>
      </w:r>
    </w:p>
    <w:p>
      <w:pPr>
        <w:spacing w:after="0" w:line="225" w:lineRule="exact"/>
        <w:rPr>
          <w:sz w:val="20"/>
          <w:szCs w:val="20"/>
          <w:color w:val="auto"/>
        </w:rPr>
      </w:pPr>
    </w:p>
    <w:p>
      <w:pPr>
        <w:jc w:val="both"/>
        <w:ind w:firstLine="194"/>
        <w:spacing w:after="0" w:line="255" w:lineRule="auto"/>
        <w:rPr>
          <w:sz w:val="20"/>
          <w:szCs w:val="20"/>
          <w:color w:val="auto"/>
        </w:rPr>
      </w:pPr>
      <w:r>
        <w:rPr>
          <w:rFonts w:ascii="Arial" w:cs="Arial" w:eastAsia="Arial" w:hAnsi="Arial"/>
          <w:sz w:val="18"/>
          <w:szCs w:val="18"/>
          <w:color w:val="auto"/>
        </w:rPr>
        <w:t>In July 2006, after exploratory studies were conducted, Iberdrola Energias Marinas de Cantabria, S.A., or Iberdrola Cantabria, was formed for the purpose of constructing and operating a wave power station off the coast of Santoña, Spain. Iberdrola Energias Renovables II, S.A. (Iberdrola Energias), an affiliate of Iberdrola, is the largest shareholder of Iberdrola Cantabria. Minority shareholders include us, Sociedad para el Desarrollo Regional de Cantabria, S.A., or SODERCAN, which is the industrial development agency of the Spanish region of Cantabria, Total Eolica, an affiliate of Total S.A., and Instituto para la Diversificacion y Ahorro de la Energia, S.A. (IDAE), a Spanish government agency dedicated to energy conservation and diversification efforts. Funding is shared among the shareholders based on agreed-upon percentages that reflect the parties' anticipated ownership interest in the wave power station. We own 10% of Iberdrola Cantabria.</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389"/>
        <w:spacing w:after="0" w:line="297" w:lineRule="auto"/>
        <w:rPr>
          <w:sz w:val="20"/>
          <w:szCs w:val="20"/>
          <w:color w:val="auto"/>
        </w:rPr>
      </w:pPr>
      <w:r>
        <w:rPr>
          <w:rFonts w:ascii="Arial" w:cs="Arial" w:eastAsia="Arial" w:hAnsi="Arial"/>
          <w:sz w:val="16"/>
          <w:szCs w:val="16"/>
          <w:color w:val="auto"/>
        </w:rPr>
        <w:t>In July 2006, we entered into an agreement for the first phase of the construction of a wave power station with our customer, Iberdrola Cantabria (2006 Spain Construction Agreement). In January 2007, the parties entered into a corresponding operations and maintenance agreement. Under the construction agreement, we agreed to manufacture and deploy one 40kW rated PowerBuoy system and the ocean-based substation and infrastructure required to connect nine additional Mark 3 PowerBuoy systems by December 31, 2009. The terms of the construction of the nine additional PowerBuoy units and the installation of the underwater transmission cable and underwater substation pod were not covered by the construction agreement and were to be separately agreed upon.</w:t>
      </w:r>
    </w:p>
    <w:p>
      <w:pPr>
        <w:spacing w:after="0" w:line="158"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The initial PB40 PowerBuoy system for this project was deployed in September 2008. After a short testing period, the buoy was removed from the water for work on improvements to the power take-off and control systems. In November 2010, we agreed to negotiate with Iberdrola Cantabria with the goal of cancelling the remaining obligations between the parties under the construction and operations and maintenance agreements, transferring ownership of the equipment manufactured or purchased by us under the construction agreement to Iberdrola Cantabria, and having Iberdrola Cantabria pay certain amounts due to us. Negotiations are underway for such efforts and are still ongoing. If no modification to the 2006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construction agreement, for the failure of the PowerBuoy to meet certain performance thresholds. We do not expect the termination of the 2006 Spain Construction Agreement or potential liability for damages to materially adversely affect our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In February 2006, we received approval from the UK Government’s Technology Strategy Board to install a demonstration wave power station off the coast of Cornwall, England as part of TSB’s "Wave Hub" project, a planned offshore facility for demonstrating and testing wave energy generation devices. TSB has obtained the necessary permits for this Wave Hub project, and the project received over £40 million of funding for construction of the Wave Hub infrastructure, which was completed during 2010. We are seeking funding for the deployment of our PowerBuoy systems at this 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527"/>
        <w:spacing w:after="0" w:line="269" w:lineRule="auto"/>
        <w:rPr>
          <w:sz w:val="20"/>
          <w:szCs w:val="20"/>
          <w:color w:val="auto"/>
        </w:rPr>
      </w:pPr>
      <w:r>
        <w:rPr>
          <w:rFonts w:ascii="Arial" w:cs="Arial" w:eastAsia="Arial" w:hAnsi="Arial"/>
          <w:sz w:val="17"/>
          <w:szCs w:val="17"/>
          <w:color w:val="auto"/>
        </w:rPr>
        <w:t>At April 30, 2013, our total negotiated backlog was $3.8 million compared with $6.8 million at April 30, 2012. We anticipate that the majority of our backlog will be recognized as revenue over a period exceeding 12 months. The decrease in backlog is a result of revenue recognized during the period offset by new orders during fiscal 2013 of $0.8 million and changes in foreign currency of $0.2 million. New orders during fiscal 2013 included an approximately $0.7 million contract from Mitsui Shipbuilding &amp; Engineering to further work towards development of the Company’s PowerBuoy technology for application in Japanese sea conditions. A portion of our backlog at April 30, 2013, is for our Oregon project, and we intend to seek additional funding to enable completion of this project. Most of our backlog at April 30, 2013 and 2012 consisted of cost-sharing contracts as described in the Financial Operations Overview section of the Management’s Discussion and Analysis included elsewhere in this Annual Report.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$3.8 million and $4.8 million at April 30, 2013 and 2012, respectively.</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majority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Our business goals are to strengthen our leadership in developing wave energy technologies and to achieve commercial status for our utility and autonomous product lines. In order to achieve these goals, we are pursuing the following business strategies:</w:t>
      </w:r>
    </w:p>
    <w:p>
      <w:pPr>
        <w:spacing w:after="0" w:line="170" w:lineRule="exact"/>
        <w:rPr>
          <w:sz w:val="20"/>
          <w:szCs w:val="20"/>
          <w:color w:val="auto"/>
        </w:rPr>
      </w:pPr>
    </w:p>
    <w:p>
      <w:pPr>
        <w:jc w:val="both"/>
        <w:ind w:left="660" w:hanging="328"/>
        <w:spacing w:after="0" w:line="267"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7"/>
          <w:szCs w:val="17"/>
          <w:i w:val="1"/>
          <w:iCs w:val="1"/>
          <w:color w:val="auto"/>
        </w:rPr>
        <w:t xml:space="preserve">Continue to increase PowerBuoy system output. </w:t>
      </w:r>
      <w:r>
        <w:rPr>
          <w:rFonts w:ascii="Arial" w:cs="Arial" w:eastAsia="Arial" w:hAnsi="Arial"/>
          <w:sz w:val="17"/>
          <w:szCs w:val="17"/>
          <w:color w:val="auto"/>
        </w:rPr>
        <w:t>Our product development and engineering efforts are focused on increasing the energy output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of our PowerBuoy systems, with the goal of generating electricity from our technology at a levelized cost of energy competitive with that of other alternative sources of energy. If we increase the size of a PowerBuoy system or increase its energy conversion efficiency, we expect to be able to increase the amount of wave energy the system can capture and increase the output of the system. We believe that by increasing system output of the individual PowerBuoy, and also by increasing volume production of the PowerBuoys, we will be able to decrease the cost per megawatt of our PowerBuoy system and the cost per megawatt hour of the energy generated.</w:t>
      </w: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Sell turn-key power stations and operating and maintenance contracts. </w:t>
      </w:r>
      <w:r>
        <w:rPr>
          <w:rFonts w:ascii="Arial" w:cs="Arial" w:eastAsia="Arial" w:hAnsi="Arial"/>
          <w:sz w:val="16"/>
          <w:szCs w:val="16"/>
          <w:color w:val="auto"/>
        </w:rPr>
        <w:t>Our fundamental business plan for the utility market sector is to sell turn-key</w:t>
      </w:r>
      <w:r>
        <w:rPr>
          <w:rFonts w:ascii="Arial" w:cs="Arial" w:eastAsia="Arial" w:hAnsi="Arial"/>
          <w:sz w:val="16"/>
          <w:szCs w:val="16"/>
          <w:i w:val="1"/>
          <w:iCs w:val="1"/>
          <w:color w:val="auto"/>
        </w:rPr>
        <w:t xml:space="preserve"> </w:t>
      </w:r>
      <w:r>
        <w:rPr>
          <w:rFonts w:ascii="Arial" w:cs="Arial" w:eastAsia="Arial" w:hAnsi="Arial"/>
          <w:sz w:val="16"/>
          <w:szCs w:val="16"/>
          <w:color w:val="auto"/>
        </w:rPr>
        <w:t>power stations, rather than to take on the capital requirements of building and owning power stations and selling the energy generated. In addition, in order to create recurring revenue streams, we seek to sell operating and maintenance (O&amp;M) contracts over the life-cycle of the plants.</w:t>
      </w:r>
    </w:p>
    <w:p>
      <w:pPr>
        <w:spacing w:after="0" w:line="146"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Expand revenue streams from our autonomous PowerBuoy system. </w:t>
      </w:r>
      <w:r>
        <w:rPr>
          <w:rFonts w:ascii="Arial" w:cs="Arial" w:eastAsia="Arial" w:hAnsi="Arial"/>
          <w:sz w:val="17"/>
          <w:szCs w:val="17"/>
          <w:color w:val="auto"/>
        </w:rPr>
        <w:t>The autonomous PowerBuoy system addresses specific power generation needs</w:t>
      </w:r>
      <w:r>
        <w:rPr>
          <w:rFonts w:ascii="Arial" w:cs="Arial" w:eastAsia="Arial" w:hAnsi="Arial"/>
          <w:sz w:val="17"/>
          <w:szCs w:val="17"/>
          <w:i w:val="1"/>
          <w:iCs w:val="1"/>
          <w:color w:val="auto"/>
        </w:rPr>
        <w:t xml:space="preserve"> </w:t>
      </w:r>
      <w:r>
        <w:rPr>
          <w:rFonts w:ascii="Arial" w:cs="Arial" w:eastAsia="Arial" w:hAnsi="Arial"/>
          <w:sz w:val="17"/>
          <w:szCs w:val="17"/>
          <w:color w:val="auto"/>
        </w:rPr>
        <w:t>of customers requiring off-grid electricity generation in remote locations in the open ocean. Since our autonomous PowerBuoy systems are well suited for many of these uses, we do not expect that they will require subsidies or other price incentives for commercial acceptance. We believe there are a variety of potential applications for this system, including homeland security, offshore oil and gas platforms, and ocean-based communication and data gathering such as for tsunami warnings and seismic surveys. We have entered into contracts with the US Navy for the testing of our autonomous PowerBuoy in connection with a unique program for ocean data gathering, as well as for the LEAP program for homeland security. The U.S. Department of Homeland Security has awarded to us a CRADA, which will utilize the same APB-350 Autonomous PowerBuoy as was deployed off the coast of New Jersey in 2011 under the LEAP program.</w:t>
      </w:r>
    </w:p>
    <w:p>
      <w:pPr>
        <w:spacing w:after="0" w:line="17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Outsource most of the plant construction and deployment. </w:t>
      </w:r>
      <w:r>
        <w:rPr>
          <w:rFonts w:ascii="Arial" w:cs="Arial" w:eastAsia="Arial" w:hAnsi="Arial"/>
          <w:sz w:val="18"/>
          <w:szCs w:val="18"/>
          <w:color w:val="auto"/>
        </w:rPr>
        <w:t>We outsource all metal fabrication, anchoring, mooring, cabling supply and deployment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minimize our capital requirements as we scale up production volumes. The high value-added "smart part" of the system is assembled and tested at our facilities and shipped to project sites for integration into the PowerBuoys.</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Concentrate sales and marketing efforts on four geographic markets. </w:t>
      </w:r>
      <w:r>
        <w:rPr>
          <w:rFonts w:ascii="Arial" w:cs="Arial" w:eastAsia="Arial" w:hAnsi="Arial"/>
          <w:sz w:val="17"/>
          <w:szCs w:val="17"/>
          <w:color w:val="auto"/>
        </w:rPr>
        <w:t>We are currently focusing our sales and marketing efforts on the west coast of</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the west coast of Europe, the coasts of Australia and the east coast of Japan. We believe that each of these areas represents a strong potential market for our utility and autonomous PowerBuoys because they combine appropriate wave conditions, political and economic stability, large population centers, high levels of industrialization and significant and increasing electricity requirements.</w:t>
      </w:r>
    </w:p>
    <w:p>
      <w:pPr>
        <w:spacing w:after="0" w:line="171" w:lineRule="exact"/>
        <w:rPr>
          <w:rFonts w:ascii="Arial" w:cs="Arial" w:eastAsia="Arial" w:hAnsi="Arial"/>
          <w:sz w:val="17"/>
          <w:szCs w:val="17"/>
          <w:color w:val="auto"/>
        </w:rPr>
      </w:pPr>
    </w:p>
    <w:p>
      <w:pPr>
        <w:jc w:val="both"/>
        <w:ind w:left="660" w:hanging="328"/>
        <w:spacing w:after="0" w:line="267" w:lineRule="auto"/>
        <w:tabs>
          <w:tab w:leader="none" w:pos="660" w:val="left"/>
        </w:tabs>
        <w:numPr>
          <w:ilvl w:val="0"/>
          <w:numId w:val="16"/>
        </w:numPr>
        <w:rPr>
          <w:rFonts w:ascii="Arial" w:cs="Arial" w:eastAsia="Arial" w:hAnsi="Arial"/>
          <w:sz w:val="19"/>
          <w:szCs w:val="19"/>
          <w:color w:val="auto"/>
        </w:rPr>
      </w:pPr>
      <w:r>
        <w:rPr>
          <w:rFonts w:ascii="Arial" w:cs="Arial" w:eastAsia="Arial" w:hAnsi="Arial"/>
          <w:sz w:val="17"/>
          <w:szCs w:val="17"/>
          <w:i w:val="1"/>
          <w:iCs w:val="1"/>
          <w:color w:val="auto"/>
        </w:rPr>
        <w:t xml:space="preserve">Leverage customer relationships to enhance the commercial acceptance of our PowerBuoy systems. </w:t>
      </w:r>
      <w:r>
        <w:rPr>
          <w:rFonts w:ascii="Arial" w:cs="Arial" w:eastAsia="Arial" w:hAnsi="Arial"/>
          <w:sz w:val="17"/>
          <w:szCs w:val="17"/>
          <w:color w:val="auto"/>
        </w:rPr>
        <w:t>We believe that the work we have performed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US Navy, including our grid-connected project at the US Marine Corps base in Oahu, Hawaii and our APB-350 autonomous PowerBuoy under the LEAP program, may serve as the prototype for similar projects for the US Government and at other international sites. Further, we believe that our work with Mitsui Engineering and Shipbuilding will enhance our core PowerBuoy technology. We intend to build on these existing commercial relationships both by expanding the number and size of projects we have with our current customers and by entering into new alliances and commercial relationships with other utilities, independent power producers and governmental agencies.</w:t>
      </w:r>
    </w:p>
    <w:p>
      <w:pPr>
        <w:spacing w:after="0" w:line="209"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18"/>
          <w:szCs w:val="18"/>
          <w:i w:val="1"/>
          <w:iCs w:val="1"/>
          <w:color w:val="auto"/>
        </w:rPr>
        <w:t xml:space="preserve">Maximize customer funding of technology development. </w:t>
      </w:r>
      <w:r>
        <w:rPr>
          <w:rFonts w:ascii="Arial" w:cs="Arial" w:eastAsia="Arial" w:hAnsi="Arial"/>
          <w:sz w:val="18"/>
          <w:szCs w:val="18"/>
          <w:color w:val="auto"/>
        </w:rPr>
        <w:t>We actively seek to obtain external funding for the development of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cost-sharing obligations under some of our customer contracts. In April 2010, we were awarded $1.5 million from the US Department of Energy for the development of our Mark 4 product. In fiscal year 2011, we were awarded an additional $2.4 million from the DOE and $2.3 million from the UK Government’s Technology Strategy Board for Mark 4 development.</w:t>
      </w:r>
    </w:p>
    <w:p>
      <w:pPr>
        <w:spacing w:after="0" w:line="221"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18"/>
          <w:szCs w:val="18"/>
          <w:i w:val="1"/>
          <w:iCs w:val="1"/>
          <w:color w:val="auto"/>
        </w:rPr>
        <w:t xml:space="preserve">Expand our partnerships in key market areas. </w:t>
      </w:r>
      <w:r>
        <w:rPr>
          <w:rFonts w:ascii="Arial" w:cs="Arial" w:eastAsia="Arial" w:hAnsi="Arial"/>
          <w:sz w:val="18"/>
          <w:szCs w:val="18"/>
          <w:color w:val="auto"/>
        </w:rPr>
        <w:t>We believe that an important element of our business strategy is to collaborate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to leverage our combined expertise, market presence and core competences. We have formed such partnerships more recently with Lockheed Martin in the US and Australia, and with Mitsui Engineering and Shipbuilding in Japan.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We are developing our sales capabilities and have begun commercial marketing and selling of our PowerBuoy systems. Because our products use a new technology, the decision process of a customer requires us to make substantial educational efforts.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jc w:val="both"/>
        <w:ind w:firstLine="389"/>
        <w:spacing w:after="0" w:line="255" w:lineRule="auto"/>
        <w:rPr>
          <w:sz w:val="20"/>
          <w:szCs w:val="20"/>
          <w:color w:val="auto"/>
        </w:rPr>
      </w:pPr>
      <w:r>
        <w:rPr>
          <w:rFonts w:ascii="Arial" w:cs="Arial" w:eastAsia="Arial" w:hAnsi="Arial"/>
          <w:sz w:val="18"/>
          <w:szCs w:val="18"/>
          <w:color w:val="auto"/>
        </w:rPr>
        <w:t>In addition to our own direct sales, we will continue to enter into development agreements and strategic alliances with regional utility and energy companies committed to providing electricity from renewable energy sources. We plan to leverage these relationships to sell and market our PowerBuoy wave power stations to these companies and their affiliates and to other customers in the region. We plan to expand our relationships by entering into long-term operations and maintenance contracts to support completed wave power stations. In order to penetrate certain international markets, we plan to implement marketing strategies that respond to local market demands. In particular markets, we may grant licenses to local businesses to sell, manufacture or operate PowerBuoy wave power stations.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2012, we established a new business unit to assess, target and develop opportunities in the potential markets for our autonomous PowerBuoys.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PowerBuoy System Marketing</w:t>
      </w:r>
    </w:p>
    <w:p>
      <w:pPr>
        <w:spacing w:after="0" w:line="252"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We plan to market our utility PowerBuoy systems to utilities and independent power producers interested in adding electricity generated from renewable sources to their existing electricity supply. In addition, we are exploring the use of our utility PowerBuoy systems for applications that include desalination of water, water treatment and natural resource processing. In these instances, the power generated by the utility PowerBuoy system would bypass the grid and be delivered directly to the point of electricity consumption for these special applications.</w:t>
      </w:r>
    </w:p>
    <w:p>
      <w:pPr>
        <w:spacing w:after="0" w:line="171"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expect to be able to use the availability of subsidies and other incentives to market the electricity generated by wave power stations as an alternative to fossil fuel generated electricity. We plan to educate potential customers on the availability of these incentives and, where appropriate, work with them to prepare and file the necessary applications, select sites to meet program requirements and take advantage of these incentives.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Autonomous PowerBuoy System Marketing</w:t>
      </w:r>
    </w:p>
    <w:p>
      <w:pPr>
        <w:spacing w:after="0" w:line="25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There are a variety of potential customers, such as companies within the offshore oil and gas industry, the US Department of Homeland Security and US Department of Defense, and similar governmental agencies in other countries that have specific needs for off-grid power generation that can be supplied by our autonomous PowerBuoy system. Potential applications for off-grid power supply include homeland security, offshore oil and gas platforms, and ocean-based communication and data gathering such as for tsunami warnings.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Deployment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Manufacturing and Raw Materials</w:t>
      </w:r>
    </w:p>
    <w:p>
      <w:pPr>
        <w:spacing w:after="0" w:line="25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engage in two types of manufacturing activities: the manufacturing of the high value-added components, or "smart part" power take-off modules, for systems control, power generation and power conversion for each PowerBuoy system, and the contracting to outside companies for the fabrication of the buoy-like structure, anchoring and mooring, and cabling.</w:t>
      </w:r>
    </w:p>
    <w:p>
      <w:pPr>
        <w:spacing w:after="0" w:line="208"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automatically optimize the performance of the PowerBuoy system in response to those changing conditions. We have a portfolio of patents, including those that cover our power generation, power conversion and control technologies. Due to the critical and proprietary nature of these systems, we do not outsource their assembly and testing. After a generator and control module passes our rigorous quality control procedures, it is transported as a ready-to-install subsystem to the project site.</w:t>
      </w:r>
    </w:p>
    <w:p>
      <w:pPr>
        <w:spacing w:after="0" w:line="192"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purchase the remaining components of, and raw materials for, each PowerBuoy system from various vendors. Currently, we contract for these components on a project-by-project basis. We conduct a bidding process to select a supplier with the optimal combination of price, delivery terms and quality. Our goal is to develop ongoing relationships with select vendors centrally located in different regions, which will allow us to reduce unit costs as our volume increases.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22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Upon arrival at the project site, the generator and control modules are integrated with the balance of the components of the PowerBuoy system. We are highly dependent on our third-party suppliers; however, we actively manage key steps in the supply chain. We act as the general contractor, and retain the ultimate responsibility for building the PowerBuoy wave power station, and installing, testing and deploying the complete wave power station at the project site. This process requires significant project and contract management by us. We currently employ individuals who have experience with all aspects of both the manufacturing and engineering contracting processes, and demonstrated organizational capabilities in these critical areas.</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ind w:left="200"/>
        <w:spacing w:after="0"/>
        <w:rPr>
          <w:sz w:val="20"/>
          <w:szCs w:val="20"/>
          <w:color w:val="auto"/>
        </w:rPr>
      </w:pPr>
      <w:r>
        <w:rPr>
          <w:rFonts w:ascii="Arial" w:cs="Arial" w:eastAsia="Arial" w:hAnsi="Arial"/>
          <w:sz w:val="18"/>
          <w:szCs w:val="18"/>
          <w:b w:val="1"/>
          <w:bCs w:val="1"/>
          <w:i w:val="1"/>
          <w:iCs w:val="1"/>
          <w:color w:val="auto"/>
        </w:rPr>
        <w:t>Deployment</w:t>
      </w:r>
    </w:p>
    <w:p>
      <w:pPr>
        <w:spacing w:after="0" w:line="252"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For our existing and currently planned deployments, we purchase from subcontractors the mooring system and cables needed to install the PowerBuoy system and connect it to either the power grid or a remote power site. The vendor usually transports these components to the project site.</w:t>
      </w:r>
    </w:p>
    <w:p>
      <w:pPr>
        <w:spacing w:after="0" w:line="174"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Each step in the deployment process for our existing and currently planned deployments is outsourced to subcontractors located near the project site. First the mooring system, consisting of floats, anchors and chains, is brought to the wave power station's ultimate ocean location by workboats or barges. At the same time, the cable to transmit the generated electricity is laid by a subcontractor. Next, the PowerBuoy system is towed to the ocean location and fixed to the mooring system. The PowerBuoy system is then connected to the USP, which in turn is connected to the grid or the distributed power site. At this point, the fully assembled PowerBuoy would be ready for final testing and operation. An array of PowerBuoys would be installed using a similar approach, but would add the deployment of the USP to serve as an aggregator for the energy output of multiple PowerBuoys.</w:t>
      </w:r>
    </w:p>
    <w:p>
      <w:pPr>
        <w:spacing w:after="0" w:line="20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expect that the subcontractor services required for deployment of a wave power station will be readily available in the locations where we currently plan to deploy our systems, although we are dependent on third parties for the entire process. We actively manage each step with personnel who have significant project management and deployment experience.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reduce manufacturing cost and complexity. Our research and development efforts are currently focused on increasing the output and reliability of our utility PowerBuoy system including the Mark 3 PowerBuoy system and to our research and development of new products, product applications and complementary technologies. We are also conducting research on improvements to our current technology.</w:t>
      </w:r>
    </w:p>
    <w:p>
      <w:pPr>
        <w:spacing w:after="0" w:line="200"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Research and development expenses are reflected on our consolidated statements of operations as product development costs. Research and development expenses were $7.3 million for fiscal 2013 and $8.3 million for fiscal 2012.</w:t>
      </w:r>
    </w:p>
    <w:p>
      <w:pPr>
        <w:spacing w:after="0" w:line="197"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We are currently working on the design for our Mark 4 PowerBuoy. The key to increasing the energy output of the PowerBuoy system is to increase the system's efficiency as well as its wave energy capture diameter. If we increase the size and efficiency of the wave capture portion of the PowerBuoy system, we will be able to increase the amount of wave energy the system can capture and, in turn, increase the output of the system. For example, if we double the float's diameter, we will approximately quadruple its power capacity. We believe that we will be able to further increase the output capacity of the PowerBuoy system using technology that we are developing, as well as our work on design, manufacture, testing and deployment of the higher capacity systems. We are exploring design and construction techniques that will enable the larger PowerBuoy systems to be deployed cost effectively and safely without damage. For example, our complete 40kW-rated PowerBuoy systems are transported to the onshore deployment sites using standard flatbed trucks; however, the fully-assembled Mark 3 PowerBuoy systems are too large for these trucks and need to be transported in modules and assembled on-site. In addition, we will need to adjust the mooring system to account for the larger-sized PowerBuoy systems.</w:t>
      </w:r>
    </w:p>
    <w:p>
      <w:pPr>
        <w:spacing w:after="0" w:line="20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also plan to continue our technology development of specific applications for our PowerBuoy systems to expand our growth opportunities. For example, we are exploring applications that would allow our PowerBuoys to provide power for desalination of water, water treatment and natural resource processing.</w:t>
      </w:r>
    </w:p>
    <w:p>
      <w:pPr>
        <w:spacing w:after="0" w:line="20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firstLine="389"/>
        <w:spacing w:after="0" w:line="277" w:lineRule="auto"/>
        <w:rPr>
          <w:sz w:val="20"/>
          <w:szCs w:val="20"/>
          <w:color w:val="auto"/>
        </w:rPr>
      </w:pPr>
      <w:r>
        <w:rPr>
          <w:rFonts w:ascii="Arial" w:cs="Arial" w:eastAsia="Arial" w:hAnsi="Arial"/>
          <w:sz w:val="18"/>
          <w:szCs w:val="18"/>
          <w:color w:val="auto"/>
        </w:rPr>
        <w:t>As of April 30, 2013, we owned a total of 52 issued United States patents and 16 United States patent applications. We have pending foreign counterparts to 23 of our issued patents and 13 of our pending non-provisional patent applications.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patent portfolio includes patents and patent applications with claims directed to:</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expiration dates for our issued United States patents range from 2013 to 2028.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use trademarks on nearly all of our products and believe that having distinctive marks is an important factor in marketing our products. We have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registered our PowerBuoy</w:t>
      </w:r>
      <w:r>
        <w:rPr>
          <w:rFonts w:ascii="Arial" w:cs="Arial" w:eastAsia="Arial" w:hAnsi="Arial"/>
          <w:sz w:val="26"/>
          <w:szCs w:val="26"/>
          <w:color w:val="auto"/>
          <w:vertAlign w:val="superscript"/>
        </w:rPr>
        <w:t>®</w:t>
      </w:r>
      <w:r>
        <w:rPr>
          <w:rFonts w:ascii="Arial" w:cs="Arial" w:eastAsia="Arial" w:hAnsi="Arial"/>
          <w:sz w:val="16"/>
          <w:szCs w:val="16"/>
          <w:color w:val="auto"/>
        </w:rPr>
        <w:t>, Talk on Water</w:t>
      </w:r>
      <w:r>
        <w:rPr>
          <w:rFonts w:ascii="Arial" w:cs="Arial" w:eastAsia="Arial" w:hAnsi="Arial"/>
          <w:sz w:val="26"/>
          <w:szCs w:val="26"/>
          <w:color w:val="auto"/>
          <w:vertAlign w:val="superscript"/>
        </w:rPr>
        <w:t>®</w:t>
      </w:r>
      <w:r>
        <w:rPr>
          <w:rFonts w:ascii="Arial" w:cs="Arial" w:eastAsia="Arial" w:hAnsi="Arial"/>
          <w:sz w:val="16"/>
          <w:szCs w:val="16"/>
          <w:color w:val="auto"/>
        </w:rPr>
        <w:t>, CellBuoy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PowerTower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marks and our Making Waves in Power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mark in the United States.</w:t>
      </w:r>
    </w:p>
    <w:p>
      <w:pPr>
        <w:spacing w:after="0"/>
        <w:rPr>
          <w:sz w:val="20"/>
          <w:szCs w:val="20"/>
          <w:color w:val="auto"/>
        </w:rPr>
      </w:pPr>
      <w:r>
        <w:rPr>
          <w:rFonts w:ascii="Arial" w:cs="Arial" w:eastAsia="Arial" w:hAnsi="Arial"/>
          <w:sz w:val="18"/>
          <w:szCs w:val="18"/>
          <w:color w:val="auto"/>
        </w:rPr>
        <w:t>Trademark ownership is generally of indefinite duration when marks are properly maintained in commercial use.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We compete and will compete with power generation equipment suppliers in all segments of the electric power industry, including wave energy, other forms of renewable energy and traditional fossil fuel. The renewable energy industry is both highly competitive and continually evolving as participants strive to differentiate themselves within their markets and compete within the larger electric power industry. Many of our competitors in certain of these segments have established a stronger market position than ours and have greater resources and name recognition than we have. In addition, there are many companies, including some of the largest multinational energy companies, that are developing or sponsoring innovative technologies for renewable energy production. Accordingly, our success depends in part on developing and demonstrating the commercial viability of wave energy solutions and identifying markets for and applications of our PowerBuoy systems and technology.</w:t>
      </w:r>
    </w:p>
    <w:p>
      <w:pPr>
        <w:spacing w:after="0" w:line="178"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Although the market for equipment that generates electricity from wave energy is in its early stage of commercial development, there are a number of private companies, some with institutional funding, developing technologies to generate electricity from wave energy, and we compete or will compete with them. We believe there are over 75 companies worldwide developing wave energy technologies. Many of these companies are located in the United Kingdom, continental Europe, the United States and Australia, and most are focused on offshore systems. Only a few of these companies, like ourselves, have conducted long-term ocean testing of their systems, which is the critical factor in proving the survivability and performance of any wave energy system.</w:t>
      </w:r>
    </w:p>
    <w:p>
      <w:pPr>
        <w:spacing w:after="0" w:line="199"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To compete effectively, we have to demonstrate that our PowerBuoy systems are attractive, compared to other wave energy systems and other renewable energy systems, by differentiating our systems on the basis of performance, survivability in operation and storm wave conditions, cost effectiveness and the operations and maintenance services that we provide. We believe that we compare favorably to our competition with respect to each of these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electric power industry is subject to extensive regulation, which varies by jurisdiction. For example, the electricity industry in the United States is governed by both federal and state laws and regulations, with the federal government having jurisdiction over the sale and transmission of electricity at the wholesale level in interstate commerce, and the states having jurisdiction over the sale and distribution of electricity at the retail level. The electricity industry in the EU is primarily governed by national law, but a number of EU-level regulations impose obligations on member states, notably with respect to the liberalization of the electricity markets.</w:t>
      </w:r>
    </w:p>
    <w:p>
      <w:pPr>
        <w:spacing w:after="0" w:line="242"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renewable energy industry has also been subject to increasing regulation, however none of the countries in which we are currently marketing our PowerBuoy systems have comprehensive regulatory schemes tailored to wave energy. As the renewable energy industry continues to evolve and as the wave energy industry in particular develops, we anticipate that wave energy technology and our PowerBuoy systems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8" w:name="page19"/>
    <w:bookmarkEnd w:id="18"/>
    <w:p>
      <w:pPr>
        <w:jc w:val="both"/>
        <w:ind w:firstLine="389"/>
        <w:spacing w:after="0" w:line="279" w:lineRule="auto"/>
        <w:rPr>
          <w:sz w:val="20"/>
          <w:szCs w:val="20"/>
          <w:color w:val="auto"/>
        </w:rPr>
      </w:pPr>
      <w:r>
        <w:rPr>
          <w:rFonts w:ascii="Arial" w:cs="Arial" w:eastAsia="Arial" w:hAnsi="Arial"/>
          <w:sz w:val="17"/>
          <w:szCs w:val="17"/>
          <w:color w:val="auto"/>
        </w:rPr>
        <w:t>Our PowerBuoy wave power stations currently face regulation in the US and in foreign jurisdictions concerning, among other areas, the sale and transmission of electricity, site approval and environmental approval 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and Transmission of Electricity</w:t>
      </w:r>
    </w:p>
    <w:p>
      <w:pPr>
        <w:spacing w:after="0" w:line="252"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6"/>
          <w:szCs w:val="16"/>
          <w:color w:val="auto"/>
        </w:rPr>
        <w:t>The US government regulates the electricity wholesale and transmission business through FERC. FERC regulates the rates and terms for sales of electricity at the wholesale level, and the organization, governance and financing of the companies engaged in electricity sales. As a result, FERC regulates the rates charged for sales of electric power from a wave power station into the wholesale market, although it is possible to obtain an exemption from FERC that would allow those sales to occur at market-based rates. FERC also regulates the construction, operation and maintenance of any dam, water conduit, reservoir or powerhouse along or in any of the navigable waters of the United States for the purpose of generating electric power. As a result, the construction and operation of a wave power station in the United States requires the issuance of a license by FERC. In July 2007, we filed a Pre-Application Document and Notice of Intent with FERC for the Reedsport project, which provides notice of our intent to seek a license for the Reedsport power station and information regarding the project. In February 2010, we filed with FERC a full application to build, deploy and connect to the grid a 10-PowerBuoy array (1.5MW). In March 2011, FERC granted us a second preliminary permit to continue to evaluate the feasibility of the Reedsport project. We believe these filings were the first Pre-Application Document, Notice of Intent, and full License Application filed by a wave power company. We received the License from FERC in August 2012 which authorizes installation and operation of a grid connected wave energy array and cable at Reedsport, Oregon. The sale and transmission of electricity outside the US is also subject to governmental rules and regulations.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Site Approval</w:t>
      </w:r>
    </w:p>
    <w:p>
      <w:pPr>
        <w:spacing w:after="0" w:line="25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Generally, we expect that we will deploy our PowerBuoy systems in the range of one to five miles from the shore, subject to water depth and overall wave heights. Although regulations regarding the use of ocean space vary around the world, we generally do not expect significant delay in obtaining site approvals, as governments have to date encouraged the use of renewable energy sources.</w:t>
      </w:r>
    </w:p>
    <w:p>
      <w:pPr>
        <w:spacing w:after="0" w:line="20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the United States, federal agencies regulate the siting of renewable energy and related-uses located on the outer continental shelf, which is generally more than three miles offshore. For projects located within three miles of the US shore, the adjacent state would be responsible for issuing a lease and other required authorizations for the location of the project. In either case, an assessment of the potential environmental impact of the project would be conducted in addition to other requirements.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Approval and Compliance</w:t>
      </w:r>
    </w:p>
    <w:p>
      <w:pPr>
        <w:spacing w:after="0" w:line="252"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a power system offshore would require permits and approvals from FERC, the Coast Guard, the Army Corps of Engineers and other governmental authorities. These required permits and approvals evaluate, among other things, whether the proposed project is in the public interest and ensure that the project would not create a hazard to navigation. Other foreign and international laws may require similar approvals.</w:t>
      </w:r>
    </w:p>
    <w:p>
      <w:pPr>
        <w:spacing w:after="0" w:line="20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believe that a significant advantage of our PowerBuoy systems is that they do not present significant environmental risks when compared to traditional power generation technologies, as there is no significant visual or audible impact and such systems have not been shown to have a significant negative effect on fish or sea mammals. We are not aware of any liabilities in connection with compliance with such laws, regulations, permits and approvals that would have a material adverse effect on our financial position, results of operations or cash flows.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5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Several governments have enacted subsidies and incentives designed to encourage the development of renewable energy resources. Because of the relative novelty of wave energy generation, these government programs often do not apply specifically to wave energy generation, and so these programs may not be available to our customers or us in all cases.</w:t>
      </w:r>
    </w:p>
    <w:p>
      <w:pPr>
        <w:spacing w:after="0" w:line="20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Under a tariff subsidy, the government sets price subsidies to be paid to electricity producers for renewable electricity generated by them. The prices are set above market rates and may be differentiated based on system size or application. Under a renewable portfolio standard, the government requires regulated utilities to supply a portion of their total electricity in the form of renewable electricity. Some programs further specify that a portion of the renewable energy quota must be from a particular renewable energy source, although none have specific quotas for wave energy. Several governments also facilitate low interest loans for renewable energy systems, either through direct lending, credit enhancement or other programs.</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jc w:val="both"/>
        <w:ind w:firstLine="389"/>
        <w:spacing w:after="0" w:line="257" w:lineRule="auto"/>
        <w:rPr>
          <w:sz w:val="20"/>
          <w:szCs w:val="20"/>
          <w:color w:val="auto"/>
        </w:rPr>
      </w:pPr>
      <w:r>
        <w:rPr>
          <w:rFonts w:ascii="Arial" w:cs="Arial" w:eastAsia="Arial" w:hAnsi="Arial"/>
          <w:sz w:val="18"/>
          <w:szCs w:val="18"/>
          <w:color w:val="auto"/>
        </w:rPr>
        <w:t>Countries in Europe and Asia and several states in the United States have adopted a variety of government subsidies to allow renewable sources of electricity to compete with conventional sources of electricity, such as fossil fuels. Government subsidies and incentives generally focus on grid-connected systems and take several forms, including tariff subsidies, renewable portfolio standards, rebates, tax incentives and low interest loans. In addition, the adoption by governments of limits on carbon dioxide emissions and targets for renewable energy production has spurred a market for trading of surplus carbon credits and renewable energy certificates.</w:t>
      </w:r>
    </w:p>
    <w:p>
      <w:pPr>
        <w:spacing w:after="0" w:line="215"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In 2008, the US enacted the Energy Improvement and Extension Act of 2008, which enables owners of wave power projects in the US to receive federal tax credits, thereby improving the long-term economics of wave power as a renewable energy source. The Act expands the definition of qualifying facilities for the Production Tax Credit (PTC) to include those that generate power from marine renewables (including wave and tidal sources). As a result, the PTC is now available for electricity produced and generated after October 3, 2008 from marine renewable energy facilities with a "nameplate capacity" of at least 150kW, and that are placed in service anytime between October 3, 2008 and December 31, 2013. The credit rate for marine renewables is $0.01 per kilowatt hour, and the duration of the credit will be ten years after the facility is placed in service. The PTC legislation is scheduled to expire at the end of 2013.</w:t>
      </w:r>
    </w:p>
    <w:p>
      <w:pPr>
        <w:spacing w:after="0" w:line="19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Each of the member states of the EU has a country-specific target for the level of consumption of electricity from renewable sources that it should attain by 2020. The United Kingdom Renewables Obligation of April 2002 included a target of 15% of electricity generation to come from renewable sources by 2015, which will continue until 2027. Electricity suppliers that are unable to otherwise meet their renewables obligation have to pay a buy-out price (currently £0.033 per kilowatt hour) or purchase Renewables Obligation Certificates (ROC) from companies that generate electricity from renewable resources.</w:t>
      </w:r>
    </w:p>
    <w:p>
      <w:pPr>
        <w:spacing w:after="0" w:line="154"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UK Department of Energy and Climate Change is examining measures for the support of the renewable energy market. In 2011, the UK Government announced new policies on Electricity Market Reform (EMR) which included, among other measures, a floor price for carbon for electricity generators. Additionally, it is anticipated that specific funding will be made available for both capital and revenue support for marine energy (wave and tidal stream) projects. In 2017, the existing ROC regime for revenue support will be replaced by a feed-in-tariff system based on a Contract for Difference mechanism, which will ensure a fixed revenue for renewable generators, regardless of the market price for “brown” power. Consultation on the exact structure of the mechanism is ongoing at this time.</w:t>
      </w:r>
    </w:p>
    <w:p>
      <w:pPr>
        <w:spacing w:after="0" w:line="193"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2011, the Australian Government passed a Carbon Tax Law, which set the initial carbon price at A$23 per ton. Revenue from this tax will fund A$10 billion to invest in renewable energy, low pollution and energy efficiency technologies, A$3.2 billion to support R&amp;D, demonstration and commercialization of renewable energy and A$200 million to support business development of clean technologies. Other similar programs are currently in place in Australia, but are subject to amendment with possible changes in Government leadership.</w:t>
      </w:r>
    </w:p>
    <w:p>
      <w:pPr>
        <w:spacing w:after="0" w:line="214"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Many countries and other local jurisdictions have established limits on carbon dioxide emissions. In particular, a key component of the Kyoto Protocol is the commitments made by certain countries to reduce carbon dioxide emissions. The country, locality or companies within the jurisdiction are given carbon emission allowances, or carbon credits, which represent the right to emit a specific amount of carbon dioxide. A country, locality or company having emissions that exceed its allocated carbon credits may purchase unused carbon credits from a country, locality or company that has reduced its emissions beyond its requirements to do so. The carbon dioxide emissions from a PowerBuoy wave power station are zero, and, therefore, a PowerBuoy wave power station may generate carbon credits that could be used and sold.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As of April 30, 2013, we had 34 full-time employees. Of these employees, 28 are located in Pennington, New Jersey and 6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Insurance</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currently have a property and liability insurance policy underwritten by Lloyd's Underwriters that covers the deployment and storage of our PowerBuoy systems.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70"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on Form 10-K, and in prior reports pursuant to the Securities Exchange Act of 1934, as amended and the Securities Act of 1933,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52"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have incurred negative operating cash flows since our inception. We will require additional equity and/or debt financing. If we are unable to raise additional funds when needed, our ability to operate and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additional funding unavailable, or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193"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During the fourth quarter of fiscal 2013, we filed a shelf registration statement on Form S-3 in order to allow us to access the capital markets. More recently, we have entered into an At the Market Offering Agreement, or ATM Agreement, with Ascendiant Capital Markets, LLC (“Ascendiant”). Under the ATM Agreement, we may sell and issue from time to time, through Ascendiant as sales agent and/or principal, shares of common stock at prevailing market prices in ordinary brokerage transactions. The sale of common stock pursuant to the ATM Agreement, or of other equity or convertible securities, would be dilutive to our stockholders. If additional funds are raised through the issuance of preferred stock or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commercialization efforts, which could adversely affect our financial condition, operating results and the market value of our common stock.</w:t>
      </w:r>
    </w:p>
    <w:p>
      <w:pPr>
        <w:spacing w:after="0" w:line="166" w:lineRule="exact"/>
        <w:rPr>
          <w:sz w:val="20"/>
          <w:szCs w:val="20"/>
          <w:color w:val="auto"/>
        </w:rPr>
      </w:pPr>
    </w:p>
    <w:p>
      <w:pPr>
        <w:ind w:right="340" w:firstLine="194"/>
        <w:spacing w:after="0" w:line="277" w:lineRule="auto"/>
        <w:rPr>
          <w:sz w:val="20"/>
          <w:szCs w:val="20"/>
          <w:color w:val="auto"/>
        </w:rPr>
      </w:pPr>
      <w:r>
        <w:rPr>
          <w:rFonts w:ascii="Arial" w:cs="Arial" w:eastAsia="Arial" w:hAnsi="Arial"/>
          <w:sz w:val="18"/>
          <w:szCs w:val="18"/>
          <w:b w:val="1"/>
          <w:bCs w:val="1"/>
          <w:i w:val="1"/>
          <w:iCs w:val="1"/>
          <w:color w:val="auto"/>
        </w:rPr>
        <w:t>If we are unable to obtain financing to meet the requirements of government or other grants, we may be unable to continue the development of our business.</w:t>
      </w:r>
    </w:p>
    <w:p>
      <w:pPr>
        <w:spacing w:after="0" w:line="170"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Certain of our current projects depend on government grants to fund research and development, testing and deployment of our PowerBuoy systems. Our receipt of funds under these government grants is frequently conditioned on our obtaining other financing as a prerequisite to receiving all or portions of funds under the grant. For example, our VWP project in Australia has received a grant of A$66.5 million from the Australian government, but receipt of funds under this grant is contingent on the ability to raise significant external funds. If we are unable to secure sufficient external funding on a timely basis, a granting agency could determine to withdraw the grant, change the terms of the grant in ways that make the project less attractive for us, or require us to self-fund the project. We may be unable or unwilling to self-fund a project now or in the future, so our projects are subject to the risk of substantial delay or abandonment based on the availability of external funding. Our inability to obtain grants, or to meet funding or performance milestones related to grants we obtain, could jeopardize the particular project and could damage our reputation and our relations with our commercial partners, any of which could adversely affect our financial condition and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a history of operating losses and may never achieve or maintain profitability and positive cash flow.</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$14.7 million in fiscal 2013 and $15.1 million in fiscal 2012. As of April 30, 2013, we had an accumulated deficit of $140.7 million. These losses have resulted primarily from costs incurred in our research and development programs and from our selling, general and administrative costs. As we continue to develop our proprietary technologies, we expect to have a net decrease in cash from operating activities unless or until we achieve positive cash flow from the planned commercialization of our products and services.</w:t>
      </w:r>
    </w:p>
    <w:p>
      <w:pPr>
        <w:spacing w:after="0" w:line="21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 If we are unable to achieve and then maintain profitability, the market value of our common stock may decline.</w:t>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1" w:name="page22"/>
    <w:bookmarkEnd w:id="21"/>
    <w:p>
      <w:pPr>
        <w:ind w:left="200"/>
        <w:spacing w:after="0" w:line="381" w:lineRule="auto"/>
        <w:rPr>
          <w:sz w:val="20"/>
          <w:szCs w:val="20"/>
          <w:color w:val="auto"/>
        </w:rPr>
      </w:pPr>
      <w:r>
        <w:rPr>
          <w:rFonts w:ascii="Arial" w:cs="Arial" w:eastAsia="Arial" w:hAnsi="Arial"/>
          <w:sz w:val="15"/>
          <w:szCs w:val="15"/>
          <w:b w:val="1"/>
          <w:bCs w:val="1"/>
          <w:i w:val="1"/>
          <w:iCs w:val="1"/>
          <w:color w:val="auto"/>
        </w:rPr>
        <w:t>Our future success in the utility power markets depends on our ability to increase the energy output of our utility PowerBuoy system. If we are unable to increase the energy output of our utility PowerBuoy system, the commercial prospects for our utility PowerBuoy system would be adversely affected.</w:t>
      </w:r>
    </w:p>
    <w:p>
      <w:pPr>
        <w:spacing w:after="0" w:line="128"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One of our goals is to increase the energy output of our utility PowerBuoy system. Our success in meeting this objective depends on our ability to significantly increase the energy output of our PowerBuoy system in a cost-effective and timely manner and our ability to overcome the engineering and deployment hurdles that we face, including developing design and construction techniques that will enable the larger PowerBuoy systems to be deployed cost effectively and without damage, and designing the mooring system to account for the larger-sized PowerBuoy systems. We have experienced problems and delays in the development and deployment of our PowerBuoy system in the past, and could experience similar delays or other difficulties in the future. If we cannot increase the energy output of the utility PowerBuoy system, or if it takes us longer to do so than we anticipate, we may be unable to expand our utility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20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do not reach full commercial scale, we may not be able to offer a cost competitive power station and the commercial prospects of our utility PowerBuoy system would be adversely affected.</w:t>
      </w:r>
    </w:p>
    <w:p>
      <w:pPr>
        <w:spacing w:after="0" w:line="1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Unless we reach full commercial scale, we may not be able to offer an electricity solution that competes on a non-subsidized basis with today's price of wholesale electricity in key markets in certain parts in the world. If we do not reach full commercial scale, the commercial prospects for our utility PowerBuoy system would be adversely affected.</w:t>
      </w:r>
    </w:p>
    <w:p>
      <w:pPr>
        <w:spacing w:after="0" w:line="20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then sustain profitability.</w:t>
      </w:r>
    </w:p>
    <w:p>
      <w:pPr>
        <w:spacing w:after="0" w:line="197"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97" w:lineRule="exact"/>
        <w:rPr>
          <w:sz w:val="20"/>
          <w:szCs w:val="20"/>
          <w:color w:val="auto"/>
        </w:rPr>
      </w:pPr>
    </w:p>
    <w:p>
      <w:pPr>
        <w:ind w:left="660" w:right="6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and other renewable energy sources and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relating to other renewable energy generation technologies;</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economic and market conditions that affect the cost or viability of conventional and renewable energy sources, such as increases or decreases in the prices of oil and other fossil fuels;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growth in the renewable energy equipment market;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and terms of government subsidies and incentives to support the development of renewable energy sources, including wave energy;</w:t>
      </w:r>
    </w:p>
    <w:p>
      <w:pPr>
        <w:spacing w:after="0" w:line="275"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capital expenditures by utilities and independent power producers, which tend to decrease when the economy slows and interest rates increase;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wave energy technology does not gain broad commercial acceptance, our business will be materially harmed and we may need to curtail or cease operations.</w:t>
      </w:r>
    </w:p>
    <w:p>
      <w:pPr>
        <w:spacing w:after="0" w:line="19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 systems does not develop or takes longer to develop than we anticipate, our revenues may decline, and we may be unable to achieve and then sustain profitability.</w:t>
      </w:r>
    </w:p>
    <w:p>
      <w:pPr>
        <w:spacing w:after="0" w:line="197"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Even if wave energy technology achieves broad commercial acceptance, our PowerBuoy systems may not prove to be a commercially viable technology for generating electricity from ocean waves. We have invested a significant portion of our time and financial resources since our inception in the development of our PowerBuoy systems but have not yet achieved successful commercialization of our PowerBuoy systems. As we begin to manufacture, market, sell and deploy our PowerBuoy systems in greater quantities, we may encounter unforeseen hurdles that would limit the commercial viability of our PowerBuoy systems, including unanticipated manufacturing, deployment, operating, maintenance and other costs. Our target customers and we may also encounter technical obstacles to deploying, operating and maintaining PowerBuoy systems in quantities necessary to generate competitively-priced electricity.</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jc w:val="both"/>
        <w:ind w:firstLine="389"/>
        <w:spacing w:after="0" w:line="286" w:lineRule="auto"/>
        <w:rPr>
          <w:sz w:val="20"/>
          <w:szCs w:val="20"/>
          <w:color w:val="auto"/>
        </w:rPr>
      </w:pPr>
      <w:r>
        <w:rPr>
          <w:rFonts w:ascii="Arial" w:cs="Arial" w:eastAsia="Arial" w:hAnsi="Arial"/>
          <w:sz w:val="17"/>
          <w:szCs w:val="17"/>
          <w:color w:val="auto"/>
        </w:rPr>
        <w:t>If demand for our PowerBuoy systems fails to develop sufficiently, we may be unable to grow our business or generate sufficient revenues to achieve and then sustain profitability. In addition, demand for PowerBuoy systems in our presently targeted markets, including coastal North America, the west coast of Europe, the coasts of Australia and the east coast of Japan, may not develop or may develop to a lesser extent than we anticipate.</w:t>
      </w:r>
    </w:p>
    <w:p>
      <w:pPr>
        <w:spacing w:after="0" w:line="193"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If we are not successful in commercializing our PowerBuoy system, or are significantly delayed in doing so, our business, financial condition and results of operations could be adversely affected.</w:t>
      </w:r>
    </w:p>
    <w:p>
      <w:pPr>
        <w:spacing w:after="0" w:line="197"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The reduction or elimination of government subsidies and economic incentives for renewable energy sources could prevent demand for our PowerBuoy systems from developing, which in turn would adversely affect our business, financial condition and results of operations.</w:t>
      </w:r>
    </w:p>
    <w:p>
      <w:pPr>
        <w:spacing w:after="0" w:line="174"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Federal, state and local governmental bodies in many countries, including the United Kingdom, Australia, Japan and the United States,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Moreover, because the market for electricity generated from wave energy is at an early stage of development, some of the programs may not include wave energy as a renewable energy source eligible for the incentives and subsidies.</w:t>
      </w:r>
    </w:p>
    <w:p>
      <w:pPr>
        <w:spacing w:after="0" w:line="215" w:lineRule="exact"/>
        <w:rPr>
          <w:sz w:val="20"/>
          <w:szCs w:val="20"/>
          <w:color w:val="auto"/>
        </w:rPr>
      </w:pPr>
    </w:p>
    <w:p>
      <w:pPr>
        <w:jc w:val="both"/>
        <w:ind w:firstLine="389"/>
        <w:spacing w:after="0" w:line="289" w:lineRule="auto"/>
        <w:rPr>
          <w:sz w:val="20"/>
          <w:szCs w:val="20"/>
          <w:color w:val="auto"/>
        </w:rPr>
      </w:pPr>
      <w:r>
        <w:rPr>
          <w:rFonts w:ascii="Arial" w:cs="Arial" w:eastAsia="Arial" w:hAnsi="Arial"/>
          <w:sz w:val="16"/>
          <w:szCs w:val="16"/>
          <w:color w:val="auto"/>
        </w:rPr>
        <w:t>Currently, the cost of electricity generated from wave energy, without the benefit of subsidies or other economic incentives, substantially exceeds the price of electricity in most significant markets in the world. As a result, the near-term growth of the market opportunity for our utility PowerBuoy systems, which are designed to feed electricity into a local or regional power grid, depends significantly on the availability and size of government incentives and subsidies for wave energy. As renewable energy becomes more of a competitive threat to conventional energy providers, companies active in the conventional energy business may increase their lobbying efforts in order to encourage governments to stop providing subsidies for renewable energy, including wave energy. We cannot predict the level of any such efforts, or how governments may react to such efforts. 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development costs are substantial and may increase in the future.</w:t>
      </w:r>
    </w:p>
    <w:p>
      <w:pPr>
        <w:spacing w:after="0" w:line="252"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Our product development costs primarily relate to our efforts to increase the output, durability and commercial scalability of our utility PowerBuoy system. Our product development costs were $7.3 million in fiscal 2013 and $8.3 million in fiscal 2012. 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invested, and will continue to invest, funds to construct demonstration wave power stations that may generate little or no direct revenue.</w:t>
      </w:r>
    </w:p>
    <w:p>
      <w:pPr>
        <w:spacing w:after="0" w:line="27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have constructed, and may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PowerBuoy systems do not have a sufficient operating history to confirm how they will perform over their estimated 25-year useful life.</w:t>
      </w:r>
    </w:p>
    <w:p>
      <w:pPr>
        <w:spacing w:after="0" w:line="248"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We began developing and testing wave energy technology over 15 years ago. However, to date we have only manufactured 15 PowerBuoy systems for use in ocean testing and development. The longest continuous in-ocean deployment of our PowerBuoy system had been from December 2009 to January 2012. As a result, our PowerBuoy systems do not have a sufficient operating history to confirm how they will perform over their estimated 20 to 25-year useful life. Our technology has not yet demonstrated that our engineering and test results can be duplicated in volume commercial production. We have conducted and plan to continue to conduct practical testing of our PowerBuoy system. If our PowerBuoy system ultimately proves ineffective or unfeasible, we may not be able to engage in commercial production of our products or we may become liable to our customers for quantities we are obligated but are unable to produce. If our PowerBuoy systems perform below expectations, we could lose customers and face substantial repair and replacement expense which could in turn adversely affect our business, financial condition and results of operations.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ind w:left="200" w:right="320" w:firstLine="49"/>
        <w:spacing w:after="0" w:line="264" w:lineRule="auto"/>
        <w:rPr>
          <w:sz w:val="20"/>
          <w:szCs w:val="20"/>
          <w:color w:val="auto"/>
        </w:rPr>
      </w:pPr>
      <w:r>
        <w:rPr>
          <w:rFonts w:ascii="Arial" w:cs="Arial" w:eastAsia="Arial" w:hAnsi="Arial"/>
          <w:sz w:val="18"/>
          <w:szCs w:val="18"/>
          <w:b w:val="1"/>
          <w:bCs w:val="1"/>
          <w:i w:val="1"/>
          <w:iCs w:val="1"/>
          <w:color w:val="auto"/>
        </w:rPr>
        <w:t>We have not yet deployed a wave power station consisting of an array of two or more PowerBuoy systems in a single geographic location. If we are unable to successfully deploy a multiple-system wave power station, our revenues may not increase, and we may be unable to achieve and then maintain profitability.</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have not yet deployed a wave power station consisting of an array of two or more PowerBuoy systems. Our planned VWP project in Australia contemplates deploying an array of multiple PowerBuoys in one geographic location. Whether we are able to do so, in Australia or elsewhere, is contingent upon, among other things, receipt of required governmental permits, obtaining adequate financing, successful array design implementation and, finally, successful deployment and connection of the PowerBuoy systems.</w:t>
      </w:r>
    </w:p>
    <w:p>
      <w:pPr>
        <w:spacing w:after="0" w:line="187"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have not yet conducted ocean testing or otherwise installed in the ocean a multiple-system wave power station. In particular, unlike single-system wave power stations, multiple-system wave power stations require the use of an underwater substation to connect the power transmission cables from, and collect the electricity generated by, each PowerBuoy system in the array. We have not yet deployed an underwater substation connected to multiple PowerBuoys. If our underwater substation does not work as we anticipate, we would need to design an alternative system, which could delay our business plans. In addition, unanticipated issues may arise with the logistics and mechanics of deploying and maintaining multiple PowerBuoy systems at a single site and the additional equipment associated with these multiple-system wave power stations.</w:t>
      </w:r>
    </w:p>
    <w:p>
      <w:pPr>
        <w:spacing w:after="0" w:line="17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development and deployment of an array of PowerBuoy systems may require us to incur significant expenses for preliminary engineering, permitting and legal and other expenses before we can determine whether a project is feasible, economically attractive or capable of being financed. We may be unsuccessful in accomplishing any of these tasks or doing so on a timely basis.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are unable to deploy larger PowerBuoy systems cost effectively and without damage to the systems, we may be unable to compete effectively.</w:t>
      </w:r>
    </w:p>
    <w:p>
      <w:pPr>
        <w:spacing w:after="0" w:line="28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will need to build larger buoys in order to increase the output of our current PowerBuoy systems. The larger buoys will be more difficult than our current buoys to deploy cost effectively and without damage. Our current deployment methodologies, including transportation to the installation site and the mooring of the PowerBuoy systems, will need to be revised as PowerBuoy systems achieve greater output. If we cannot develop cost effective methodologies for deployment of the larger PowerBuoy systems, or if it takes us longer to do so than we anticipate, we may not be able to deploy such systems in the time we anticipate or at all. Therefore, even if we succeed in increasing the power output of our PowerBuoy systems, if we are unable to deploy these larger PowerBuoy systems or encounter problems in doing so, we may be unable to expand our business, maintain our competitive position, satisfy our contractual obligations or become profitable.</w:t>
      </w:r>
    </w:p>
    <w:p>
      <w:pPr>
        <w:spacing w:after="0" w:line="21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we are not successful in negotiating a suitable settlement related to the 2006 Spain Construction Agreement, it could adversely affect our business, financial condition and results of operations.</w:t>
      </w:r>
    </w:p>
    <w:p>
      <w:pPr>
        <w:spacing w:after="0" w:line="19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The initial PB40 PowerBuoy system for our 2006 Spain project was deployed in September 2008. After a short testing period, the buoy was removed from the water for work on improvements to the power take-off and control systems. In November 2010, we agreed to negotiate with Iberdrola Cantabria with the goal of cancelling the remaining obligations between the parties under the construction and operations and maintenance agreements, transferring ownership of the equipment manufactured or purchased by us under the construction agreement to Iberdrola Cantabria, and having Iberdrola Cantabria pay certain amounts due to us. If negotiations are unsuccessful and no modification to the existing 2006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construction agreement, for failure of the PowerBuoy to meet certain performance thresholds.</w:t>
      </w:r>
    </w:p>
    <w:p>
      <w:pPr>
        <w:spacing w:after="0" w:line="21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operations and maintenance contracts with our customers on terms that are acceptable to us, our ability to diversify our revenue stream will be impaired.</w:t>
      </w:r>
    </w:p>
    <w:p>
      <w:pPr>
        <w:spacing w:after="0" w:line="19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An important element of our business strategy is to maximize our revenue opportunities with our existing and future customers by seeking to enter into operations and maintenance contracts with them under which we would be paid fees for operating and maintaining wave power stations that they have purchased from us. Even if customers purchase our PowerBuoy systems, they may not enter into operations and maintenance contracts with us. We may not be able to negotiate operations and maintenance contracts that provide us with any profit opportunities. Even if we successfully negotiate and enter into such operations and maintenance contracts, our customers may terminate them prematurely or they may not be profitable for a variety of reasons, including the presence of unforeseen hurdles or costs. In addition, our inability to perform adequately under such operations and maintenance contracts could impair our efforts to successfully market the PowerBuoy systems. Any one of these outcomes could have a material adverse effect on our business, financial condition and results of operations.</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4" w:name="page25"/>
    <w:bookmarkEnd w:id="24"/>
    <w:p>
      <w:pPr>
        <w:ind w:left="180"/>
        <w:spacing w:after="0"/>
        <w:rPr>
          <w:sz w:val="20"/>
          <w:szCs w:val="20"/>
          <w:color w:val="auto"/>
        </w:rPr>
      </w:pPr>
      <w:r>
        <w:rPr>
          <w:rFonts w:ascii="Arial" w:cs="Arial" w:eastAsia="Arial" w:hAnsi="Arial"/>
          <w:sz w:val="18"/>
          <w:szCs w:val="18"/>
          <w:b w:val="1"/>
          <w:bCs w:val="1"/>
          <w:i w:val="1"/>
          <w:iCs w:val="1"/>
          <w:color w:val="auto"/>
        </w:rPr>
        <w:t>Our inability to effectively manage our growth could adversely affect our business and operations.</w:t>
      </w:r>
    </w:p>
    <w:p>
      <w:pPr>
        <w:spacing w:after="0" w:line="25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As such growth is realized, we may add sales, marketing and engineering offices in additional locations, which may include Australia, Japan, and continental Europe.</w:t>
      </w:r>
    </w:p>
    <w:p>
      <w:pPr>
        <w:spacing w:after="0" w:line="214"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Problems with the quality or performance of our PowerBuoy systems could adversely affect our business, financial condition and results of operations.</w:t>
      </w:r>
    </w:p>
    <w:p>
      <w:pPr>
        <w:spacing w:after="0" w:line="287"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agreements with customers will generally include guarantees with respect to the quality and performance of our PowerBuoy systems. Because of the limited operating history of our PowerBuoy systems, we have been 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 systems, causing us to incur substantial expense to repair or replace defective systems in the future. We will bear the risk of claims long after we have sold our PowerBuoy systems and recognized revenue. Moreover, any widespread product failures could adversely affect our business, financial condition and results of operations.</w:t>
      </w:r>
    </w:p>
    <w:p>
      <w:pPr>
        <w:spacing w:after="0" w:line="20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197"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DOE accounted for 51% of our revenues and the US Navy accounted for 3% of our revenues during fiscal 2013. In fiscal 2012, revenues from the DOE accounted for 32% of our total revenues and the US Navy accounted for 29% of our revenues. In order to receive future funding from the DOE or US Navy, we would be required to enter into additional contracts with the DOE or US Navy, which would require appropriation by the US Congress and other government agencies. Additional funding for projects may not be approved or we may not be able to negotiate future agreements on acceptable terms, if at all.</w:t>
      </w:r>
    </w:p>
    <w:p>
      <w:pPr>
        <w:spacing w:after="0" w:line="181"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185"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Historically, we have relied on a small group of customers for substantially all of our revenue, and such concentration will continue for the foreseeable future. A customer’s payment default, or the loss of a customer as a result of competition, creditworthiness, our failure to perform, our inability to negotiate extensions or replacements of contracts or otherwise could adversely affect our business, financial condition and results of operations.</w:t>
      </w:r>
    </w:p>
    <w:p>
      <w:pPr>
        <w:spacing w:after="0" w:line="17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relationships with our alliance partners may not be successful, and we may not be successful in establishing additional relationships, either of which could adversely affect our ability to commercialize our products and services.</w:t>
      </w:r>
    </w:p>
    <w:p>
      <w:pPr>
        <w:spacing w:after="0" w:line="197"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An important element of our business strategy is to enter into development agreements and strategic alliances with regional utilities and energy and other companies committed to providing electricity from renewable energy sources. If we are unable to reach agreements with suitable alliance partners, we may fail to meet our business objectives for the commercialization of our PowerBuoy system.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For example, in connection with our Victoria, Australia project, a grant from the Commonwealth of Australia is conditional upon our receipt of significant additional funds. There can be no assurance that we will receive such additional funding. In addition, strategic relationships may not be successful, and we may be unable to sell and market our PowerBuoy systems to these companies and their affiliates and customers in the future, or growth opportunities may not materialize, any of which could adversely affect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ind w:left="200"/>
        <w:spacing w:after="0" w:line="277"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co-venturer's financial condition and disputes between us and our co-venturers.</w:t>
      </w:r>
    </w:p>
    <w:p>
      <w:pPr>
        <w:spacing w:after="0" w:line="1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co-venturers might become bankrupt or fail to fund their share of required capital contributions. Our co-venturers may have economic or other business interests or goals that are inconsistent with our business interests or goals and may be in a position to take actions that are contrary to our policies or objectives. Disputes between us and our co-venturers may result in litigation or arbitration that would increase our expenses and prevent our officers and/or directors from focusing their time and effort on our business. Consequently, actions by, or disputes with, partners or co-venturers might result in additional risk to wave power projects undertaken by the joint venture.</w:t>
      </w:r>
    </w:p>
    <w:p>
      <w:pPr>
        <w:spacing w:after="0" w:line="219"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208"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The renewable energy industry, particularly in our targeted markets of the west coast of North America, the west coast of Europe, the coasts of Australia and the east coast of Japan, is highly competitive and continually evolving as participants strive to distinguish themselves and compete with the larger electric power industry. Competition in the renewable energy industry is likely to continue to increase with the advent of several renewable energy technologies, including tidal and ocean current technologies.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electricity, we will not be able to respond effectively to competitive pressures from other renewable energy technologies or improvements to existing technologies.</w:t>
      </w:r>
    </w:p>
    <w:p>
      <w:pPr>
        <w:spacing w:after="0" w:line="19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Moreover, the success of renewable energy generation technologies may cause larger electric utility and other energy companies with substantial financial resources to enter into the renewable energy industry. These companies, due to their greater capital resources and substantial technical expertise, may be better positioned than we are to develop new or improve existing technologies.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inability to respond effectively to such competition could adversely affect our business, financial condition and results of operations.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9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plan to manufacture key components of our PowerBuoy systems, including the advanced control and generation systems. However, we have only manufactured our PowerBuoy systems in limited quantities for use in development and testing and have limited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There is intense competition for hiring qualified technical and engineering personnel, and we may not be able to hire a sufficient number of qualified personnel to allow us to meet our growth objectives.</w:t>
      </w:r>
    </w:p>
    <w:p>
      <w:pPr>
        <w:spacing w:after="0" w:line="220"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We may be unable to develop efficient, low-cost manufacturing capabilities and processes that will enable us to meet the quality, price, engineering, design and production standards or production volumes necessary to successfully commercialize our PowerBuoy systems.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are highly dependent on third parties to supply or manufacture components of our PowerBuoy systems. If, for any reason, our third-party manufacturers or vendors are not willing or able to provide us with components or supplies in a timely fashion, or at all, our ability to manufacture and sell many of our products could be impaired.</w:t>
      </w:r>
    </w:p>
    <w:p>
      <w:pPr>
        <w:spacing w:after="0" w:line="20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20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addition, we rely on third parties, under our oversight, for the deployment and mooring of our PowerBuoy systems. We have utilized several different deployment methods, including towing the PowerBuoy system to the deployment location, and transporting the PowerBuoy system to the deployment location by barge or ocean workboat. If these third parties do not properly deploy our systems, cannot effectively deploy the PowerBuoy system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208"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20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become ineligible for or are otherwise unable to replace any contract with the US federal government that is not extended or is terminated, our business, financial condition and results of operations will be adversely affected.</w:t>
      </w:r>
    </w:p>
    <w:p>
      <w:pPr>
        <w:spacing w:after="0" w:line="197"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2013 and fiscal 2012, we derived 54% and 61%, respectively, of our total revenue from contracts with the DOE and US Navy.</w:t>
      </w:r>
    </w:p>
    <w:p>
      <w:pPr>
        <w:spacing w:after="0" w:line="193"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US federal 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US federal government contracts are subject to audit and potential refunds for at least three years after the final contract payment is received.</w:t>
      </w:r>
    </w:p>
    <w:p>
      <w:pPr>
        <w:spacing w:after="0" w:line="1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197"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market and plan to market our products in a number of foreign countries, including the United Kingdom, Spain, Australia and Japan, and we are therefore subject to risks associated with having international operations. Revenues from customers who are based outside of the United States accounted for 41% of our revenues in fiscal 2013 and 36% of our revenues in fiscal 2012. Risks inherent in international operations include, but are not limited to, the following:</w:t>
      </w:r>
    </w:p>
    <w:p>
      <w:pPr>
        <w:spacing w:after="0" w:line="21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52"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97"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 systems and make us less competitive in some countries;</w:t>
      </w:r>
    </w:p>
    <w:p>
      <w:pPr>
        <w:spacing w:after="0" w:line="197"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exchange rates may affect demand for our PowerBuoy systems and may adversely affect our profitability in US dollars to the extent the price of our PowerBuoy systems and cost of raw materials and labor are denominated in a foreign currency;</w:t>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52"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 systems;</w:t>
      </w:r>
    </w:p>
    <w:p>
      <w:pPr>
        <w:spacing w:after="0" w:line="197"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52"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22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meeting specified contractual milestones or other performance criteria under project contracts or in completing project contracts that could delay the recognition of revenue that would otherwise be earned;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availability or level of subsidies and incentives for renewable energy 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efficiency of our manufacturing processes.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52"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ind w:left="200"/>
        <w:spacing w:after="0" w:line="277" w:lineRule="auto"/>
        <w:rPr>
          <w:sz w:val="20"/>
          <w:szCs w:val="20"/>
          <w:color w:val="auto"/>
        </w:rPr>
      </w:pPr>
      <w:r>
        <w:rPr>
          <w:rFonts w:ascii="Arial" w:cs="Arial" w:eastAsia="Arial" w:hAnsi="Arial"/>
          <w:sz w:val="18"/>
          <w:szCs w:val="18"/>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 systems.</w:t>
      </w:r>
    </w:p>
    <w:p>
      <w:pPr>
        <w:spacing w:after="0" w:line="170"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 systems.</w:t>
      </w:r>
    </w:p>
    <w:p>
      <w:pPr>
        <w:spacing w:after="0" w:line="220"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If the renewable energy industry continues to develop and if the generation of power from wave energy in particular achieves commercial acceptance, we anticipate that wave energy technology and our PowerBuoy systems and their deployment will be subject to increased oversight and regulation. We are unable to predict the nature or extent of regulations that may be imposed or adopted. Any new government regulations or utility policies pertaining to wave energy or our PowerBuoy systems may result in significant additional expenses to us and our customers and, as a result, could adversely affect our business, financial condition and results of operations.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we will not be able to implement our planned projects.</w:t>
      </w:r>
    </w:p>
    <w:p>
      <w:pPr>
        <w:spacing w:after="0" w:line="252"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Offshore development of electric power generating facilities is heavily regulated. Each of our planned projects is subject to multiple permitting and approval requirements.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21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214" w:lineRule="exact"/>
        <w:rPr>
          <w:sz w:val="20"/>
          <w:szCs w:val="20"/>
          <w:color w:val="auto"/>
        </w:rPr>
      </w:pPr>
    </w:p>
    <w:p>
      <w:pPr>
        <w:ind w:left="180" w:right="600"/>
        <w:spacing w:after="0" w:line="277" w:lineRule="auto"/>
        <w:rPr>
          <w:sz w:val="20"/>
          <w:szCs w:val="20"/>
          <w:color w:val="auto"/>
        </w:rPr>
      </w:pPr>
      <w:r>
        <w:rPr>
          <w:rFonts w:ascii="Arial" w:cs="Arial" w:eastAsia="Arial" w:hAnsi="Arial"/>
          <w:sz w:val="18"/>
          <w:szCs w:val="18"/>
          <w:b w:val="1"/>
          <w:bCs w:val="1"/>
          <w:i w:val="1"/>
          <w:iCs w:val="1"/>
          <w:color w:val="auto"/>
        </w:rPr>
        <w:t>We face hurricane- and storm-related risks and other risks typical of a marine environment which could adversely affect our business, financial condition and results of operations.</w:t>
      </w:r>
    </w:p>
    <w:p>
      <w:pPr>
        <w:spacing w:after="0" w:line="197"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PowerBuoy systems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 systems,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Since our PowerBuoy systems can only be deployed in certain geographic locations, our ability to grow our business could be adversely affected.</w:t>
      </w:r>
    </w:p>
    <w:p>
      <w:pPr>
        <w:spacing w:after="0" w:line="27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Our systems are designed to work in sites with average annual wave energy of at least 20kW per meter of wave front. Not all coastal areas worldwide have appropriate natural resources for our PowerBuoy systems to harness wave energy. Seasonal and local variations, water depth and the effect of particular locations of islands and other geographical features may limit our ability to deploy our PowerBuoy systems in coastal areas. If we are unable to identify and deploy PowerBuoy systems at sufficient sites near major population centers, our ability to grow our business could be adversely affected.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numerous accident and safety risks and hazards that are inherent in offshore energy operations.</w:t>
      </w:r>
    </w:p>
    <w:p>
      <w:pPr>
        <w:spacing w:after="0" w:line="252"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 systems.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you that we will be able to maintain adequate insurance in the future at reasonable rates.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ind w:left="200"/>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64"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We have entered into employment agreements with Charles Dunleavy, our chairman and chief executive officer, and Dr. George Taylor, our executive vice-chairman; however, the agreements permit the employees to terminate their employment with little notice. Implementation of our expansion plans will be highly dependent upon our ability to hire and retain senior executives as well as talented staff in various fields of expertise.</w:t>
      </w:r>
    </w:p>
    <w:p>
      <w:pPr>
        <w:spacing w:after="0" w:line="20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addition, our anticipated growth will require us to hire a significant number of qualified technical, commercial and administrative personnel. The majority of our new hires will be engineers with varying levels and areas of expertise, project managers and manufacturing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 at a competitive pace.</w:t>
      </w:r>
    </w:p>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19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From time to time, we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215"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subject us to the risk of non-performance by a counterparty, which may in turn lead to monetary losses that materially and adversely affect our business, financial condition and results of operations.</w:t>
      </w:r>
    </w:p>
    <w:p>
      <w:pPr>
        <w:spacing w:after="0" w:line="19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97"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51"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contracts with the government could negatively affect our intellectual property rights, and our ability to commercialize our products could be impaired.</w:t>
      </w:r>
    </w:p>
    <w:p>
      <w:pPr>
        <w:spacing w:after="0" w:line="19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Our agreements with the US Navy and DOE help fund research and development of our PowerBuoy system.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219"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20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74"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21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our business, financial condition and results of operations could be adversely affected.</w:t>
      </w:r>
    </w:p>
    <w:p>
      <w:pPr>
        <w:spacing w:after="0" w:line="197"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20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200"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ind w:left="180"/>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97"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approval of our board of directors, our bylaws may only be amended or repealed by the affirmative vote of the holders of at least 75% of our shares of capital stock entitled to vote.</w:t>
      </w:r>
    </w:p>
    <w:p>
      <w:pPr>
        <w:spacing w:after="0" w:line="181"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6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is likely to be volatile, and purchasers of our common stock could incur substantial losses.</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market price of our common stock may fluctuate significantly in response to factors that are beyond our control. For the period ended April 30, 2013, the 52-week high and low prices for our common stock were $3.97 and $1.45, respectively.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21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660" w:right="12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 of our company and of the renewable energy industry;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become the target of securities litigation, which is costly and time-consuming to defend.</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the past, companies that experience significant volatility in the market price of their publicly-traded securities have become subject to class action securities litigation. If the market value of our securities experiences adverse fluctuations and we become involved in this type of litigation, regardless of the outcome, we could incur substantial legal costs and our management’s attention could be diverted from the operation of our business, causing our business to suffer.</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4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corporate headquarters are located in Pennington, New Jersey, where we occupy approximately 22,000 square feet under a lease expiring on April 30, 2015. We use these facilities for administration, research and development, as well as assembly and testing of the generators and control models for our PowerBuoy systems.</w:t>
      </w:r>
    </w:p>
    <w:p>
      <w:pPr>
        <w:spacing w:after="0" w:line="20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also have an office in Warwick, United Kingdom, where we occupy 1,390 square feet under a lease expiring on January 1, 2014. Six employees, all members of the executive, engineering, administration and business development teams, operate out of this office, which serves as a hub for our European presence.</w:t>
      </w:r>
    </w:p>
    <w:p>
      <w:pPr>
        <w:spacing w:after="0" w:line="208"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In the future, we may add sales, marketing and engineering offices in additional locations, which may include Australia, Japan and continental Europe and the west coast of North America.</w:t>
      </w:r>
    </w:p>
    <w:p>
      <w:pPr>
        <w:spacing w:after="0" w:line="2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820" w:right="80" w:hanging="809"/>
        <w:spacing w:after="0" w:line="293" w:lineRule="auto"/>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 and Stockholders</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common stock has been listed on the Nasdaq Global Market since April 24, 2007 under the symbol "OPTT." As of June 30, 2013, there were 247 holders of record for shares of our common stock. Since a portion of our common stock is held in "street" or nominee name, we are unable to determine the exact number of beneficial holders.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high and the low sale prices of our common stock as quoted by the Nasdaq Global Market for the period indicated.</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Nasdaq Global Market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960" w:type="dxa"/>
            <w:vAlign w:val="bottom"/>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High</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Low</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2013</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First quarter</w:t>
            </w:r>
          </w:p>
        </w:tc>
        <w:tc>
          <w:tcPr>
            <w:tcW w:w="1020" w:type="dxa"/>
            <w:vAlign w:val="bottom"/>
          </w:tcPr>
          <w:p>
            <w:pPr>
              <w:jc w:val="right"/>
              <w:ind w:right="85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Third quarter</w:t>
            </w:r>
          </w:p>
        </w:tc>
        <w:tc>
          <w:tcPr>
            <w:tcW w:w="10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Year Ended April 30, 2012</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There have been no unregistered sales of equity securities or purchases of equity securities by the Company that are required to be disclosed.</w:t>
      </w:r>
    </w:p>
    <w:p>
      <w:pPr>
        <w:spacing w:after="0" w:line="27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70"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2013 are to the fiscal year ended April 30, 2013.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operations and maintenance services for our PowerBuoy systems. In addition, we continue to develop and expect to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its 100% ownership of Victorian Wave Partners Pty. Ltd.</w:t>
      </w:r>
    </w:p>
    <w:p>
      <w:pPr>
        <w:spacing w:after="0" w:line="187"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or APB-350, incorporates a unique power take-off and on-board storage system, and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Mark 3 PowerBuoy (previously referred to as “150kW PowerBuoy” or “PB150”) were conducted. These ocean trials were conducted at a site approximately 33 nautical miles from Invergordon, off Scotland’s northeast coast. During the ocean trials, our Mark 3 PowerBuoy produced power in excess of our expectations of performance. Our utility scale Mark 3 PowerBuoy structure and mooring system achieved independent certification from Lloyd’s Register in December 2010. This certification confirms that the Mark 3 PowerBuoy design complies with the requirements of Lloyd’s 1999 Rules and Regulations for the Classification of Floating Offshore Installations at Fixed Locations.</w:t>
      </w:r>
    </w:p>
    <w:p>
      <w:pPr>
        <w:spacing w:after="0" w:line="193" w:lineRule="exact"/>
        <w:rPr>
          <w:sz w:val="20"/>
          <w:szCs w:val="20"/>
          <w:color w:val="auto"/>
        </w:rPr>
      </w:pPr>
    </w:p>
    <w:p>
      <w:pPr>
        <w:jc w:val="both"/>
        <w:ind w:firstLine="480"/>
        <w:spacing w:after="0" w:line="264" w:lineRule="auto"/>
        <w:rPr>
          <w:sz w:val="20"/>
          <w:szCs w:val="20"/>
          <w:color w:val="auto"/>
        </w:rPr>
      </w:pPr>
      <w:r>
        <w:rPr>
          <w:rFonts w:ascii="Arial" w:cs="Arial" w:eastAsia="Arial" w:hAnsi="Arial"/>
          <w:sz w:val="18"/>
          <w:szCs w:val="18"/>
          <w:color w:val="auto"/>
        </w:rPr>
        <w:t>During fiscal 2013, we continued work on projects with Mitsui Engineering &amp; Shipbuilding and the US Department of Homeland Security, our WavePort project in Spain and our Mark 3 PowerBuoy in Oregon. We also continued to work on developing our Mark 4 PowerBuoy (previously referred to as “PB500 PowerBuoy”).</w:t>
      </w:r>
    </w:p>
    <w:p>
      <w:pPr>
        <w:spacing w:after="0" w:line="181"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7"/>
          <w:szCs w:val="17"/>
          <w:color w:val="auto"/>
        </w:rPr>
        <w:t>We are planning for deployment of a second Mark 3 PowerBuoy, which would be located off the coast of Oregon. However, deployment and commissioning of this PowerBuoy must take into consideration various regulatory, business, and financial factors, including requirements of regulatory agencies and a significant use of funds. The FERC staff informed us in February 2013 of their view that the License’s various planning, reporting and other pre- and post-deployment requirements may extend to this first, non-grid connected buoy. In May 2013, we filed a Motion for Extensions to Comply with License Requirements with FERC. This motion sought to move those various requirements into the future, aligning them with deployment of the full array of 10 PowerBuoys, so that they would not apply to the first non-grid connected buoy. In June 2013, FERC issued an order extending certain requirements for one year rather than aligning those requirements with the 10-buoy array as requested. By separate letter, we were informed by the FERC staff that the agency’s position remains that the License’s various requirements extend to the deployment of this initial buoy, and that we may request an amendment of its License seeking to modify various requirements. Pending ultimate resolution of this matter, we may be required to submit certain reports and perform additional studies associated with the first buoy. This process will require significant delay of the deployment of the first PowerBuoy, as well as impose additional costs on us. We continue to evaluate various options in response to the FERC staff’s position; however, absent a successful request by us either challenging FERC’s jurisdiction or seeking to modify the License to alleviate some or all of these new requirements, we will have to comply with the current License in the first buoy deployment.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jc w:val="both"/>
        <w:ind w:firstLine="486"/>
        <w:spacing w:after="0" w:line="264" w:lineRule="auto"/>
        <w:rPr>
          <w:sz w:val="20"/>
          <w:szCs w:val="20"/>
          <w:color w:val="auto"/>
        </w:rPr>
      </w:pPr>
      <w:r>
        <w:rPr>
          <w:rFonts w:ascii="Arial" w:cs="Arial" w:eastAsia="Arial" w:hAnsi="Arial"/>
          <w:sz w:val="18"/>
          <w:szCs w:val="18"/>
          <w:color w:val="auto"/>
        </w:rPr>
        <w:t>OPT intends to seek additional funding specific to this project for deployment of this PowerBuoy in view of costs associated with regulatory issues and weather delays. Deployment of this initial buoy will depend on resolution of these financial and regulatory issues, and such deployment is expected to be delayed beyond calendar 2013.</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efforts continued toward deployment of the planned 19MW (62.5MW peak generation rating) wave power project off the coast of Victoria, Australia. Funding for this project includes a grant of A$66.5 million (approximately US$62 million) awarded by the Commonwealth of Australia. The grant is subject to certain terms, including achievement of significant external funding milestones, in order to enable our receipt of the grant funds. We have engaged a financial advisor to lead efforts to structure power purchase agreements and secure appropriate financing for this project. The Board of Directors of the Australian Renewable Energy Agency, the Commonwealth agency, that manages the grant, is reviewing the status of the grant, including progress toward funding milestones and amendments to the grant as proposed by us.</w:t>
      </w:r>
    </w:p>
    <w:p>
      <w:pPr>
        <w:spacing w:after="0" w:line="193" w:lineRule="exact"/>
        <w:rPr>
          <w:sz w:val="20"/>
          <w:szCs w:val="20"/>
          <w:color w:val="auto"/>
        </w:rPr>
      </w:pPr>
    </w:p>
    <w:p>
      <w:pPr>
        <w:jc w:val="both"/>
        <w:ind w:firstLine="527"/>
        <w:spacing w:after="0" w:line="269" w:lineRule="auto"/>
        <w:rPr>
          <w:sz w:val="20"/>
          <w:szCs w:val="20"/>
          <w:color w:val="auto"/>
        </w:rPr>
      </w:pPr>
      <w:r>
        <w:rPr>
          <w:rFonts w:ascii="Arial" w:cs="Arial" w:eastAsia="Arial" w:hAnsi="Arial"/>
          <w:sz w:val="17"/>
          <w:szCs w:val="17"/>
          <w:color w:val="auto"/>
        </w:rPr>
        <w:t>At April 30, 2013, our total negotiated backlog was $3.8 million compared with $6.8 million at April 30, 2012. We anticipate that the majority of our backlog will be recognized as revenue over a period exceeding 12 months. The decrease in backlog is a result of revenue recognized during the period offset by new orders during fiscal 2013 of $0.8 million and changes in foreign currency of $0.2 million. New orders during fiscal 2013 included an approximately $0.7 million contract from Mitsui Shipbuilding &amp; Engineering (“MES”) to further work towards development of the Company’s PowerBuoy technology for application in Japanese sea conditions. A portion of our backlog at April 30, 2013, is for our Oregon project, and we intend to seek additional funding to enable completion of this project. Most of our backlog at April 30, 2013 and 2012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$3.8 million and $4.8 million at April 30, 2013 and 2012, respectively.</w:t>
      </w:r>
    </w:p>
    <w:p>
      <w:pPr>
        <w:spacing w:after="0" w:line="1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fiscal 2013, we generated revenues of $3.6 million and incurred a net loss attributable to Ocean Power Technologies, Inc. of $14.7 million, and for fiscal 2012, we generated revenues of $5.7 million and incurred a net loss attributable to Ocean Power Technologies, Inc. of $15.1 million. As of April 30, 2013, our accumulated deficit was $140.7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continued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the continuing global economic uncertainty will have a material negative impact on our sources of supply, as our products incorporate what are substantially non-custom, standard parts found in many regions of the world.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92"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projects in fiscal year 2013 were under cost-sharing contracts.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2013 and 2012:</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Years Ended April 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420" w:type="dxa"/>
            <w:vAlign w:val="bottom"/>
            <w:gridSpan w:val="3"/>
          </w:tcPr>
          <w:p>
            <w:pPr>
              <w:jc w:val="right"/>
              <w:ind w:right="370"/>
              <w:spacing w:after="0"/>
              <w:rPr>
                <w:sz w:val="20"/>
                <w:szCs w:val="20"/>
                <w:color w:val="auto"/>
              </w:rPr>
            </w:pPr>
            <w:r>
              <w:rPr>
                <w:rFonts w:ascii="Arial" w:cs="Arial" w:eastAsia="Arial" w:hAnsi="Arial"/>
                <w:sz w:val="18"/>
                <w:szCs w:val="18"/>
                <w:color w:val="auto"/>
              </w:rPr>
              <w:t>($ millions)</w:t>
            </w:r>
          </w:p>
        </w:tc>
        <w:tc>
          <w:tcPr>
            <w:tcW w:w="116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Department of Energy</w:t>
            </w:r>
          </w:p>
        </w:tc>
        <w:tc>
          <w:tcPr>
            <w:tcW w:w="1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w:t>
            </w:r>
          </w:p>
        </w:tc>
        <w:tc>
          <w:tcPr>
            <w:tcW w:w="1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440" w:type="dxa"/>
            <w:vAlign w:val="bottom"/>
          </w:tcPr>
          <w:p>
            <w:pPr>
              <w:ind w:left="380"/>
              <w:spacing w:after="0"/>
              <w:rPr>
                <w:sz w:val="20"/>
                <w:szCs w:val="20"/>
                <w:color w:val="auto"/>
              </w:rPr>
            </w:pPr>
            <w:r>
              <w:rPr>
                <w:rFonts w:ascii="Arial" w:cs="Arial" w:eastAsia="Arial" w:hAnsi="Arial"/>
                <w:sz w:val="18"/>
                <w:szCs w:val="18"/>
                <w:color w:val="auto"/>
              </w:rPr>
              <w:t>Mitsui Engineering &amp; Shipbuilding</w:t>
            </w:r>
          </w:p>
        </w:tc>
        <w:tc>
          <w:tcPr>
            <w:tcW w:w="10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European Union (WavePort project)</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40" w:type="dxa"/>
            <w:vAlign w:val="bottom"/>
          </w:tcPr>
          <w:p>
            <w:pPr>
              <w:ind w:left="380"/>
              <w:spacing w:after="0"/>
              <w:rPr>
                <w:sz w:val="20"/>
                <w:szCs w:val="20"/>
                <w:color w:val="auto"/>
              </w:rPr>
            </w:pPr>
            <w:r>
              <w:rPr>
                <w:rFonts w:ascii="Arial" w:cs="Arial" w:eastAsia="Arial" w:hAnsi="Arial"/>
                <w:sz w:val="18"/>
                <w:szCs w:val="18"/>
                <w:color w:val="auto"/>
              </w:rPr>
              <w:t>US Navy</w:t>
            </w:r>
          </w:p>
        </w:tc>
        <w:tc>
          <w:tcPr>
            <w:tcW w:w="10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UK Government's Technology Strategy Board</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40" w:type="dxa"/>
            <w:vAlign w:val="bottom"/>
          </w:tcPr>
          <w:p>
            <w:pPr>
              <w:ind w:left="380"/>
              <w:spacing w:after="0"/>
              <w:rPr>
                <w:sz w:val="20"/>
                <w:szCs w:val="20"/>
                <w:color w:val="auto"/>
              </w:rPr>
            </w:pPr>
            <w:r>
              <w:rPr>
                <w:rFonts w:ascii="Arial" w:cs="Arial" w:eastAsia="Arial" w:hAnsi="Arial"/>
                <w:sz w:val="18"/>
                <w:szCs w:val="18"/>
                <w:color w:val="auto"/>
              </w:rPr>
              <w:t>Others</w:t>
            </w: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revenue decrease for fiscal 2013 reflected significant decreases in revenue from the US Navy attributable to completion of the LEAP program in 2012 and the revenue related to our Mark 4 PowerBuoy development project. The revenue decrease was partially offset by increases in revenue from our project with Mitsui Engineering &amp; Shipbuilding and our PowerBuoy project off the coast of Oregon.</w:t>
      </w:r>
    </w:p>
    <w:p>
      <w:pPr>
        <w:spacing w:after="0" w:line="181"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Overall, the US Navy has been our largest customer since fiscal 2002. The DOE was our largest customer in fiscal 2013 and in fiscal 2012. Combined, these two customers accounted for 54% of our revenues in fiscal 2013 and 61% of our revenues in fiscal 2012.</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currently focus our sales and marketing efforts on the west coast of North America, the west coast of Europe, Australia and the east coast of Japan.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percentage of our revenues by geographical location of our customers for fiscal years 2013 and 2012:</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96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b w:val="1"/>
                <w:bCs w:val="1"/>
                <w:color w:val="auto"/>
                <w:w w:val="93"/>
              </w:rPr>
              <w:t>Years Ended April 30,</w:t>
            </w: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8"/>
                <w:szCs w:val="18"/>
                <w:color w:val="auto"/>
              </w:rPr>
            </w:pPr>
          </w:p>
        </w:tc>
      </w:tr>
      <w:tr>
        <w:trPr>
          <w:trHeight w:val="210"/>
        </w:trPr>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380"/>
              <w:spacing w:after="0"/>
              <w:rPr>
                <w:sz w:val="20"/>
                <w:szCs w:val="20"/>
                <w:color w:val="auto"/>
              </w:rPr>
            </w:pPr>
            <w:r>
              <w:rPr>
                <w:rFonts w:ascii="Arial" w:cs="Arial" w:eastAsia="Arial" w:hAnsi="Arial"/>
                <w:sz w:val="18"/>
                <w:szCs w:val="18"/>
                <w:color w:val="auto"/>
              </w:rPr>
              <w:t>Europe</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Asia and Australia</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250"/>
        </w:trPr>
        <w:tc>
          <w:tcPr>
            <w:tcW w:w="4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some contracts.</w:t>
      </w:r>
    </w:p>
    <w:p>
      <w:pPr>
        <w:spacing w:after="0" w:line="17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operated at a gross profit of $0.1 million in both fiscal 2013 and 2012. Most of our revenue recorded in fiscal 2013 was generated from cost-sharing contracts, which result in zero gross profit. Our ability to generate a gross profit will depend on the nature of future contracts, our success at increasing sales of our PowerBuoy systems and on our ability to manage costs incurred on fixed price commercial contracts.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52"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power output and reliability of our utility PowerBuoy system, especially our Mark 4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7" w:name="page38"/>
    <w:bookmarkEnd w:id="37"/>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costs</w:t>
      </w:r>
    </w:p>
    <w:p>
      <w:pPr>
        <w:spacing w:after="0" w:line="25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52"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Interest income consists of interest received on cash and cash equivalents, investments in commercial bank-issued certificates of deposit and US Treasury bills and notes. Total cash, cash equivalents, restricted cash, and marketable securities were $21.7 million as of April 30, 2013 and $33.2 million as of April 30, 2012. Interest income decreased due to a decline in interest rates and a decline in cash, cash equivalents and marketable securities.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income reported in future years may decrease from fiscal 2013 as a result of a decrease in invested cash.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the Australian dollar and Japanese yen.</w:t>
      </w:r>
    </w:p>
    <w:p>
      <w:pPr>
        <w:spacing w:after="0" w:line="17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invest our cash reserves in certificates of deposit and maintain cash accounts that are denominated in British pounds sterling, Euros and Australian dollars. These foreign denominated certificates of deposit and cash accounts had a balance of $2.5 million as of April 30, 2013 and $2.8 million as of April 30, 2012, compared to our total cash, cash equivalents, restricted cash, and marketable securities balances of $21.7 million as of April 30, 2013 and $33.2 million as of April 30, 2012.</w:t>
      </w:r>
    </w:p>
    <w:p>
      <w:pPr>
        <w:spacing w:after="0" w:line="214"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Our international revenues for the years ended April 30, 2013 and 2012 were recorded in Euros, British pounds sterling or Japanese yen.</w:t>
      </w:r>
    </w:p>
    <w:p>
      <w:pPr>
        <w:spacing w:after="0" w:line="173"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As of April 30, 2013, we had federal and foreign net operating loss carryforwards of $74.7 million and $20.9 million, respectively, and federal and foreign research and development tax credits of $2.1 million, which may be used to offset future taxable income. As of April 30, 2013, we had state net operating loss carryforwards of $28.6 million. If not utilized, the net operating loss carryforwards and credit carryforwards will expire at various dates through 2032.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$43.7 million as of April 30, 2013 and April 30, 2012.</w:t>
      </w:r>
    </w:p>
    <w:p>
      <w:pPr>
        <w:spacing w:after="0" w:line="179"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During the years ended April 30, 2013 and 2012, we sold New Jersey State net operating losses in the amount of $18.7 million and $12.9 million, respectively, resulting in the recognition of income tax benefits of $1.5 million and $1.1 million, respectively, recorded in our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Years Ended April 30, 2013 and 2012</w:t>
      </w:r>
    </w:p>
    <w:p>
      <w:pPr>
        <w:spacing w:after="0" w:line="252"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following table contains statement of operations information, which serves as the basis of the discussion of our results of operations for the years ended April 30, 2013 and 2012:</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7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Fiscal Year Ended</w:t>
            </w:r>
          </w:p>
        </w:tc>
        <w:tc>
          <w:tcPr>
            <w:tcW w:w="24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Fiscal Year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7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April 30, 2013</w:t>
            </w:r>
          </w:p>
        </w:tc>
        <w:tc>
          <w:tcPr>
            <w:tcW w:w="24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April 30, 2012</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 Change</w:t>
            </w:r>
          </w:p>
        </w:tc>
      </w:tr>
      <w:tr>
        <w:trPr>
          <w:trHeight w:val="191"/>
        </w:trPr>
        <w:tc>
          <w:tcPr>
            <w:tcW w:w="4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2013 Period</w:t>
            </w:r>
          </w:p>
        </w:tc>
      </w:tr>
      <w:tr>
        <w:trPr>
          <w:trHeight w:val="216"/>
        </w:trPr>
        <w:tc>
          <w:tcPr>
            <w:tcW w:w="4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As a %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a % of</w:t>
            </w:r>
          </w:p>
        </w:tc>
        <w:tc>
          <w:tcPr>
            <w:tcW w:w="12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4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Revenues  (1)</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Revenues  (1)</w:t>
            </w:r>
          </w:p>
        </w:tc>
        <w:tc>
          <w:tcPr>
            <w:tcW w:w="12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2012 Period</w:t>
            </w:r>
          </w:p>
        </w:tc>
      </w:tr>
      <w:tr>
        <w:trPr>
          <w:trHeight w:val="20"/>
        </w:trPr>
        <w:tc>
          <w:tcPr>
            <w:tcW w:w="4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3,616,129</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5,738,506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3,480,821</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5,683,731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r>
      <w:tr>
        <w:trPr>
          <w:trHeight w:val="21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135,308</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54,775</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7,327,766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8,337,424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040" w:type="dxa"/>
            <w:vAlign w:val="bottom"/>
          </w:tcPr>
          <w:p>
            <w:pPr>
              <w:jc w:val="right"/>
              <w:spacing w:after="0"/>
              <w:rPr>
                <w:sz w:val="20"/>
                <w:szCs w:val="20"/>
                <w:color w:val="auto"/>
              </w:rPr>
            </w:pPr>
            <w:r>
              <w:rPr>
                <w:rFonts w:ascii="Arial" w:cs="Arial" w:eastAsia="Arial" w:hAnsi="Arial"/>
                <w:sz w:val="18"/>
                <w:szCs w:val="18"/>
                <w:color w:val="auto"/>
              </w:rPr>
              <w:t>9,126,757</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8,274,096</w:t>
            </w: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16,454,523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16,611,520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0"/>
        </w:trPr>
        <w:tc>
          <w:tcPr>
            <w:tcW w:w="4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(16,319,215)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(16,556,745)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(289)</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126,377</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418,052</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exchange loss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(83,416)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(104,739)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(16,276,254)</w:t>
            </w: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(16,243,432)</w:t>
            </w: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tcPr>
          <w:p>
            <w:pPr>
              <w:jc w:val="right"/>
              <w:spacing w:after="0"/>
              <w:rPr>
                <w:sz w:val="20"/>
                <w:szCs w:val="20"/>
                <w:color w:val="auto"/>
              </w:rPr>
            </w:pPr>
            <w:r>
              <w:rPr>
                <w:rFonts w:ascii="Arial" w:cs="Arial" w:eastAsia="Arial" w:hAnsi="Arial"/>
                <w:sz w:val="18"/>
                <w:szCs w:val="18"/>
                <w:color w:val="auto"/>
              </w:rPr>
              <w:t>1,453,243</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1,053,427</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68083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80835" cy="1460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ind w:left="340"/>
        <w:spacing w:after="0"/>
        <w:rPr>
          <w:sz w:val="20"/>
          <w:szCs w:val="20"/>
          <w:color w:val="auto"/>
        </w:rPr>
      </w:pPr>
      <w:r>
        <w:rPr>
          <w:rFonts w:ascii="Arial" w:cs="Arial" w:eastAsia="Arial" w:hAnsi="Arial"/>
          <w:sz w:val="18"/>
          <w:szCs w:val="18"/>
          <w:color w:val="auto"/>
        </w:rPr>
        <w:t>Net loss</w:t>
      </w:r>
    </w:p>
    <w:p>
      <w:pPr>
        <w:spacing w:after="0" w:line="8" w:lineRule="exact"/>
        <w:rPr>
          <w:sz w:val="20"/>
          <w:szCs w:val="20"/>
          <w:color w:val="auto"/>
        </w:rPr>
      </w:pPr>
    </w:p>
    <w:p>
      <w:pPr>
        <w:ind w:left="660" w:hanging="161"/>
        <w:spacing w:after="0" w:line="255" w:lineRule="auto"/>
        <w:rPr>
          <w:sz w:val="20"/>
          <w:szCs w:val="20"/>
          <w:color w:val="auto"/>
        </w:rPr>
      </w:pPr>
      <w:r>
        <w:rPr>
          <w:rFonts w:ascii="Arial" w:cs="Arial" w:eastAsia="Arial" w:hAnsi="Arial"/>
          <w:sz w:val="18"/>
          <w:szCs w:val="18"/>
          <w:color w:val="auto"/>
        </w:rPr>
        <w:t>Less: Net loss attributable to the noncontrolling interest in Ocean Power Technologies (Australasia) Pty Ltd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loss attributable to Ocean Power Technologies, Inc</w:t>
      </w:r>
    </w:p>
    <w:p>
      <w:pPr>
        <w:spacing w:after="0" w:line="200" w:lineRule="exact"/>
        <w:rPr>
          <w:sz w:val="20"/>
          <w:szCs w:val="20"/>
          <w:color w:val="auto"/>
        </w:rPr>
      </w:pPr>
    </w:p>
    <w:p>
      <w:pPr>
        <w:spacing w:after="0" w:line="3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Certain subtotals may not add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(14,823,011)</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(410)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(15,190,005)</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(265)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620"/>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141,174</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49,503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(14,681,837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(15,140,502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-162560</wp:posOffset>
            </wp:positionV>
            <wp:extent cx="668083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0835" cy="163195"/>
                    </a:xfrm>
                    <a:prstGeom prst="rect">
                      <a:avLst/>
                    </a:prstGeom>
                    <a:noFill/>
                  </pic:spPr>
                </pic:pic>
              </a:graphicData>
            </a:graphic>
          </wp:anchor>
        </w:drawing>
      </w:r>
    </w:p>
    <w:p>
      <w:pPr>
        <w:spacing w:after="0" w:line="932" w:lineRule="exact"/>
        <w:rPr>
          <w:sz w:val="20"/>
          <w:szCs w:val="20"/>
          <w:color w:val="auto"/>
        </w:rPr>
      </w:pPr>
    </w:p>
    <w:p>
      <w:pPr>
        <w:sectPr>
          <w:pgSz w:w="11900" w:h="16838" w:orient="portrait"/>
          <w:cols w:equalWidth="0" w:num="2">
            <w:col w:w="4360" w:space="100"/>
            <w:col w:w="6960"/>
          </w:cols>
          <w:pgMar w:left="240" w:top="580" w:right="2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Revenues decreased by $2.1 million in fiscal 2013, or 37%, to $3.6 million as compared to $5.7 million in fiscal 2012. The change in revenues was attributable primarily to the following factors:</w:t>
      </w:r>
    </w:p>
    <w:p>
      <w:pPr>
        <w:spacing w:after="0" w:line="211" w:lineRule="exact"/>
        <w:rPr>
          <w:sz w:val="20"/>
          <w:szCs w:val="20"/>
          <w:color w:val="auto"/>
        </w:rPr>
      </w:pPr>
    </w:p>
    <w:p>
      <w:pPr>
        <w:jc w:val="both"/>
        <w:ind w:left="700" w:hanging="233"/>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relating to our utility PowerBuoy system decreased by $0.6 million due primarily to a decrease in billable work on our Mark 4 PowerBuoy development project and our WavePort project off the coast of Spain. This was partially offset by increases in revenue related to our project with Mitsui Engineering &amp; Shipbuilding and our PowerBuoy project off the coast of Oregon.</w:t>
      </w:r>
    </w:p>
    <w:p>
      <w:pPr>
        <w:spacing w:after="0" w:line="181" w:lineRule="exact"/>
        <w:rPr>
          <w:rFonts w:ascii="Arial" w:cs="Arial" w:eastAsia="Arial" w:hAnsi="Arial"/>
          <w:sz w:val="18"/>
          <w:szCs w:val="18"/>
          <w:color w:val="auto"/>
        </w:rPr>
      </w:pPr>
    </w:p>
    <w:p>
      <w:pPr>
        <w:ind w:left="700" w:hanging="233"/>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 relating to our autonomous PowerBuoy system decreased by $1.5 million as a result of a decrease in billable work on our project to provide our PowerBuoy technology to the US Navy’s LEAP program. The LEAP program has been completed in fiscal 2012.</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Cost of revenues decreased by $2.2 million, or 39%, to $3.5 million in fiscal 2013, as compared to $5.7 million in fiscal 2012. This decrease in the cost of revenues reflected the decreased costs related to our Mark 4 PowerBuoy development project as well as our LEAP project with the US Navy. This was partially offset by the increased activity on our project with Mitsui Engineering &amp; Shipbuilding and our PowerBuoy project off the coast of Oregon.</w:t>
      </w:r>
    </w:p>
    <w:p>
      <w:pPr>
        <w:spacing w:after="0" w:line="14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operated at a gross profit of $0.1 million in fiscal 2013 and in fiscal 2012. Most of our projects in fiscal 2013 and 2012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Product development costs</w:t>
      </w:r>
    </w:p>
    <w:p>
      <w:pPr>
        <w:spacing w:after="0" w:line="2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Product development costs decreased by $1.0 million, or 12%, to $7.3 million in fiscal 2013, as compared to $8.3 million in fiscal 2012. Product development costs were attributable primarily to our efforts to increase the power output and reliability of our PowerBuoy system, especially for our utility-scale PowerBuoy system. The decrease in product development costs was due primarily to a decrease in activity related to our project off the coast of Scotland. The Scotland project was completed in fiscal 2012. The decrease was partially offset by increases in activity related to our WavePort project off the coast of Spain and our Oregon project. Over the next several years, it is our intent to fund the majority of our research and development expenses, including cost-sharing arrangements, with sources of external funding. If we are unable to obtain external funding, we may curtail our research and development expenses. During fiscal 2013, the majority of funding for our Mark 4 PowerBuoy development project was from external sources.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52" w:lineRule="exact"/>
        <w:rPr>
          <w:sz w:val="20"/>
          <w:szCs w:val="20"/>
          <w:color w:val="auto"/>
        </w:rPr>
      </w:pPr>
    </w:p>
    <w:p>
      <w:pPr>
        <w:jc w:val="both"/>
        <w:ind w:firstLine="455"/>
        <w:spacing w:after="0" w:line="264" w:lineRule="auto"/>
        <w:rPr>
          <w:sz w:val="20"/>
          <w:szCs w:val="20"/>
          <w:color w:val="auto"/>
        </w:rPr>
      </w:pPr>
      <w:r>
        <w:rPr>
          <w:rFonts w:ascii="Arial" w:cs="Arial" w:eastAsia="Arial" w:hAnsi="Arial"/>
          <w:sz w:val="18"/>
          <w:szCs w:val="18"/>
          <w:color w:val="auto"/>
        </w:rPr>
        <w:t>Selling, general and administrative costs increased by $0.9 million, or 10%, to $9.1 million for fiscal 2013 as compared to $8.3 million for fiscal 2012. The increase was due primarily to an increase in business development-related legal fees and site development expenses related to the planned VWP wave power station project in Australia.</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Interest income decreased by $0.3 million, or 70%, to $0.1 million in fiscal 2013, compared to $0.4 million in fiscal 2012, due to a decrease in cash, cash equivalents and marketable securities and a decrease in interest rates. The average interest yield was approximately 0.46% during fiscal 2013 and approximately 1.03% during fiscal 2012.</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exchange loss</w:t>
      </w:r>
    </w:p>
    <w:p>
      <w:pPr>
        <w:spacing w:after="0" w:line="252"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Foreign exchange loss was $0.1 million in fiscal 2013 and in fiscal 2012. The losses in both years were attributable primarily to the relative change in value of the British pound sterling, Euro, Australian dollar and Japanese yen compared to the US dollar during the two periods.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20" w:firstLine="389"/>
        <w:spacing w:after="0" w:line="308" w:lineRule="auto"/>
        <w:rPr>
          <w:sz w:val="20"/>
          <w:szCs w:val="20"/>
          <w:color w:val="auto"/>
        </w:rPr>
      </w:pPr>
      <w:r>
        <w:rPr>
          <w:rFonts w:ascii="Arial" w:cs="Arial" w:eastAsia="Arial" w:hAnsi="Arial"/>
          <w:sz w:val="17"/>
          <w:szCs w:val="17"/>
          <w:color w:val="auto"/>
        </w:rPr>
        <w:t>During the years ended April 30, 2013 and 2012, we sold New Jersey state net operating losses in the amount of $18.7 million and $12.9 million, respectively, resulting in the recognition of income tax benefits of $1.5 million and $1.1, respectively, recorded in our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Outlook</w:t>
      </w:r>
    </w:p>
    <w:p>
      <w:pPr>
        <w:spacing w:after="0" w:line="229"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We have incurred net losses since we began operations in 1994. To achieve profitability, we believe we will need to increase revenue and gross profit, control our fixed costs and possibly reduce our unfunded research and development expenditures.</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 systems in the emerging renewable market. Even if we do achieve profitability, we may not be able to sustain or increase profitability on a quarterly or annual basis.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2013, our revenues were $9.4 million, our net losses were $30 million and our net cash used in operating activities was $24.8 million.</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April 30,</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(14,823,011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(15,190,005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noncash operating items</w:t>
            </w: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1,484,011</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2,338,085</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operating loss</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(13,339,000</w:t>
            </w: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(12,851,920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operating assets and liabilities</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2,493,352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(10,845,648</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(13,914,843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8,057,573</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19,311,329</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(121,505</w:t>
            </w: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66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Effect of exchange rates on cash and cash</w:t>
            </w:r>
          </w:p>
        </w:tc>
        <w:tc>
          <w:tcPr>
            <w:tcW w:w="6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(71,092</w:t>
            </w:r>
          </w:p>
        </w:tc>
        <w:tc>
          <w:tcPr>
            <w:tcW w:w="180" w:type="dxa"/>
            <w:vAlign w:val="bottom"/>
            <w:vMerge w:val="restart"/>
            <w:shd w:val="clear" w:color="auto" w:fill="CCEEFF"/>
          </w:tcPr>
          <w:p>
            <w:pPr>
              <w:spacing w:after="0"/>
              <w:rPr>
                <w:sz w:val="17"/>
                <w:szCs w:val="17"/>
                <w:color w:val="auto"/>
              </w:rPr>
            </w:pPr>
          </w:p>
        </w:tc>
        <w:tc>
          <w:tcPr>
            <w:tcW w:w="72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(220,130</w:t>
            </w:r>
          </w:p>
        </w:tc>
        <w:tc>
          <w:tcPr>
            <w:tcW w:w="18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equivalents</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was $10.8 million for fiscal 2013 and $13.9 million for fiscal 2012. The change was a result of a decrease in net loss of $0.4 million and a decrease in cash used by operating assets and liabilities of $3.6 million, offset by a decrease in adjustments for noncash operating items of $0.9 million.</w:t>
      </w:r>
    </w:p>
    <w:p>
      <w:pPr>
        <w:spacing w:after="0" w:line="1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cash used by operating assets and liabilities was primarily the result of a decrease in cash used by accrued expenses of $2.5 million and a decrease in cash used by other current assets of $0.7 million.</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change in accrued expenses reflects an increase in accruals related to our Mark 3 PowerBuoy project off the coast of Oregon offset by a decrease in employee related costs. The change in other assets includes an approximate $0.7 million decrease in prepaid insurances and interest receivable on treasury bills.</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Included in the net loss amounts are the cash receipts related to income tax benefits of $1.5 million and $1.1 million for fiscal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Net cash provided by investing activities was $8.1 million and $19.3 million for fiscal 2013 and 2012, respectively. The change was primarily the result of a decrease of $11.6 million in net maturities of marketable securities during fiscal 2013, a decrease in purchases of equipment of $0.2 million and a decrease in capitalized payments of long-lived assets of $0.2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56"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Net cash used in financing activities was $0.1 million in fiscal 2013 and $0.2 million for fiscal 2012. The changes were primarily due to a decrease in the repayment of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Effect of exchange rates on cash and cash equivalents was a decrease in cash of $0.1 million in fiscal 2013 and $0.2 million in fiscal 2012. The change was primarily the result of exchange rate losses on consolidation of foreign subsidiaries and foreign denominated cash and cash equivalents.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Outlook</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181" w:lineRule="exact"/>
        <w:rPr>
          <w:sz w:val="20"/>
          <w:szCs w:val="20"/>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23"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success in developing commercial relationships with major customers;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customer relationships;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9" w:lineRule="exact"/>
        <w:rPr>
          <w:rFonts w:ascii="Arial" w:cs="Arial" w:eastAsia="Arial" w:hAnsi="Arial"/>
          <w:sz w:val="18"/>
          <w:szCs w:val="18"/>
          <w:b w:val="1"/>
          <w:bCs w:val="1"/>
          <w:color w:val="auto"/>
        </w:rPr>
      </w:pPr>
    </w:p>
    <w:p>
      <w:pPr>
        <w:ind w:left="1180" w:hanging="453"/>
        <w:spacing w:after="0"/>
        <w:tabs>
          <w:tab w:leader="none" w:pos="1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planning for deployment of a Mark 3 PowerBuoy off the coast of Oregon. However, deployment and commissioning of this PowerBuoy must take into consideration various regulatory, business, and financial factors, including requirements of regulatory agencies and a significant use of funds. Therefore, we intend to seek additional funding specifically for this project, in view of risks associated with weather delays, operational needs and other factors.</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During the year ended April 30, 2013, we experienced a reduction in employee headcount from 47 to 34 due primarily to attrition. In the coming year we intend fill a portion of these positions, as needed.</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have incurred negative operating cash flows since our inception. As of April 30, 2013, our cash and cash equivalents, marketable securities and restricted cash balance was approximately $21.7 million. Based upon cash and cash equivalents and marketable securities balance as of April 30, 2013, we believe that we will be able to fund our capital requirements and operations through, at least, July 31, 2014.</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2013 and 2012,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However, if financing is not achieved,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January 2013, we filed a shelf registration statement on Form S-3 with the SEC registering the sale of up to $40,000,000 of debt, equity and other securities (the “S-3 Shelf”). The S-3 Shelf was declared effective in February 2013 and affords us additional financial flexibility. On June 6, 2013, we entered into an At the Market Offering Agreement (the “Offering Agreement”) with Ascendiant Capital Markets, LLC (the “Manager”). Pursuant to the Offering Agreement, we may offer and sell shares of our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 The sale of shares under the Offering Agreement will be made pursuant to our instructions (including any price, time or size limits or other customary conditions or parameters that we may impose) and in reliance on, and subject to the limitations of, General Instruction I.B.6 of Form S-3 and other applicable law and regulation. The sale of shares pursuant to the Offering Agreement has been registered on the S-3 Shelf.</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 sold any shares pursuant to the Offering Agreement as of the date of filing of this Annual Report on Form 10-K.</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set forth above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and unearned revenues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Our contracts are either cost plus or fixed price contracts. Under cost plus contracts, customers are billed for actual expenses incurred plus an agreed-upon fee. Currently, we have two types of fixed price contracts, firm fixed price and cost-sharing. Under firm fixed price contracts, we receive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revenue for the periods involved.</w:t>
      </w:r>
    </w:p>
    <w:p>
      <w:pPr>
        <w:spacing w:after="0" w:line="19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Our share of the costs is recorded as product development expense.</w:t>
      </w:r>
    </w:p>
    <w:p>
      <w:pPr>
        <w:spacing w:after="0" w:line="181"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w:t>
      </w:r>
    </w:p>
    <w:p>
      <w:pPr>
        <w:spacing w:after="0" w:line="201"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7"/>
          <w:szCs w:val="17"/>
          <w:color w:val="auto"/>
        </w:rPr>
        <w:t xml:space="preserve">Determining the appropriate fair-value model and calculating the fair value of stock-based awards at the date of grant using any valuation model requires judgment. We use the Black-Scholes option pricing model to estimate the fair value of employee stock options. Option pricing models, including the Black-Scholes model, require the use of input assumptions, including expected volatility, expected term and the expected dividend rate. Because our stock has been publicly traded in the United States only since April 2007, we do not have a significant observable share-price volatility for the United States capital markets; therefore, we estimate our expected volatility based on that of what we consider to be similar publicly-traded companies and expect to continue to do so until such time as we have adequate historical data from our traded share price in the United States. We did not estimate our expected volatility based on the price of our common stock on the AIM market of the London Stock Exchange on which our shares traded from October 2003 until we voluntarily delisted in January 2011, because we do not believe, based on the historically low trading volume of our shares on that market, that the volatility of our common stock on the AIM market is an appropriate indicator of the expected volatility of our common stock. Prior to fiscal 2007, we estimated the expected term of our options using our best estimate of the period of time from the grant date that we expect the options to remain outstanding. Beginning in fiscal 2007,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If we determine another method to estimate expected volatility or expected term is more reasonable than our current methods, or if another method for calculating these input assumptions is prescribed by authoritative guidance, the fair value calculated for future stock-based awards could change significantly. Higher volatility and longer expected terms have a significant impact on the value of stock-based compensation determined at the date of grant. The expected dividend rate is not as significant to the calculation of the fair value of our stock-based awards.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3" w:name="page44"/>
    <w:bookmarkEnd w:id="43"/>
    <w:p>
      <w:pPr>
        <w:jc w:val="both"/>
        <w:ind w:firstLine="389"/>
        <w:spacing w:after="0" w:line="271" w:lineRule="auto"/>
        <w:rPr>
          <w:sz w:val="20"/>
          <w:szCs w:val="20"/>
          <w:color w:val="auto"/>
        </w:rPr>
      </w:pPr>
      <w:r>
        <w:rPr>
          <w:rFonts w:ascii="Arial" w:cs="Arial" w:eastAsia="Arial" w:hAnsi="Arial"/>
          <w:sz w:val="17"/>
          <w:szCs w:val="17"/>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206"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aggregate share-based compensation expense, related to all share-based transactions related to employees was approximately $0.8 million and $1.0 million in fiscal 2013 and 2012, respectively.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6"/>
          <w:szCs w:val="16"/>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$43.7 million as of April 30, 2013 and April 30, 2012. During the years ended April 30, 2013 and 2012, we sold New Jersey State net operating losses in the amount of $18.7 million and $12.9 million, respectively, resulting in the recognition of income tax benefits of $1.5 million and $1.1 million, respectively, recorded in our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U.S. GAAP and International Financial Reporting Standards (IFRS). The guidance is effective for fiscal years and interim periods within those years beginning after December 15, 2011.</w:t>
      </w:r>
    </w:p>
    <w:p>
      <w:pPr>
        <w:spacing w:after="0" w:line="18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guidance is effective for fiscal years and interim periods within those years beginning after December 15, 2011. The Company adopted both of these pronouncements during fiscal 2013. The adoption of these two pronouncements did not impact the Company’s financial position, results of operations or cash flows.</w:t>
      </w:r>
    </w:p>
    <w:p>
      <w:pPr>
        <w:spacing w:after="0" w:line="193"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We are currently assessing the impact of this guidance.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4" w:name="page45"/>
    <w:bookmarkEnd w:id="44"/>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56"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2013, our Chief Executive Officer and Chief Financial Officer concluded that our disclosure controls and procedures were effective.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annual report of management on the Company’s internal control over financial reporting is provided under “Reports of Management” on page F-2.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2013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2012, we amended the employment agreements of our Executive Vice Chairman, Dr. George W. Taylor, and our Chief Executive Officer, Charles F. Dunleavy (each, an “Officer”) to provide for a temporary salary reduction for the period running from January 1, 2013 through July 31, 2013. On July 11, 2013, we and each Officer agreed to extend his temporary salary reduction period through December 31, 2013 (the “Extension”). The other terms of their employment agreements, as modified by the prior amendments, remain unchanged.</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consideration of his agreement to accept the Extension, each Officer will receive, at his election, incentive stock options or restricted stock equal in value to his aggregate salary reduction (an “Equity Grant”). Each Equity Grant will be fully vested on the grant date and will be issued pursuant to the terms of our 2006 Stock Incentive Plan.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56"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Information with respect to this item is set forth in the Proxy Statement for the 2013 Annual Meeting of Stockholders (the "Proxy Statement") under the headings "Election of Directors," "Executive Officers," "Section 16(a) Beneficial Ownership Reporting Compliance," "Code of Ethics" and "Corporate Governance" and is incorporated herein by reference. The Proxy Statement will be filed with the SEC within 120 days after the end of the fiscal year covered by this Form 10-K.</w:t>
      </w: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24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"Certain Relationships and Related Party Transactions" and "Corporate Governance" and is incorporated herein by reference. The Proxy Statement will be filed with the SEC within 120 days after the end of the fiscal year covered by this Form 10-K.</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5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6" w:name="page47"/>
    <w:bookmarkEnd w:id="46"/>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2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56" w:lineRule="exact"/>
        <w:rPr>
          <w:sz w:val="20"/>
          <w:szCs w:val="20"/>
          <w:color w:val="auto"/>
        </w:rPr>
      </w:pPr>
    </w:p>
    <w:p>
      <w:pPr>
        <w:ind w:left="640" w:hanging="243"/>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46" w:lineRule="exact"/>
        <w:rPr>
          <w:rFonts w:ascii="Arial" w:cs="Arial" w:eastAsia="Arial" w:hAnsi="Arial"/>
          <w:sz w:val="16"/>
          <w:szCs w:val="16"/>
          <w:color w:val="auto"/>
        </w:rPr>
      </w:pPr>
    </w:p>
    <w:p>
      <w:pPr>
        <w:ind w:left="660" w:hanging="247"/>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Exhibits: See Exhibits Index on pages 45 to 46.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621"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2013</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F. Dunleavy</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752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278"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Signature</w:t>
            </w:r>
          </w:p>
        </w:tc>
        <w:tc>
          <w:tcPr>
            <w:tcW w:w="504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Title</w:t>
            </w:r>
          </w:p>
        </w:tc>
        <w:tc>
          <w:tcPr>
            <w:tcW w:w="144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16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73"/>
              </w:rPr>
              <w:t>/s/</w:t>
            </w:r>
          </w:p>
        </w:tc>
        <w:tc>
          <w:tcPr>
            <w:tcW w:w="3140" w:type="dxa"/>
            <w:vAlign w:val="bottom"/>
            <w:tcBorders>
              <w:bottom w:val="single" w:sz="8" w:color="auto"/>
            </w:tcBorders>
            <w:gridSpan w:val="2"/>
          </w:tcPr>
          <w:p>
            <w:pPr>
              <w:jc w:val="center"/>
              <w:ind w:right="1250"/>
              <w:spacing w:after="0"/>
              <w:rPr>
                <w:sz w:val="20"/>
                <w:szCs w:val="20"/>
                <w:color w:val="auto"/>
              </w:rPr>
            </w:pPr>
            <w:r>
              <w:rPr>
                <w:rFonts w:ascii="Arial" w:cs="Arial" w:eastAsia="Arial" w:hAnsi="Arial"/>
                <w:sz w:val="18"/>
                <w:szCs w:val="18"/>
                <w:color w:val="auto"/>
                <w:w w:val="97"/>
              </w:rPr>
              <w:t>C</w:t>
            </w:r>
            <w:r>
              <w:rPr>
                <w:rFonts w:ascii="Arial" w:cs="Arial" w:eastAsia="Arial" w:hAnsi="Arial"/>
                <w:sz w:val="12"/>
                <w:szCs w:val="12"/>
                <w:color w:val="auto"/>
                <w:w w:val="97"/>
              </w:rPr>
              <w:t>HARLES</w:t>
            </w:r>
            <w:r>
              <w:rPr>
                <w:rFonts w:ascii="Arial" w:cs="Arial" w:eastAsia="Arial" w:hAnsi="Arial"/>
                <w:sz w:val="18"/>
                <w:szCs w:val="18"/>
                <w:color w:val="auto"/>
                <w:w w:val="97"/>
              </w:rPr>
              <w:t xml:space="preserve"> F. D</w:t>
            </w:r>
            <w:r>
              <w:rPr>
                <w:rFonts w:ascii="Arial" w:cs="Arial" w:eastAsia="Arial" w:hAnsi="Arial"/>
                <w:sz w:val="12"/>
                <w:szCs w:val="12"/>
                <w:color w:val="auto"/>
                <w:w w:val="97"/>
              </w:rPr>
              <w:t>UNLEAVY</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1"/>
              </w:rPr>
              <w:t>Chairman of the Board of Directors,</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195"/>
        </w:trPr>
        <w:tc>
          <w:tcPr>
            <w:tcW w:w="1660" w:type="dxa"/>
            <w:vAlign w:val="bottom"/>
          </w:tcPr>
          <w:p>
            <w:pPr>
              <w:spacing w:after="0"/>
              <w:rPr>
                <w:sz w:val="16"/>
                <w:szCs w:val="16"/>
                <w:color w:val="auto"/>
              </w:rPr>
            </w:pPr>
          </w:p>
        </w:tc>
        <w:tc>
          <w:tcPr>
            <w:tcW w:w="3140" w:type="dxa"/>
            <w:vAlign w:val="bottom"/>
            <w:gridSpan w:val="2"/>
          </w:tcPr>
          <w:p>
            <w:pPr>
              <w:jc w:val="center"/>
              <w:ind w:right="1550"/>
              <w:spacing w:after="0" w:line="195" w:lineRule="exact"/>
              <w:rPr>
                <w:sz w:val="20"/>
                <w:szCs w:val="20"/>
                <w:color w:val="auto"/>
              </w:rPr>
            </w:pPr>
            <w:r>
              <w:rPr>
                <w:rFonts w:ascii="Arial" w:cs="Arial" w:eastAsia="Arial" w:hAnsi="Arial"/>
                <w:sz w:val="18"/>
                <w:szCs w:val="18"/>
                <w:color w:val="auto"/>
                <w:w w:val="89"/>
              </w:rPr>
              <w:t>Charles F. Dunleavy</w:t>
            </w:r>
          </w:p>
        </w:tc>
        <w:tc>
          <w:tcPr>
            <w:tcW w:w="504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93"/>
              </w:rPr>
              <w:t>Chief Executive Officer</w:t>
            </w:r>
          </w:p>
        </w:tc>
        <w:tc>
          <w:tcPr>
            <w:tcW w:w="1440" w:type="dxa"/>
            <w:vAlign w:val="bottom"/>
          </w:tcPr>
          <w:p>
            <w:pPr>
              <w:spacing w:after="0"/>
              <w:rPr>
                <w:sz w:val="16"/>
                <w:szCs w:val="16"/>
                <w:color w:val="auto"/>
              </w:rPr>
            </w:pPr>
          </w:p>
        </w:tc>
      </w:tr>
      <w:tr>
        <w:trPr>
          <w:trHeight w:val="230"/>
        </w:trPr>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40" w:type="dxa"/>
            <w:vAlign w:val="bottom"/>
          </w:tcPr>
          <w:p>
            <w:pPr>
              <w:jc w:val="center"/>
              <w:ind w:left="250"/>
              <w:spacing w:after="0"/>
              <w:rPr>
                <w:sz w:val="20"/>
                <w:szCs w:val="20"/>
                <w:color w:val="auto"/>
              </w:rPr>
            </w:pPr>
            <w:r>
              <w:rPr>
                <w:rFonts w:ascii="Arial" w:cs="Arial" w:eastAsia="Arial" w:hAnsi="Arial"/>
                <w:sz w:val="18"/>
                <w:szCs w:val="18"/>
                <w:color w:val="auto"/>
                <w:w w:val="94"/>
              </w:rPr>
              <w:t>(Principal Executive Officer)</w:t>
            </w:r>
          </w:p>
        </w:tc>
        <w:tc>
          <w:tcPr>
            <w:tcW w:w="1440" w:type="dxa"/>
            <w:vAlign w:val="bottom"/>
          </w:tcPr>
          <w:p>
            <w:pPr>
              <w:spacing w:after="0"/>
              <w:rPr>
                <w:sz w:val="20"/>
                <w:szCs w:val="20"/>
                <w:color w:val="auto"/>
              </w:rPr>
            </w:pPr>
          </w:p>
        </w:tc>
      </w:tr>
      <w:tr>
        <w:trPr>
          <w:trHeight w:val="432"/>
        </w:trPr>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w:t>
            </w:r>
            <w:r>
              <w:rPr>
                <w:rFonts w:ascii="Arial" w:cs="Arial" w:eastAsia="Arial" w:hAnsi="Arial"/>
                <w:sz w:val="12"/>
                <w:szCs w:val="12"/>
                <w:color w:val="auto"/>
                <w:w w:val="96"/>
              </w:rPr>
              <w:t>EORGE</w:t>
            </w:r>
            <w:r>
              <w:rPr>
                <w:rFonts w:ascii="Arial" w:cs="Arial" w:eastAsia="Arial" w:hAnsi="Arial"/>
                <w:sz w:val="18"/>
                <w:szCs w:val="18"/>
                <w:color w:val="auto"/>
                <w:w w:val="96"/>
              </w:rPr>
              <w:t xml:space="preserve"> W. T</w:t>
            </w:r>
            <w:r>
              <w:rPr>
                <w:rFonts w:ascii="Arial" w:cs="Arial" w:eastAsia="Arial" w:hAnsi="Arial"/>
                <w:sz w:val="12"/>
                <w:szCs w:val="12"/>
                <w:color w:val="auto"/>
                <w:w w:val="96"/>
              </w:rPr>
              <w:t>AYLOR</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2"/>
              </w:rPr>
              <w:t>Executive Vice-Chairman of the Board of Directors</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224"/>
        </w:trPr>
        <w:tc>
          <w:tcPr>
            <w:tcW w:w="1660" w:type="dxa"/>
            <w:vAlign w:val="bottom"/>
          </w:tcPr>
          <w:p>
            <w:pPr>
              <w:spacing w:after="0"/>
              <w:rPr>
                <w:sz w:val="19"/>
                <w:szCs w:val="19"/>
                <w:color w:val="auto"/>
              </w:rPr>
            </w:pPr>
          </w:p>
        </w:tc>
        <w:tc>
          <w:tcPr>
            <w:tcW w:w="3140" w:type="dxa"/>
            <w:vAlign w:val="bottom"/>
            <w:gridSpan w:val="2"/>
          </w:tcPr>
          <w:p>
            <w:pPr>
              <w:jc w:val="center"/>
              <w:ind w:right="1570"/>
              <w:spacing w:after="0"/>
              <w:rPr>
                <w:sz w:val="20"/>
                <w:szCs w:val="20"/>
                <w:color w:val="auto"/>
              </w:rPr>
            </w:pPr>
            <w:r>
              <w:rPr>
                <w:rFonts w:ascii="Arial" w:cs="Arial" w:eastAsia="Arial" w:hAnsi="Arial"/>
                <w:sz w:val="18"/>
                <w:szCs w:val="18"/>
                <w:color w:val="auto"/>
                <w:w w:val="90"/>
              </w:rPr>
              <w:t>George W. Taylor</w:t>
            </w:r>
          </w:p>
        </w:tc>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90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490"/>
              <w:spacing w:after="0"/>
              <w:rPr>
                <w:sz w:val="20"/>
                <w:szCs w:val="20"/>
                <w:color w:val="auto"/>
              </w:rPr>
            </w:pPr>
            <w:r>
              <w:rPr>
                <w:rFonts w:ascii="Arial" w:cs="Arial" w:eastAsia="Arial" w:hAnsi="Arial"/>
                <w:sz w:val="18"/>
                <w:szCs w:val="18"/>
                <w:color w:val="auto"/>
                <w:w w:val="95"/>
              </w:rPr>
              <w:t>B</w:t>
            </w:r>
            <w:r>
              <w:rPr>
                <w:rFonts w:ascii="Arial" w:cs="Arial" w:eastAsia="Arial" w:hAnsi="Arial"/>
                <w:sz w:val="12"/>
                <w:szCs w:val="12"/>
                <w:color w:val="auto"/>
                <w:w w:val="95"/>
              </w:rPr>
              <w:t>RIAN</w:t>
            </w:r>
            <w:r>
              <w:rPr>
                <w:rFonts w:ascii="Arial" w:cs="Arial" w:eastAsia="Arial" w:hAnsi="Arial"/>
                <w:sz w:val="18"/>
                <w:szCs w:val="18"/>
                <w:color w:val="auto"/>
                <w:w w:val="95"/>
              </w:rPr>
              <w:t xml:space="preserve"> M. P</w:t>
            </w:r>
            <w:r>
              <w:rPr>
                <w:rFonts w:ascii="Arial" w:cs="Arial" w:eastAsia="Arial" w:hAnsi="Arial"/>
                <w:sz w:val="12"/>
                <w:szCs w:val="12"/>
                <w:color w:val="auto"/>
                <w:w w:val="95"/>
              </w:rPr>
              <w:t>OSNER</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4"/>
              </w:rPr>
              <w:t>Chief Financial Officer,</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195"/>
        </w:trPr>
        <w:tc>
          <w:tcPr>
            <w:tcW w:w="1660" w:type="dxa"/>
            <w:vAlign w:val="bottom"/>
          </w:tcPr>
          <w:p>
            <w:pPr>
              <w:spacing w:after="0"/>
              <w:rPr>
                <w:sz w:val="16"/>
                <w:szCs w:val="16"/>
                <w:color w:val="auto"/>
              </w:rPr>
            </w:pPr>
          </w:p>
        </w:tc>
        <w:tc>
          <w:tcPr>
            <w:tcW w:w="3140" w:type="dxa"/>
            <w:vAlign w:val="bottom"/>
            <w:gridSpan w:val="2"/>
          </w:tcPr>
          <w:p>
            <w:pPr>
              <w:jc w:val="center"/>
              <w:ind w:right="1550"/>
              <w:spacing w:after="0" w:line="195" w:lineRule="exact"/>
              <w:rPr>
                <w:sz w:val="20"/>
                <w:szCs w:val="20"/>
                <w:color w:val="auto"/>
              </w:rPr>
            </w:pPr>
            <w:r>
              <w:rPr>
                <w:rFonts w:ascii="Arial" w:cs="Arial" w:eastAsia="Arial" w:hAnsi="Arial"/>
                <w:sz w:val="18"/>
                <w:szCs w:val="18"/>
                <w:color w:val="auto"/>
                <w:w w:val="91"/>
              </w:rPr>
              <w:t>Brian M. Posner</w:t>
            </w:r>
          </w:p>
        </w:tc>
        <w:tc>
          <w:tcPr>
            <w:tcW w:w="504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88"/>
              </w:rPr>
              <w:t>Secretary and Treasurer</w:t>
            </w:r>
          </w:p>
        </w:tc>
        <w:tc>
          <w:tcPr>
            <w:tcW w:w="144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40" w:type="dxa"/>
            <w:vAlign w:val="bottom"/>
          </w:tcPr>
          <w:p>
            <w:pPr>
              <w:jc w:val="center"/>
              <w:ind w:left="250"/>
              <w:spacing w:after="0"/>
              <w:rPr>
                <w:sz w:val="20"/>
                <w:szCs w:val="20"/>
                <w:color w:val="auto"/>
              </w:rPr>
            </w:pPr>
            <w:r>
              <w:rPr>
                <w:rFonts w:ascii="Arial" w:cs="Arial" w:eastAsia="Arial" w:hAnsi="Arial"/>
                <w:sz w:val="18"/>
                <w:szCs w:val="18"/>
                <w:color w:val="auto"/>
                <w:w w:val="94"/>
              </w:rPr>
              <w:t>(Principal Financial Officer</w:t>
            </w:r>
          </w:p>
        </w:tc>
        <w:tc>
          <w:tcPr>
            <w:tcW w:w="1440" w:type="dxa"/>
            <w:vAlign w:val="bottom"/>
          </w:tcPr>
          <w:p>
            <w:pPr>
              <w:spacing w:after="0"/>
              <w:rPr>
                <w:sz w:val="18"/>
                <w:szCs w:val="18"/>
                <w:color w:val="auto"/>
              </w:rPr>
            </w:pPr>
          </w:p>
        </w:tc>
      </w:tr>
      <w:tr>
        <w:trPr>
          <w:trHeight w:val="230"/>
        </w:trPr>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40" w:type="dxa"/>
            <w:vAlign w:val="bottom"/>
          </w:tcPr>
          <w:p>
            <w:pPr>
              <w:jc w:val="center"/>
              <w:ind w:left="250"/>
              <w:spacing w:after="0"/>
              <w:rPr>
                <w:sz w:val="20"/>
                <w:szCs w:val="20"/>
                <w:color w:val="auto"/>
              </w:rPr>
            </w:pPr>
            <w:r>
              <w:rPr>
                <w:rFonts w:ascii="Arial" w:cs="Arial" w:eastAsia="Arial" w:hAnsi="Arial"/>
                <w:sz w:val="18"/>
                <w:szCs w:val="18"/>
                <w:color w:val="auto"/>
                <w:w w:val="93"/>
              </w:rPr>
              <w:t>and Principal Accounting Officer)</w:t>
            </w:r>
          </w:p>
        </w:tc>
        <w:tc>
          <w:tcPr>
            <w:tcW w:w="1440" w:type="dxa"/>
            <w:vAlign w:val="bottom"/>
          </w:tcPr>
          <w:p>
            <w:pPr>
              <w:spacing w:after="0"/>
              <w:rPr>
                <w:sz w:val="20"/>
                <w:szCs w:val="20"/>
                <w:color w:val="auto"/>
              </w:rPr>
            </w:pPr>
          </w:p>
        </w:tc>
      </w:tr>
      <w:tr>
        <w:trPr>
          <w:trHeight w:val="432"/>
        </w:trPr>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2"/>
          </w:tcPr>
          <w:p>
            <w:pPr>
              <w:jc w:val="center"/>
              <w:ind w:right="1270"/>
              <w:spacing w:after="0"/>
              <w:rPr>
                <w:sz w:val="20"/>
                <w:szCs w:val="20"/>
                <w:color w:val="auto"/>
              </w:rPr>
            </w:pPr>
            <w:r>
              <w:rPr>
                <w:rFonts w:ascii="Arial" w:cs="Arial" w:eastAsia="Arial" w:hAnsi="Arial"/>
                <w:sz w:val="18"/>
                <w:szCs w:val="18"/>
                <w:color w:val="auto"/>
                <w:w w:val="95"/>
              </w:rPr>
              <w:t>S</w:t>
            </w:r>
            <w:r>
              <w:rPr>
                <w:rFonts w:ascii="Arial" w:cs="Arial" w:eastAsia="Arial" w:hAnsi="Arial"/>
                <w:sz w:val="12"/>
                <w:szCs w:val="12"/>
                <w:color w:val="auto"/>
                <w:w w:val="95"/>
              </w:rPr>
              <w:t>EYMOUR</w:t>
            </w:r>
            <w:r>
              <w:rPr>
                <w:rFonts w:ascii="Arial" w:cs="Arial" w:eastAsia="Arial" w:hAnsi="Arial"/>
                <w:sz w:val="18"/>
                <w:szCs w:val="18"/>
                <w:color w:val="auto"/>
                <w:w w:val="95"/>
              </w:rPr>
              <w:t xml:space="preserve"> S. P</w:t>
            </w:r>
            <w:r>
              <w:rPr>
                <w:rFonts w:ascii="Arial" w:cs="Arial" w:eastAsia="Arial" w:hAnsi="Arial"/>
                <w:sz w:val="12"/>
                <w:szCs w:val="12"/>
                <w:color w:val="auto"/>
                <w:w w:val="95"/>
              </w:rPr>
              <w:t>RESTON</w:t>
            </w:r>
            <w:r>
              <w:rPr>
                <w:rFonts w:ascii="Arial" w:cs="Arial" w:eastAsia="Arial" w:hAnsi="Arial"/>
                <w:sz w:val="18"/>
                <w:szCs w:val="18"/>
                <w:color w:val="auto"/>
                <w:w w:val="95"/>
              </w:rPr>
              <w:t xml:space="preserve"> III</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1"/>
              </w:rPr>
              <w:t>Seymour S. Preston III</w:t>
            </w:r>
          </w:p>
        </w:tc>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90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530"/>
              <w:spacing w:after="0"/>
              <w:rPr>
                <w:sz w:val="20"/>
                <w:szCs w:val="20"/>
                <w:color w:val="auto"/>
              </w:rPr>
            </w:pPr>
            <w:r>
              <w:rPr>
                <w:rFonts w:ascii="Arial" w:cs="Arial" w:eastAsia="Arial" w:hAnsi="Arial"/>
                <w:sz w:val="18"/>
                <w:szCs w:val="18"/>
                <w:color w:val="auto"/>
                <w:w w:val="94"/>
              </w:rPr>
              <w:t>T</w:t>
            </w:r>
            <w:r>
              <w:rPr>
                <w:rFonts w:ascii="Arial" w:cs="Arial" w:eastAsia="Arial" w:hAnsi="Arial"/>
                <w:sz w:val="12"/>
                <w:szCs w:val="12"/>
                <w:color w:val="auto"/>
                <w:w w:val="94"/>
              </w:rPr>
              <w:t>ERENCE</w:t>
            </w:r>
            <w:r>
              <w:rPr>
                <w:rFonts w:ascii="Arial" w:cs="Arial" w:eastAsia="Arial" w:hAnsi="Arial"/>
                <w:sz w:val="18"/>
                <w:szCs w:val="18"/>
                <w:color w:val="auto"/>
                <w:w w:val="94"/>
              </w:rPr>
              <w:t xml:space="preserve"> J. C</w:t>
            </w:r>
            <w:r>
              <w:rPr>
                <w:rFonts w:ascii="Arial" w:cs="Arial" w:eastAsia="Arial" w:hAnsi="Arial"/>
                <w:sz w:val="12"/>
                <w:szCs w:val="12"/>
                <w:color w:val="auto"/>
                <w:w w:val="94"/>
              </w:rPr>
              <w:t>RYAN</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224"/>
        </w:trPr>
        <w:tc>
          <w:tcPr>
            <w:tcW w:w="1660" w:type="dxa"/>
            <w:vAlign w:val="bottom"/>
          </w:tcPr>
          <w:p>
            <w:pPr>
              <w:spacing w:after="0"/>
              <w:rPr>
                <w:sz w:val="19"/>
                <w:szCs w:val="19"/>
                <w:color w:val="auto"/>
              </w:rPr>
            </w:pPr>
          </w:p>
        </w:tc>
        <w:tc>
          <w:tcPr>
            <w:tcW w:w="3140" w:type="dxa"/>
            <w:vAlign w:val="bottom"/>
            <w:gridSpan w:val="2"/>
          </w:tcPr>
          <w:p>
            <w:pPr>
              <w:jc w:val="center"/>
              <w:ind w:right="1550"/>
              <w:spacing w:after="0"/>
              <w:rPr>
                <w:sz w:val="20"/>
                <w:szCs w:val="20"/>
                <w:color w:val="auto"/>
              </w:rPr>
            </w:pPr>
            <w:r>
              <w:rPr>
                <w:rFonts w:ascii="Arial" w:cs="Arial" w:eastAsia="Arial" w:hAnsi="Arial"/>
                <w:sz w:val="18"/>
                <w:szCs w:val="18"/>
                <w:color w:val="auto"/>
                <w:w w:val="88"/>
              </w:rPr>
              <w:t>Terence J. Cryan</w:t>
            </w:r>
          </w:p>
        </w:tc>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90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490"/>
              <w:spacing w:after="0"/>
              <w:rPr>
                <w:sz w:val="20"/>
                <w:szCs w:val="20"/>
                <w:color w:val="auto"/>
              </w:rPr>
            </w:pPr>
            <w:r>
              <w:rPr>
                <w:rFonts w:ascii="Arial" w:cs="Arial" w:eastAsia="Arial" w:hAnsi="Arial"/>
                <w:sz w:val="18"/>
                <w:szCs w:val="18"/>
                <w:color w:val="auto"/>
                <w:w w:val="97"/>
              </w:rPr>
              <w:t>B</w:t>
            </w:r>
            <w:r>
              <w:rPr>
                <w:rFonts w:ascii="Arial" w:cs="Arial" w:eastAsia="Arial" w:hAnsi="Arial"/>
                <w:sz w:val="12"/>
                <w:szCs w:val="12"/>
                <w:color w:val="auto"/>
                <w:w w:val="97"/>
              </w:rPr>
              <w:t>RUCE</w:t>
            </w:r>
            <w:r>
              <w:rPr>
                <w:rFonts w:ascii="Arial" w:cs="Arial" w:eastAsia="Arial" w:hAnsi="Arial"/>
                <w:sz w:val="18"/>
                <w:szCs w:val="18"/>
                <w:color w:val="auto"/>
                <w:w w:val="97"/>
              </w:rPr>
              <w:t xml:space="preserve"> A. P</w:t>
            </w:r>
            <w:r>
              <w:rPr>
                <w:rFonts w:ascii="Arial" w:cs="Arial" w:eastAsia="Arial" w:hAnsi="Arial"/>
                <w:sz w:val="12"/>
                <w:szCs w:val="12"/>
                <w:color w:val="auto"/>
                <w:w w:val="97"/>
              </w:rPr>
              <w:t>EACOCK</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224"/>
        </w:trPr>
        <w:tc>
          <w:tcPr>
            <w:tcW w:w="1660" w:type="dxa"/>
            <w:vAlign w:val="bottom"/>
          </w:tcPr>
          <w:p>
            <w:pPr>
              <w:spacing w:after="0"/>
              <w:rPr>
                <w:sz w:val="19"/>
                <w:szCs w:val="19"/>
                <w:color w:val="auto"/>
              </w:rPr>
            </w:pPr>
          </w:p>
        </w:tc>
        <w:tc>
          <w:tcPr>
            <w:tcW w:w="3140" w:type="dxa"/>
            <w:vAlign w:val="bottom"/>
            <w:gridSpan w:val="2"/>
          </w:tcPr>
          <w:p>
            <w:pPr>
              <w:jc w:val="center"/>
              <w:ind w:right="1550"/>
              <w:spacing w:after="0"/>
              <w:rPr>
                <w:sz w:val="20"/>
                <w:szCs w:val="20"/>
                <w:color w:val="auto"/>
              </w:rPr>
            </w:pPr>
            <w:r>
              <w:rPr>
                <w:rFonts w:ascii="Arial" w:cs="Arial" w:eastAsia="Arial" w:hAnsi="Arial"/>
                <w:sz w:val="18"/>
                <w:szCs w:val="18"/>
                <w:color w:val="auto"/>
                <w:w w:val="90"/>
              </w:rPr>
              <w:t>Bruce A. Peacock</w:t>
            </w:r>
          </w:p>
        </w:tc>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900" w:type="dxa"/>
            <w:vAlign w:val="bottom"/>
            <w:tcBorders>
              <w:bottom w:val="single" w:sz="8" w:color="auto"/>
            </w:tcBorders>
          </w:tcPr>
          <w:p>
            <w:pPr>
              <w:jc w:val="center"/>
              <w:ind w:right="1510"/>
              <w:spacing w:after="0"/>
              <w:rPr>
                <w:sz w:val="20"/>
                <w:szCs w:val="20"/>
                <w:color w:val="auto"/>
              </w:rPr>
            </w:pPr>
            <w:r>
              <w:rPr>
                <w:rFonts w:ascii="Arial" w:cs="Arial" w:eastAsia="Arial" w:hAnsi="Arial"/>
                <w:sz w:val="18"/>
                <w:szCs w:val="18"/>
                <w:color w:val="auto"/>
                <w:w w:val="99"/>
              </w:rPr>
              <w:t>D</w:t>
            </w:r>
            <w:r>
              <w:rPr>
                <w:rFonts w:ascii="Arial" w:cs="Arial" w:eastAsia="Arial" w:hAnsi="Arial"/>
                <w:sz w:val="12"/>
                <w:szCs w:val="12"/>
                <w:color w:val="auto"/>
                <w:w w:val="99"/>
              </w:rPr>
              <w:t>AVID</w:t>
            </w:r>
            <w:r>
              <w:rPr>
                <w:rFonts w:ascii="Arial" w:cs="Arial" w:eastAsia="Arial" w:hAnsi="Arial"/>
                <w:sz w:val="18"/>
                <w:szCs w:val="18"/>
                <w:color w:val="auto"/>
                <w:w w:val="99"/>
              </w:rPr>
              <w:t xml:space="preserve"> L. D</w:t>
            </w:r>
            <w:r>
              <w:rPr>
                <w:rFonts w:ascii="Arial" w:cs="Arial" w:eastAsia="Arial" w:hAnsi="Arial"/>
                <w:sz w:val="12"/>
                <w:szCs w:val="12"/>
                <w:color w:val="auto"/>
                <w:w w:val="99"/>
              </w:rPr>
              <w:t>AVIS</w:t>
            </w:r>
          </w:p>
        </w:tc>
        <w:tc>
          <w:tcPr>
            <w:tcW w:w="5040" w:type="dxa"/>
            <w:vAlign w:val="bottom"/>
          </w:tcPr>
          <w:p>
            <w:pPr>
              <w:jc w:val="center"/>
              <w:ind w:left="27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ind w:left="390"/>
              <w:spacing w:after="0"/>
              <w:rPr>
                <w:sz w:val="20"/>
                <w:szCs w:val="20"/>
                <w:color w:val="auto"/>
              </w:rPr>
            </w:pPr>
            <w:r>
              <w:rPr>
                <w:rFonts w:ascii="Arial" w:cs="Arial" w:eastAsia="Arial" w:hAnsi="Arial"/>
                <w:sz w:val="18"/>
                <w:szCs w:val="18"/>
                <w:color w:val="auto"/>
                <w:w w:val="89"/>
              </w:rPr>
              <w:t>July 12, 2013</w:t>
            </w:r>
          </w:p>
        </w:tc>
      </w:tr>
      <w:tr>
        <w:trPr>
          <w:trHeight w:val="224"/>
        </w:trPr>
        <w:tc>
          <w:tcPr>
            <w:tcW w:w="1660" w:type="dxa"/>
            <w:vAlign w:val="bottom"/>
          </w:tcPr>
          <w:p>
            <w:pPr>
              <w:spacing w:after="0"/>
              <w:rPr>
                <w:sz w:val="19"/>
                <w:szCs w:val="19"/>
                <w:color w:val="auto"/>
              </w:rPr>
            </w:pPr>
          </w:p>
        </w:tc>
        <w:tc>
          <w:tcPr>
            <w:tcW w:w="3140" w:type="dxa"/>
            <w:vAlign w:val="bottom"/>
            <w:gridSpan w:val="2"/>
          </w:tcPr>
          <w:p>
            <w:pPr>
              <w:jc w:val="center"/>
              <w:ind w:right="1550"/>
              <w:spacing w:after="0"/>
              <w:rPr>
                <w:sz w:val="20"/>
                <w:szCs w:val="20"/>
                <w:color w:val="auto"/>
              </w:rPr>
            </w:pPr>
            <w:r>
              <w:rPr>
                <w:rFonts w:ascii="Arial" w:cs="Arial" w:eastAsia="Arial" w:hAnsi="Arial"/>
                <w:sz w:val="18"/>
                <w:szCs w:val="18"/>
                <w:color w:val="auto"/>
                <w:w w:val="94"/>
              </w:rPr>
              <w:t>David L. Davis</w:t>
            </w:r>
          </w:p>
        </w:tc>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6"/>
          <w:szCs w:val="16"/>
          <w:b w:val="1"/>
          <w:bCs w:val="1"/>
          <w:color w:val="auto"/>
        </w:rPr>
        <w:t>Exhibits Index</w:t>
      </w:r>
    </w:p>
    <w:p>
      <w:pPr>
        <w:sectPr>
          <w:pgSz w:w="11900" w:h="16838" w:orient="portrait"/>
          <w:cols w:equalWidth="0" w:num="1">
            <w:col w:w="11420"/>
          </w:cols>
          <w:pgMar w:left="240" w:top="607" w:right="2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jc w:val="center"/>
        <w:ind w:right="4880"/>
        <w:spacing w:after="0"/>
        <w:rPr>
          <w:sz w:val="20"/>
          <w:szCs w:val="20"/>
          <w:color w:val="auto"/>
        </w:rPr>
      </w:pPr>
      <w:r>
        <w:rPr>
          <w:rFonts w:ascii="Arial" w:cs="Arial" w:eastAsia="Arial" w:hAnsi="Arial"/>
          <w:sz w:val="15"/>
          <w:szCs w:val="15"/>
          <w:b w:val="1"/>
          <w:bCs w:val="1"/>
          <w:color w:val="auto"/>
        </w:rPr>
        <w:t>Description</w:t>
      </w:r>
    </w:p>
    <w:p>
      <w:pPr>
        <w:spacing w:after="0" w:line="229" w:lineRule="exact"/>
        <w:rPr>
          <w:sz w:val="20"/>
          <w:szCs w:val="20"/>
          <w:color w:val="auto"/>
        </w:rPr>
      </w:pPr>
    </w:p>
    <w:p>
      <w:pPr>
        <w:sectPr>
          <w:pgSz w:w="11900" w:h="16838" w:orient="portrait"/>
          <w:cols w:equalWidth="0" w:num="2">
            <w:col w:w="4940" w:space="720"/>
            <w:col w:w="5760"/>
          </w:cols>
          <w:pgMar w:left="240" w:top="607" w:right="239" w:bottom="1440" w:gutter="0" w:footer="0" w:header="0"/>
          <w:type w:val="continuous"/>
        </w:sectPr>
      </w:pPr>
    </w:p>
    <w:p>
      <w:pPr>
        <w:spacing w:after="0" w:line="34" w:lineRule="exact"/>
        <w:rPr>
          <w:sz w:val="20"/>
          <w:szCs w:val="20"/>
          <w:color w:val="auto"/>
        </w:rPr>
      </w:pPr>
    </w:p>
    <w:p>
      <w:pPr>
        <w:ind w:left="300"/>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registrant (incorporated by reference from Exhibit 3.1 to Form 10-Q filed September 14, 2007)</w:t>
      </w:r>
    </w:p>
    <w:p>
      <w:pPr>
        <w:spacing w:after="0" w:line="23" w:lineRule="exact"/>
        <w:rPr>
          <w:sz w:val="20"/>
          <w:szCs w:val="20"/>
          <w:color w:val="auto"/>
        </w:rPr>
      </w:pPr>
    </w:p>
    <w:p>
      <w:pPr>
        <w:ind w:left="300"/>
        <w:spacing w:after="0"/>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 (incorporated by reference from Exhibit 3.2 to Form 10-Q filed September 14, 2007)</w:t>
      </w:r>
    </w:p>
    <w:p>
      <w:pPr>
        <w:spacing w:after="0" w:line="9" w:lineRule="exact"/>
        <w:rPr>
          <w:sz w:val="20"/>
          <w:szCs w:val="20"/>
          <w:color w:val="auto"/>
        </w:rPr>
      </w:pPr>
    </w:p>
    <w:p>
      <w:pPr>
        <w:ind w:left="300"/>
        <w:spacing w:after="0"/>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of common stock (incorporated by reference from Exhibit 4.1 to Form S-1/A filed March 19, 2007)</w:t>
      </w:r>
    </w:p>
    <w:p>
      <w:pPr>
        <w:spacing w:after="0" w:line="9"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w:t>
        <w:tab/>
        <w:t>Engineering, Procurement and Construction of a Wave Energy Power Plant at "Punta del Pescador" (Santoña, Spain), dated July 27, 2006, between Iberdrola Energias Marinas de Cantabria, S.A. and Ocean Power Technologies Limited (incorporated by reference from Exhibit 10.1 to Form S-1 filed November 13, 2006)</w:t>
      </w:r>
    </w:p>
    <w:p>
      <w:pPr>
        <w:spacing w:after="0" w:line="1" w:lineRule="exact"/>
        <w:rPr>
          <w:sz w:val="20"/>
          <w:szCs w:val="20"/>
          <w:color w:val="auto"/>
        </w:rPr>
      </w:pPr>
    </w:p>
    <w:p>
      <w:pPr>
        <w:jc w:val="both"/>
        <w:ind w:left="780" w:hanging="557"/>
        <w:spacing w:after="0" w:line="265" w:lineRule="auto"/>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ind w:left="220"/>
        <w:spacing w:after="0"/>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2001 Stock Plan (incorporated by reference from Exhibit 10.7 to Form S-1 filed November 13, 2006)*</w:t>
      </w:r>
    </w:p>
    <w:p>
      <w:pPr>
        <w:spacing w:after="0" w:line="9"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2006 Stock Incentive Plan (incorporated by reference from Exhibit 10.8 to Form S-1/A filed March 19, 2007)*</w:t>
      </w:r>
    </w:p>
    <w:p>
      <w:pPr>
        <w:spacing w:after="0" w:line="9"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10.5</w:t>
        <w:tab/>
        <w:t>Amended and Restated Voting and Right of First Refusal Agreement, dated April 18, 2005, between Ocean Power Technologies, Inc., George W. Taylor and JoAnne E. Burns (incorporated by reference from Exhibit 10.9 to Form S-1 filed November 13, 2006)</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10.6</w:t>
        <w:tab/>
        <w:t>Agreement to Refinance, dated November 14, 1993 between Joseph R. Burns, Michael Y. Epstein, George W. Taylor and Ocean Power Technologies, Inc. (incorporated by reference from Exhibit 10.10 to Form S-1 filed November 13, 2006)</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10.7</w:t>
        <w:tab/>
        <w:t>Amended and Restated Employment Agreement, dated April 8, 2009, between Charles F. Dunleavy and Ocean Power Technologies, Inc. (incorporated by reference from Exhibit 10.2 to Form 8-K filed April 13, 2009)*</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10.8</w:t>
        <w:tab/>
        <w:t>Amended and Restated Employment Agreement, dated April 8, 2009, between George W. Taylor and Ocean Power Technologies, Inc. (incorporated by reference from Exhibit 10.1 to Form 8-K filed April 13, 2009)*</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10.9</w:t>
        <w:tab/>
        <w:t>Consultant Agreement, dated August 1, 1999, between Thomas J. Meaney and Ocean Power Technologies, Inc. (incorporated by reference from Exhibit 10.13 to Form S-1 filed November 13, 2006)</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10.10</w:t>
        <w:tab/>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10.11</w:t>
        <w:tab/>
        <w:t>Lease, dated January 15, 2007, between University of Warwick Science Park Innovation Centre Limited and Ocean Power Technologies Ltd. (incorporated by reference from Exhibit 10.17 to Form S-1/A filed March 19, 2007)</w:t>
      </w:r>
    </w:p>
    <w:p>
      <w:pPr>
        <w:spacing w:after="0" w:line="1" w:lineRule="exact"/>
        <w:rPr>
          <w:sz w:val="20"/>
          <w:szCs w:val="20"/>
          <w:color w:val="auto"/>
        </w:rPr>
      </w:pPr>
    </w:p>
    <w:p>
      <w:pPr>
        <w:jc w:val="both"/>
        <w:ind w:left="780" w:hanging="557"/>
        <w:spacing w:after="0" w:line="265" w:lineRule="auto"/>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jc w:val="both"/>
        <w:ind w:left="780" w:hanging="557"/>
        <w:spacing w:after="0" w:line="265" w:lineRule="auto"/>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Contract Number DM259735, dated September 17, 2005, between Lockheed Martin Corporation Maritime Systems and Sensors (MS2) and Ocean Power Technologies, Inc., as modified (incorporated by reference from Exhibit 10.20 to Form S-1/A filed March 19, 2007)</w:t>
      </w:r>
    </w:p>
    <w:p>
      <w:pPr>
        <w:jc w:val="both"/>
        <w:ind w:left="780" w:right="20" w:hanging="557"/>
        <w:spacing w:after="0" w:line="265" w:lineRule="auto"/>
        <w:tabs>
          <w:tab w:leader="none" w:pos="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Marketing Cooperation Agreement, dated September 9, 2006, between Ocean Power Technologies, Inc. and Lockheed Martin Corporation through its Maritime Systems and Sensors business unit (incorporated by reference from Exhibit 10.21 to Form S-1/A filed April 10, 2007)</w:t>
      </w: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10.15</w:t>
        <w:tab/>
        <w:t>Contract Number N00014-07-C-0617, dated May 24, 2007, between the Office of Naval Research, U.S. Navy and Ocean Power Technologies, Inc. (incorporated by reference from Exhibit 99.1 to Form 8-K filed June 8, 2007)</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10.16</w:t>
        <w:tab/>
        <w:t>Addendum to the Agreement for the Engineering, Procurement and Construction of a Wave Energy Power Plant at "Punta del Pescador" (Santoña, Spain), between Iberdrola Energias Marinas de Cantabria, S.A. and Ocean Power Technologies Limited, dated February 18, 2008 (incorporated by reference from Exhibit 10.27 to Form 10-K filed July 14, 2008)</w:t>
      </w:r>
    </w:p>
    <w:p>
      <w:pPr>
        <w:spacing w:after="0" w:line="1" w:lineRule="exact"/>
        <w:rPr>
          <w:sz w:val="20"/>
          <w:szCs w:val="20"/>
          <w:color w:val="auto"/>
        </w:rPr>
      </w:pPr>
    </w:p>
    <w:p>
      <w:pPr>
        <w:jc w:val="both"/>
        <w:ind w:left="780" w:hanging="557"/>
        <w:spacing w:after="0" w:line="250" w:lineRule="auto"/>
        <w:tabs>
          <w:tab w:leader="none" w:pos="760" w:val="left"/>
        </w:tabs>
        <w:rPr>
          <w:sz w:val="20"/>
          <w:szCs w:val="20"/>
          <w:color w:val="auto"/>
        </w:rPr>
      </w:pPr>
      <w:r>
        <w:rPr>
          <w:rFonts w:ascii="Arial" w:cs="Arial" w:eastAsia="Arial" w:hAnsi="Arial"/>
          <w:sz w:val="18"/>
          <w:szCs w:val="18"/>
          <w:color w:val="auto"/>
        </w:rPr>
        <w:t>10.17</w:t>
        <w:tab/>
        <w:t>Lease, dated February 1, 2008, between KUC Properties Limited and Ocean Power Technologies Ltd. (incorporated by reference from Exhibit 10.28 to Form 10-K filed July 14, 2008)</w:t>
      </w:r>
    </w:p>
    <w:p>
      <w:pPr>
        <w:spacing w:after="0" w:line="1" w:lineRule="exact"/>
        <w:rPr>
          <w:sz w:val="20"/>
          <w:szCs w:val="20"/>
          <w:color w:val="auto"/>
        </w:rPr>
      </w:pPr>
    </w:p>
    <w:p>
      <w:pPr>
        <w:jc w:val="both"/>
        <w:ind w:left="780" w:hanging="557"/>
        <w:spacing w:after="0" w:line="261" w:lineRule="auto"/>
        <w:tabs>
          <w:tab w:leader="none" w:pos="760" w:val="left"/>
        </w:tabs>
        <w:rPr>
          <w:sz w:val="20"/>
          <w:szCs w:val="20"/>
          <w:color w:val="auto"/>
        </w:rPr>
      </w:pPr>
      <w:r>
        <w:rPr>
          <w:rFonts w:ascii="Arial" w:cs="Arial" w:eastAsia="Arial" w:hAnsi="Arial"/>
          <w:sz w:val="18"/>
          <w:szCs w:val="18"/>
          <w:color w:val="auto"/>
        </w:rPr>
        <w:t>10.18</w:t>
        <w:tab/>
        <w:t>Financial Assistance Award agreement between Ocean Power Technologies, Inc. and US Department of Energy dated September 23, 2008 (incorporated by reference from Exhibit 10.1 to Form 10-Q filed December 10, 2008)+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840"/>
        <w:spacing w:after="0"/>
        <w:rPr>
          <w:sz w:val="20"/>
          <w:szCs w:val="20"/>
          <w:color w:val="auto"/>
        </w:rPr>
      </w:pPr>
      <w:r>
        <w:rPr>
          <w:rFonts w:ascii="Arial" w:cs="Arial" w:eastAsia="Arial" w:hAnsi="Arial"/>
          <w:sz w:val="16"/>
          <w:szCs w:val="16"/>
          <w:b w:val="1"/>
          <w:bCs w:val="1"/>
          <w:color w:val="auto"/>
        </w:rPr>
        <w:t>Description</w:t>
      </w:r>
    </w:p>
    <w:p>
      <w:pPr>
        <w:spacing w:after="0" w:line="218" w:lineRule="exact"/>
        <w:rPr>
          <w:sz w:val="20"/>
          <w:szCs w:val="20"/>
          <w:color w:val="auto"/>
        </w:rPr>
      </w:pPr>
    </w:p>
    <w:p>
      <w:pPr>
        <w:sectPr>
          <w:pgSz w:w="11900" w:h="16838" w:orient="portrait"/>
          <w:cols w:equalWidth="0" w:num="2">
            <w:col w:w="4960" w:space="720"/>
            <w:col w:w="5740"/>
          </w:cols>
          <w:pgMar w:left="240" w:top="607" w:right="239" w:bottom="1440" w:gutter="0" w:footer="0" w:header="0"/>
        </w:sectPr>
      </w:pPr>
    </w:p>
    <w:p>
      <w:pPr>
        <w:spacing w:after="0" w:line="34"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Modification of Financial Assistance Award agreement between Ocean Power Technologies, Inc. and US Department of Energy dated October 16,</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2008 (incorporated by reference from Exhibit 10.2 to Form 10-Q filed December 10, 2008)+</w:t>
      </w:r>
    </w:p>
    <w:p>
      <w:pPr>
        <w:spacing w:after="0" w:line="9" w:lineRule="exact"/>
        <w:rPr>
          <w:sz w:val="20"/>
          <w:szCs w:val="20"/>
          <w:color w:val="auto"/>
        </w:rPr>
      </w:pPr>
    </w:p>
    <w:p>
      <w:pPr>
        <w:ind w:left="840" w:hanging="557"/>
        <w:spacing w:after="0" w:line="250" w:lineRule="auto"/>
        <w:tabs>
          <w:tab w:leader="none" w:pos="820" w:val="left"/>
        </w:tabs>
        <w:rPr>
          <w:sz w:val="20"/>
          <w:szCs w:val="20"/>
          <w:color w:val="auto"/>
        </w:rPr>
      </w:pPr>
      <w:r>
        <w:rPr>
          <w:rFonts w:ascii="Arial" w:cs="Arial" w:eastAsia="Arial" w:hAnsi="Arial"/>
          <w:sz w:val="18"/>
          <w:szCs w:val="18"/>
          <w:color w:val="auto"/>
        </w:rPr>
        <w:t>10.20</w:t>
        <w:tab/>
        <w:t>Agreement between Ocean Power Technologies, Inc. and the Office of Naval Research of the US Navy dated October 31, 2008 (incorporated by reference from Exhibit 10.3 to Form 10-Q filed December 10, 2008)</w:t>
      </w:r>
    </w:p>
    <w:p>
      <w:pPr>
        <w:spacing w:after="0" w:line="1" w:lineRule="exact"/>
        <w:rPr>
          <w:sz w:val="20"/>
          <w:szCs w:val="20"/>
          <w:color w:val="auto"/>
        </w:rPr>
      </w:pPr>
    </w:p>
    <w:p>
      <w:pPr>
        <w:ind w:left="840" w:hanging="557"/>
        <w:spacing w:after="0" w:line="250" w:lineRule="auto"/>
        <w:tabs>
          <w:tab w:leader="none" w:pos="820" w:val="left"/>
        </w:tabs>
        <w:rPr>
          <w:sz w:val="20"/>
          <w:szCs w:val="20"/>
          <w:color w:val="auto"/>
        </w:rPr>
      </w:pPr>
      <w:r>
        <w:rPr>
          <w:rFonts w:ascii="Arial" w:cs="Arial" w:eastAsia="Arial" w:hAnsi="Arial"/>
          <w:sz w:val="18"/>
          <w:szCs w:val="18"/>
          <w:color w:val="auto"/>
        </w:rPr>
        <w:t>10.21</w:t>
        <w:tab/>
        <w:t>Employment Agreement, dated May 19, 2010, between Brian M. Posner and Ocean Power Technologies, Inc. (incorporated by reference from Exhibit 10.28 to Form 10-K filed July 14, 2010)*</w:t>
      </w:r>
    </w:p>
    <w:p>
      <w:pPr>
        <w:spacing w:after="0" w:line="1"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Restricted Stock Agreement (incorporated by reference from Exhibit 10.1 to Form 10-Q filed March 14, 2011)*</w:t>
      </w:r>
    </w:p>
    <w:p>
      <w:pPr>
        <w:spacing w:after="0" w:line="9" w:lineRule="exact"/>
        <w:rPr>
          <w:sz w:val="20"/>
          <w:szCs w:val="20"/>
          <w:color w:val="auto"/>
        </w:rPr>
      </w:pPr>
    </w:p>
    <w:p>
      <w:pPr>
        <w:ind w:left="840" w:hanging="557"/>
        <w:spacing w:after="0" w:line="250" w:lineRule="auto"/>
        <w:tabs>
          <w:tab w:leader="none" w:pos="820" w:val="left"/>
        </w:tabs>
        <w:rPr>
          <w:sz w:val="20"/>
          <w:szCs w:val="20"/>
          <w:color w:val="auto"/>
        </w:rPr>
      </w:pPr>
      <w:r>
        <w:rPr>
          <w:rFonts w:ascii="Arial" w:cs="Arial" w:eastAsia="Arial" w:hAnsi="Arial"/>
          <w:sz w:val="18"/>
          <w:szCs w:val="18"/>
          <w:color w:val="auto"/>
        </w:rPr>
        <w:t>10.23</w:t>
        <w:tab/>
        <w:t>Amended Option Agreement for Purchase of Emissions Credits, dated December 4, 2012, between Ocean Power Technologies, Inc. and its affiliates and Metasource Pty Ltd (formerly known as Woodside Sustainable Energy Solutions Pty Ltd)</w:t>
      </w:r>
    </w:p>
    <w:p>
      <w:pPr>
        <w:spacing w:after="0" w:line="1"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Second Addendum to Lease Agreement, dated June 1, 2008, between Ocean Power Technologies, Inc. and Reed Road Industrial Park LLC #1</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Third Addendum to Lease Agreement, dated March 11, 2013, between Ocean Power Technologies, Inc. and Reed Road Industrial Park LLC #1</w:t>
      </w:r>
    </w:p>
    <w:p>
      <w:pPr>
        <w:spacing w:after="0" w:line="9" w:lineRule="exact"/>
        <w:rPr>
          <w:sz w:val="20"/>
          <w:szCs w:val="20"/>
          <w:color w:val="auto"/>
        </w:rPr>
      </w:pPr>
    </w:p>
    <w:p>
      <w:pPr>
        <w:ind w:left="840" w:hanging="557"/>
        <w:spacing w:after="0" w:line="250" w:lineRule="auto"/>
        <w:tabs>
          <w:tab w:leader="none" w:pos="820" w:val="left"/>
        </w:tabs>
        <w:rPr>
          <w:sz w:val="20"/>
          <w:szCs w:val="20"/>
          <w:color w:val="auto"/>
        </w:rPr>
      </w:pPr>
      <w:r>
        <w:rPr>
          <w:rFonts w:ascii="Arial" w:cs="Arial" w:eastAsia="Arial" w:hAnsi="Arial"/>
          <w:sz w:val="18"/>
          <w:szCs w:val="18"/>
          <w:color w:val="auto"/>
        </w:rPr>
        <w:t>10.26</w:t>
        <w:tab/>
        <w:t>Amendment Letter to Employment Agreement, dated December 12, 2012, between George W. Taylor and Ocean Power Technologies, Inc. (incorporated by reference from Exhibit 10.1 to Form 10-Q filed December 14, 2012)*</w:t>
      </w:r>
    </w:p>
    <w:p>
      <w:pPr>
        <w:spacing w:after="0" w:line="1" w:lineRule="exact"/>
        <w:rPr>
          <w:sz w:val="20"/>
          <w:szCs w:val="20"/>
          <w:color w:val="auto"/>
        </w:rPr>
      </w:pPr>
    </w:p>
    <w:p>
      <w:pPr>
        <w:ind w:left="840" w:hanging="557"/>
        <w:spacing w:after="0" w:line="250" w:lineRule="auto"/>
        <w:tabs>
          <w:tab w:leader="none" w:pos="820" w:val="left"/>
        </w:tabs>
        <w:rPr>
          <w:sz w:val="20"/>
          <w:szCs w:val="20"/>
          <w:color w:val="auto"/>
        </w:rPr>
      </w:pPr>
      <w:r>
        <w:rPr>
          <w:rFonts w:ascii="Arial" w:cs="Arial" w:eastAsia="Arial" w:hAnsi="Arial"/>
          <w:sz w:val="18"/>
          <w:szCs w:val="18"/>
          <w:color w:val="auto"/>
        </w:rPr>
        <w:t>10.27</w:t>
        <w:tab/>
        <w:t>Amendment Letter to Employment Agreement, dated December 12, 2012, between Charles F. Dunleavy and Ocean Power Technologies, Inc. (incorporated by reference from Exhibit 10.2 to Form 10-Q filed December 14, 2012)*</w:t>
      </w:r>
    </w:p>
    <w:p>
      <w:pPr>
        <w:spacing w:after="0" w:line="1" w:lineRule="exact"/>
        <w:rPr>
          <w:sz w:val="20"/>
          <w:szCs w:val="20"/>
          <w:color w:val="auto"/>
        </w:rPr>
      </w:pPr>
    </w:p>
    <w:p>
      <w:pPr>
        <w:ind w:left="840" w:right="20" w:hanging="557"/>
        <w:spacing w:after="0" w:line="250" w:lineRule="auto"/>
        <w:tabs>
          <w:tab w:leader="none" w:pos="820" w:val="left"/>
        </w:tabs>
        <w:rPr>
          <w:sz w:val="20"/>
          <w:szCs w:val="20"/>
          <w:color w:val="auto"/>
        </w:rPr>
      </w:pPr>
      <w:r>
        <w:rPr>
          <w:rFonts w:ascii="Arial" w:cs="Arial" w:eastAsia="Arial" w:hAnsi="Arial"/>
          <w:sz w:val="18"/>
          <w:szCs w:val="18"/>
          <w:color w:val="auto"/>
        </w:rPr>
        <w:t>10.28</w:t>
        <w:tab/>
        <w:t>At the Market Offering Agreement, dated as of June 6, 2013, by and between Ocean Power Technologies, Inc. and Ascendiant Capital Markets, LLC (incorporated by reference from Exhibit 10.1 to Form 8-K filed June 7, 2013)</w:t>
      </w:r>
    </w:p>
    <w:p>
      <w:pPr>
        <w:spacing w:after="0" w:line="1"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Amendment Letter to Employment Agreement, dated July 11, 2013, between George W. Taylor and Ocean Power Technologies, Inc.*</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Amendment Letter to Employment Agreement, dated July 11, 2013, between Charles F. Dunleavy and Ocean Power Technologies, Inc.*</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Chief Executive Officer</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Chief Financial Officer</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9" w:lineRule="exact"/>
        <w:rPr>
          <w:sz w:val="20"/>
          <w:szCs w:val="20"/>
          <w:color w:val="auto"/>
        </w:rPr>
      </w:pPr>
    </w:p>
    <w:p>
      <w:pPr>
        <w:ind w:left="28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9" w:lineRule="exact"/>
        <w:rPr>
          <w:sz w:val="20"/>
          <w:szCs w:val="20"/>
          <w:color w:val="auto"/>
        </w:rPr>
      </w:pPr>
    </w:p>
    <w:p>
      <w:pPr>
        <w:jc w:val="both"/>
        <w:ind w:left="840" w:hanging="643"/>
        <w:spacing w:after="0" w:line="254" w:lineRule="auto"/>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Annual Report on Form 10-K for the fiscal years ended April 30, 2013 and 2012: (i) Consolidated Balance Sheets, (ii) Consolidated Statements of Operations, (iii) Consolidated Statements of Cash Flows, (iv) Consolidated Statements of Stockholders’ Equity and Comprehensive Loss and (v) Notes to Consolidated Financial Statements.**</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confidential treatment has been requested for this exhibit.</w:t>
      </w:r>
    </w:p>
    <w:p>
      <w:pPr>
        <w:spacing w:after="0" w:line="225" w:lineRule="exact"/>
        <w:rPr>
          <w:sz w:val="20"/>
          <w:szCs w:val="20"/>
          <w:color w:val="auto"/>
        </w:rPr>
      </w:pPr>
    </w:p>
    <w:p>
      <w:pPr>
        <w:jc w:val="both"/>
        <w:ind w:left="260" w:hanging="252"/>
        <w:spacing w:after="0" w:line="264"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70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900" w:type="dxa"/>
            <w:vAlign w:val="bottom"/>
            <w:gridSpan w:val="6"/>
          </w:tcPr>
          <w:p>
            <w:pPr>
              <w:jc w:val="center"/>
              <w:ind w:right="34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Reports of Management</w:t>
            </w:r>
          </w:p>
        </w:tc>
        <w:tc>
          <w:tcPr>
            <w:tcW w:w="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81"/>
              </w:rPr>
              <w:t>F-2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9"/>
          </w:tcPr>
          <w:p>
            <w:pPr>
              <w:spacing w:after="0" w:line="176" w:lineRule="exact"/>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Pr>
          <w:p>
            <w:pPr>
              <w:ind w:left="320"/>
              <w:spacing w:after="0" w:line="176" w:lineRule="exact"/>
              <w:rPr>
                <w:sz w:val="20"/>
                <w:szCs w:val="20"/>
                <w:color w:val="auto"/>
              </w:rPr>
            </w:pPr>
            <w:r>
              <w:rPr>
                <w:rFonts w:ascii="Arial" w:cs="Arial" w:eastAsia="Arial" w:hAnsi="Arial"/>
                <w:sz w:val="18"/>
                <w:szCs w:val="18"/>
                <w:color w:val="auto"/>
                <w:w w:val="81"/>
              </w:rPr>
              <w:t>F-3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9"/>
              </w:rPr>
              <w:t>Consolidated Balance Sheets, April 30, 2013 and 2012</w:t>
            </w:r>
          </w:p>
        </w:tc>
        <w:tc>
          <w:tcPr>
            <w:tcW w:w="690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8"/>
                <w:szCs w:val="18"/>
                <w:color w:val="auto"/>
                <w:w w:val="81"/>
              </w:rPr>
              <w:t>F-4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9"/>
          </w:tcPr>
          <w:p>
            <w:pPr>
              <w:spacing w:after="0" w:line="176" w:lineRule="exact"/>
              <w:rPr>
                <w:sz w:val="20"/>
                <w:szCs w:val="20"/>
                <w:color w:val="auto"/>
              </w:rPr>
            </w:pPr>
            <w:r>
              <w:rPr>
                <w:rFonts w:ascii="Arial" w:cs="Arial" w:eastAsia="Arial" w:hAnsi="Arial"/>
                <w:sz w:val="18"/>
                <w:szCs w:val="18"/>
                <w:color w:val="auto"/>
              </w:rPr>
              <w:t>Consolidated Statements of Operations, Years ended April 30, 2013 and 2012</w:t>
            </w:r>
          </w:p>
        </w:tc>
        <w:tc>
          <w:tcPr>
            <w:tcW w:w="560" w:type="dxa"/>
            <w:vAlign w:val="bottom"/>
          </w:tcPr>
          <w:p>
            <w:pPr>
              <w:ind w:left="320"/>
              <w:spacing w:after="0" w:line="176" w:lineRule="exact"/>
              <w:rPr>
                <w:sz w:val="20"/>
                <w:szCs w:val="20"/>
                <w:color w:val="auto"/>
              </w:rPr>
            </w:pPr>
            <w:r>
              <w:rPr>
                <w:rFonts w:ascii="Arial" w:cs="Arial" w:eastAsia="Arial" w:hAnsi="Arial"/>
                <w:sz w:val="18"/>
                <w:szCs w:val="18"/>
                <w:color w:val="auto"/>
                <w:w w:val="81"/>
              </w:rPr>
              <w:t>F-5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Comprehensive Loss, Years ended April 30, 2013 and 2012</w:t>
            </w:r>
          </w:p>
        </w:tc>
        <w:tc>
          <w:tcPr>
            <w:tcW w:w="5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81"/>
              </w:rPr>
              <w:t>F-6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Borders>
              <w:top w:val="single" w:sz="8" w:color="auto"/>
            </w:tcBorders>
            <w:gridSpan w:val="8"/>
          </w:tcPr>
          <w:p>
            <w:pPr>
              <w:spacing w:after="0" w:line="176" w:lineRule="exact"/>
              <w:rPr>
                <w:sz w:val="20"/>
                <w:szCs w:val="20"/>
                <w:color w:val="auto"/>
              </w:rPr>
            </w:pPr>
            <w:r>
              <w:rPr>
                <w:rFonts w:ascii="Arial" w:cs="Arial" w:eastAsia="Arial" w:hAnsi="Arial"/>
                <w:sz w:val="18"/>
                <w:szCs w:val="18"/>
                <w:color w:val="auto"/>
                <w:w w:val="90"/>
              </w:rPr>
              <w:t>Consolidated Statements of Stockholders' Equity, Years ended April 30, 2013 and 2012</w:t>
            </w:r>
          </w:p>
        </w:tc>
        <w:tc>
          <w:tcPr>
            <w:tcW w:w="45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ind w:left="320"/>
              <w:spacing w:after="0" w:line="176" w:lineRule="exact"/>
              <w:rPr>
                <w:sz w:val="20"/>
                <w:szCs w:val="20"/>
                <w:color w:val="auto"/>
              </w:rPr>
            </w:pPr>
            <w:r>
              <w:rPr>
                <w:rFonts w:ascii="Arial" w:cs="Arial" w:eastAsia="Arial" w:hAnsi="Arial"/>
                <w:sz w:val="18"/>
                <w:szCs w:val="18"/>
                <w:color w:val="auto"/>
                <w:w w:val="81"/>
              </w:rPr>
              <w:t>F-7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w w:val="89"/>
              </w:rPr>
              <w:t>Consolidated Statements of Cash Flows, Years ended April 30, 2013 and 2012</w:t>
            </w:r>
          </w:p>
        </w:tc>
        <w:tc>
          <w:tcPr>
            <w:tcW w:w="520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8"/>
                <w:szCs w:val="18"/>
                <w:color w:val="auto"/>
                <w:w w:val="81"/>
              </w:rPr>
              <w:t>F-8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9"/>
              </w:rPr>
              <w:t>Notes to Consolidated Financial Statements</w:t>
            </w:r>
          </w:p>
        </w:tc>
        <w:tc>
          <w:tcPr>
            <w:tcW w:w="7700" w:type="dxa"/>
            <w:vAlign w:val="bottom"/>
            <w:gridSpan w:val="7"/>
          </w:tcPr>
          <w:p>
            <w:pPr>
              <w:spacing w:after="0"/>
              <w:rPr>
                <w:sz w:val="15"/>
                <w:szCs w:val="15"/>
                <w:color w:val="auto"/>
              </w:rPr>
            </w:pPr>
          </w:p>
        </w:tc>
        <w:tc>
          <w:tcPr>
            <w:tcW w:w="560" w:type="dxa"/>
            <w:vAlign w:val="bottom"/>
          </w:tcPr>
          <w:p>
            <w:pPr>
              <w:ind w:left="320"/>
              <w:spacing w:after="0" w:line="176" w:lineRule="exact"/>
              <w:rPr>
                <w:sz w:val="20"/>
                <w:szCs w:val="20"/>
                <w:color w:val="auto"/>
              </w:rPr>
            </w:pPr>
            <w:r>
              <w:rPr>
                <w:rFonts w:ascii="Arial" w:cs="Arial" w:eastAsia="Arial" w:hAnsi="Arial"/>
                <w:sz w:val="18"/>
                <w:szCs w:val="18"/>
                <w:color w:val="auto"/>
                <w:w w:val="81"/>
              </w:rPr>
              <w:t>F-9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3"/>
        </w:trPr>
        <w:tc>
          <w:tcPr>
            <w:tcW w:w="10860" w:type="dxa"/>
            <w:vAlign w:val="bottom"/>
            <w:gridSpan w:val="10"/>
          </w:tcPr>
          <w:p>
            <w:pPr>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9"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58"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00" w:lineRule="exact"/>
        <w:rPr>
          <w:sz w:val="20"/>
          <w:szCs w:val="20"/>
          <w:color w:val="auto"/>
        </w:rPr>
      </w:pPr>
    </w:p>
    <w:p>
      <w:pPr>
        <w:spacing w:after="0" w:line="203" w:lineRule="exact"/>
        <w:rPr>
          <w:sz w:val="20"/>
          <w:szCs w:val="20"/>
          <w:color w:val="auto"/>
        </w:rPr>
      </w:pPr>
    </w:p>
    <w:p>
      <w:pPr>
        <w:ind w:left="480" w:hanging="188"/>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480" w:hanging="188"/>
        <w:spacing w:after="0" w:line="264"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480" w:hanging="188"/>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2013.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w:t>
      </w:r>
      <w:r>
        <w:rPr>
          <w:rFonts w:ascii="Arial" w:cs="Arial" w:eastAsia="Arial" w:hAnsi="Arial"/>
          <w:sz w:val="18"/>
          <w:szCs w:val="18"/>
          <w:color w:val="auto"/>
        </w:rPr>
        <w:t>. Based on this assessment using those criteria,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April 30, 2013.</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21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421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319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5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as of April 30, 2013 and 2012, and the related consolidated statements of operations, comprehensive loss, stockholders' equity, and cash flows for each of the years in the two-year period ended April 30, 2013. These consolidated financial statements are the responsibility of the Company's management. Our responsibility is to express an opinion on these consolidated financial statements based on our audits.</w:t>
      </w:r>
    </w:p>
    <w:p>
      <w:pPr>
        <w:spacing w:after="0" w:line="22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Ocean Power Technologies, Inc. and subsidiaries as of April 30, 2013 and 2012, and the results of their operations and their cash flows for each of the years in the two-year period ended April 30, 2013, in conformity with U.S. generally accepted accounting principles.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6,372,788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9,353,460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13,996,705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22,369,484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1,064,796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127,598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223,050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842,820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21,446,385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33,853,610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Patents,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1,044,902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1,269,457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1,453,712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272,548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181,925</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24,831,059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37,441,637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020" w:type="dxa"/>
            <w:vAlign w:val="bottom"/>
          </w:tcPr>
          <w:p>
            <w:pPr>
              <w:ind w:left="2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510,031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440,773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3,900,623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2,770,094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Deferred credits payable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1,117,115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1,073,389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5,627,769</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4,984,256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unearned revenues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232,033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credits payable-noncurrent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6,709,802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5,334,256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10,403,215 and 10,407,389 shares,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10,403</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Treasury stock, at cost; 33,771 and 23,544 shares, respectively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(123,893)</w:t>
            </w: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(102,388)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159,155,365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158,296,458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(140,671,311)</w:t>
            </w: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(125,989,474)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(79,786)</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(78,990)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18,290,778</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32,136,013</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(169,521)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18,121,257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32,107,381</w:t>
            </w:r>
          </w:p>
        </w:tc>
        <w:tc>
          <w:tcPr>
            <w:tcW w:w="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24,831,059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37,441,637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88"/>
        </w:trPr>
        <w:tc>
          <w:tcPr>
            <w:tcW w:w="8040" w:type="dxa"/>
            <w:vAlign w:val="bottom"/>
            <w:gridSpan w:val="2"/>
          </w:tcPr>
          <w:p>
            <w:pPr>
              <w:spacing w:after="0"/>
              <w:rPr>
                <w:sz w:val="20"/>
                <w:szCs w:val="20"/>
                <w:color w:val="auto"/>
              </w:rPr>
            </w:pPr>
            <w:r>
              <w:rPr>
                <w:rFonts w:ascii="Arial" w:cs="Arial" w:eastAsia="Arial" w:hAnsi="Arial"/>
                <w:sz w:val="18"/>
                <w:szCs w:val="18"/>
                <w:color w:val="auto"/>
              </w:rPr>
              <w:t>F-4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gridSpan w:val="3"/>
          </w:tcPr>
          <w:p>
            <w:pPr>
              <w:ind w:left="314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8020" w:type="dxa"/>
            <w:vAlign w:val="bottom"/>
          </w:tcPr>
          <w:p>
            <w:pPr>
              <w:ind w:left="4200"/>
              <w:spacing w:after="0"/>
              <w:rPr>
                <w:sz w:val="20"/>
                <w:szCs w:val="20"/>
                <w:color w:val="auto"/>
              </w:rPr>
            </w:pPr>
            <w:r>
              <w:rPr>
                <w:rFonts w:ascii="Arial" w:cs="Arial" w:eastAsia="Arial" w:hAnsi="Arial"/>
                <w:sz w:val="18"/>
                <w:szCs w:val="18"/>
                <w:b w:val="1"/>
                <w:bCs w:val="1"/>
                <w:color w:val="auto"/>
              </w:rPr>
              <w:t>Consolidated Statements of Operations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5,738,506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3,480,821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5,683,731</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135,308</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54,775</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7,327,766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8,337,424</w:t>
            </w: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9,126,757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8,274,096</w:t>
            </w: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16,454,523</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16,611,520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(16,319,215)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(16,556,745)</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126,377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418,052</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Foreign exchange loss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(83,416)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(104,739)</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(16,276,254)</w:t>
            </w:r>
          </w:p>
        </w:tc>
        <w:tc>
          <w:tcPr>
            <w:tcW w:w="220" w:type="dxa"/>
            <w:vAlign w:val="bottom"/>
            <w:gridSpan w:val="2"/>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(16,243,432)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1,453,243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1,053,427</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(14,823,011)</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(15,190,005)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1"/>
              </w:rPr>
              <w:t>Less: Net loss attributable to the noncontrolling interest in Ocean Power Technologies (Australasia) Pty Ltd.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141,174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49,503</w:t>
            </w: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(14,681,837)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(15,140,502)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4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44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(1.42)</w:t>
            </w:r>
          </w:p>
        </w:tc>
        <w:tc>
          <w:tcPr>
            <w:tcW w:w="1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(1.47)</w:t>
            </w:r>
          </w:p>
        </w:tc>
      </w:tr>
      <w:tr>
        <w:trPr>
          <w:trHeight w:val="20"/>
        </w:trPr>
        <w:tc>
          <w:tcPr>
            <w:tcW w:w="8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basic and diluted net loss per share</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10,304,044</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10,277,661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(14,823,011)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(15,190,005)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(14,823,522)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(15,445,979)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Comprehensive loss attributable to the noncontrolling interest in Ocean Power Technologies (Australasia) Pty</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140,889</w:t>
            </w:r>
          </w:p>
        </w:tc>
        <w:tc>
          <w:tcPr>
            <w:tcW w:w="1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50,580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Ltd.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(14,682,633)</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(15,395,399)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8020" w:type="dxa"/>
            <w:vAlign w:val="bottom"/>
            <w:tcBorders>
              <w:top w:val="single" w:sz="8" w:color="CCEEFF"/>
            </w:tcBorders>
          </w:tcPr>
          <w:p>
            <w:pPr>
              <w:ind w:left="348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40" w:type="dxa"/>
            <w:vAlign w:val="bottom"/>
            <w:gridSpan w:val="2"/>
          </w:tcPr>
          <w:p>
            <w:pPr>
              <w:spacing w:after="0"/>
              <w:rPr>
                <w:sz w:val="20"/>
                <w:szCs w:val="20"/>
                <w:color w:val="auto"/>
              </w:rPr>
            </w:pPr>
            <w:r>
              <w:rPr>
                <w:rFonts w:ascii="Arial" w:cs="Arial" w:eastAsia="Arial" w:hAnsi="Arial"/>
                <w:sz w:val="18"/>
                <w:szCs w:val="18"/>
                <w:color w:val="auto"/>
              </w:rPr>
              <w:t>F-6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Total Ocean</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Power</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Technologies,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60" w:type="dxa"/>
            <w:vAlign w:val="bottom"/>
            <w:gridSpan w:val="5"/>
            <w:vMerge w:val="restart"/>
          </w:tcPr>
          <w:p>
            <w:pPr>
              <w:jc w:val="right"/>
              <w:ind w:right="216"/>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vMerge w:val="restart"/>
          </w:tcPr>
          <w:p>
            <w:pPr>
              <w:spacing w:after="0"/>
              <w:rPr>
                <w:sz w:val="11"/>
                <w:szCs w:val="11"/>
                <w:color w:val="auto"/>
              </w:rPr>
            </w:pPr>
          </w:p>
        </w:tc>
        <w:tc>
          <w:tcPr>
            <w:tcW w:w="1440" w:type="dxa"/>
            <w:vAlign w:val="bottom"/>
            <w:gridSpan w:val="4"/>
            <w:vMerge w:val="restart"/>
          </w:tcPr>
          <w:p>
            <w:pPr>
              <w:jc w:val="right"/>
              <w:ind w:right="156"/>
              <w:spacing w:after="0"/>
              <w:rPr>
                <w:sz w:val="20"/>
                <w:szCs w:val="20"/>
                <w:color w:val="auto"/>
              </w:rPr>
            </w:pPr>
            <w:r>
              <w:rPr>
                <w:rFonts w:ascii="Arial" w:cs="Arial" w:eastAsia="Arial" w:hAnsi="Arial"/>
                <w:sz w:val="14"/>
                <w:szCs w:val="14"/>
                <w:b w:val="1"/>
                <w:bCs w:val="1"/>
                <w:color w:val="auto"/>
              </w:rPr>
              <w:t>Treasury Shares</w:t>
            </w:r>
          </w:p>
        </w:tc>
        <w:tc>
          <w:tcPr>
            <w:tcW w:w="200" w:type="dxa"/>
            <w:vAlign w:val="bottom"/>
            <w:vMerge w:val="restart"/>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9"/>
              </w:rPr>
              <w:t>Inc,</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60" w:type="dxa"/>
            <w:vAlign w:val="bottom"/>
            <w:tcBorders>
              <w:bottom w:val="single" w:sz="8" w:color="auto"/>
            </w:tcBorders>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Accumulated</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Noncontrolling</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Balance, April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10,419,183</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10,419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(7,685)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(42,734)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157,174,930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(110,848,972)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175,907</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46,469,550</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21,948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46,491,498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(15,140,502)</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(15,140,502)</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(49,503)</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(15,190,005)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w w:val="96"/>
              </w:rPr>
              <w:t>Foreign currency translation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adjustment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(254,897)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(254,897)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tcPr>
          <w:p>
            <w:pPr>
              <w:ind w:left="160"/>
              <w:spacing w:after="0"/>
              <w:rPr>
                <w:sz w:val="20"/>
                <w:szCs w:val="20"/>
                <w:color w:val="auto"/>
              </w:rPr>
            </w:pPr>
            <w:r>
              <w:rPr>
                <w:rFonts w:ascii="Arial" w:cs="Arial" w:eastAsia="Arial" w:hAnsi="Arial"/>
                <w:sz w:val="14"/>
                <w:szCs w:val="14"/>
                <w:color w:val="auto"/>
                <w:w w:val="95"/>
              </w:rPr>
              <w:t>Total comprehensive loss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(15,395,399)</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(50,580)</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(15,445,979)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based compensation</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1,008,473</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1,008,473</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1,008,473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Issuance (forfeiture)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20" w:type="dxa"/>
            <w:vAlign w:val="bottom"/>
            <w:gridSpan w:val="2"/>
          </w:tcPr>
          <w:p>
            <w:pPr>
              <w:spacing w:after="0"/>
              <w:rPr>
                <w:sz w:val="20"/>
                <w:szCs w:val="20"/>
                <w:color w:val="auto"/>
              </w:rPr>
            </w:pPr>
            <w:r>
              <w:rPr>
                <w:rFonts w:ascii="Arial" w:cs="Arial" w:eastAsia="Arial" w:hAnsi="Arial"/>
                <w:sz w:val="14"/>
                <w:szCs w:val="14"/>
                <w:color w:val="auto"/>
              </w:rPr>
              <w:t>restricted stock, net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(11,794)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113,055</w:t>
            </w:r>
          </w:p>
        </w:tc>
        <w:tc>
          <w:tcPr>
            <w:tcW w:w="2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113,043</w:t>
            </w: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113,043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treasury</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(15,859)</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(59,654)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(59,654)</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(59,654)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Balance, April 30, 2012</w:t>
            </w:r>
          </w:p>
        </w:tc>
        <w:tc>
          <w:tcPr>
            <w:tcW w:w="700" w:type="dxa"/>
            <w:vAlign w:val="bottom"/>
          </w:tcPr>
          <w:p>
            <w:pPr>
              <w:jc w:val="right"/>
              <w:spacing w:after="0"/>
              <w:rPr>
                <w:sz w:val="20"/>
                <w:szCs w:val="20"/>
                <w:color w:val="auto"/>
              </w:rPr>
            </w:pPr>
            <w:r>
              <w:rPr>
                <w:rFonts w:ascii="Arial" w:cs="Arial" w:eastAsia="Arial" w:hAnsi="Arial"/>
                <w:sz w:val="13"/>
                <w:szCs w:val="13"/>
                <w:color w:val="auto"/>
              </w:rPr>
              <w:t>10,407,389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10,407</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(23,544)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18"/>
              <w:spacing w:after="0"/>
              <w:rPr>
                <w:sz w:val="20"/>
                <w:szCs w:val="20"/>
                <w:color w:val="auto"/>
              </w:rPr>
            </w:pPr>
            <w:r>
              <w:rPr>
                <w:rFonts w:ascii="Arial" w:cs="Arial" w:eastAsia="Arial" w:hAnsi="Arial"/>
                <w:sz w:val="13"/>
                <w:szCs w:val="13"/>
                <w:color w:val="auto"/>
              </w:rPr>
              <w:t>(102,388)</w:t>
            </w:r>
          </w:p>
        </w:tc>
        <w:tc>
          <w:tcPr>
            <w:tcW w:w="760" w:type="dxa"/>
            <w:vAlign w:val="bottom"/>
          </w:tcPr>
          <w:p>
            <w:pPr>
              <w:jc w:val="right"/>
              <w:spacing w:after="0"/>
              <w:rPr>
                <w:sz w:val="20"/>
                <w:szCs w:val="20"/>
                <w:color w:val="auto"/>
              </w:rPr>
            </w:pPr>
            <w:r>
              <w:rPr>
                <w:rFonts w:ascii="Arial" w:cs="Arial" w:eastAsia="Arial" w:hAnsi="Arial"/>
                <w:sz w:val="13"/>
                <w:szCs w:val="13"/>
                <w:color w:val="auto"/>
              </w:rPr>
              <w:t>158,296,458</w:t>
            </w:r>
          </w:p>
        </w:tc>
        <w:tc>
          <w:tcPr>
            <w:tcW w:w="2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(125,989,474)</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(78,990)</w:t>
            </w:r>
          </w:p>
        </w:tc>
        <w:tc>
          <w:tcPr>
            <w:tcW w:w="900" w:type="dxa"/>
            <w:vAlign w:val="bottom"/>
          </w:tcPr>
          <w:p>
            <w:pPr>
              <w:jc w:val="right"/>
              <w:spacing w:after="0"/>
              <w:rPr>
                <w:sz w:val="20"/>
                <w:szCs w:val="20"/>
                <w:color w:val="auto"/>
              </w:rPr>
            </w:pPr>
            <w:r>
              <w:rPr>
                <w:rFonts w:ascii="Arial" w:cs="Arial" w:eastAsia="Arial" w:hAnsi="Arial"/>
                <w:sz w:val="13"/>
                <w:szCs w:val="13"/>
                <w:color w:val="auto"/>
              </w:rPr>
              <w:t>32,136,013</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(28,632)</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32,107,381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(14,681,837)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(14,681,837)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(141,174)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(14,823,011)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w w:val="96"/>
              </w:rPr>
              <w:t>Foreign currency translation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20" w:type="dxa"/>
            <w:vAlign w:val="bottom"/>
            <w:gridSpan w:val="2"/>
          </w:tcPr>
          <w:p>
            <w:pPr>
              <w:spacing w:after="0"/>
              <w:rPr>
                <w:sz w:val="20"/>
                <w:szCs w:val="20"/>
                <w:color w:val="auto"/>
              </w:rPr>
            </w:pPr>
            <w:r>
              <w:rPr>
                <w:rFonts w:ascii="Arial" w:cs="Arial" w:eastAsia="Arial" w:hAnsi="Arial"/>
                <w:sz w:val="14"/>
                <w:szCs w:val="14"/>
                <w:color w:val="auto"/>
              </w:rPr>
              <w:t>adjustment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(796)</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(796)</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285</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Total comprehensive loss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(14,682,633)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(140,889)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(14,823,522)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9"/>
              </w:rPr>
              <w:t>Stock based compensation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814,407</w:t>
            </w:r>
          </w:p>
        </w:tc>
        <w:tc>
          <w:tcPr>
            <w:tcW w:w="20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814,407</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814,407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Issuance (forfeiture)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net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44,500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44,496</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44,496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Acquisition of treasury</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20" w:type="dxa"/>
            <w:vAlign w:val="bottom"/>
            <w:gridSpan w:val="2"/>
          </w:tcPr>
          <w:p>
            <w:pPr>
              <w:spacing w:after="0"/>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(10,227)</w:t>
            </w:r>
          </w:p>
        </w:tc>
        <w:tc>
          <w:tcPr>
            <w:tcW w:w="80" w:type="dxa"/>
            <w:vAlign w:val="bottom"/>
          </w:tcPr>
          <w:p>
            <w:pPr>
              <w:spacing w:after="0"/>
              <w:rPr>
                <w:sz w:val="14"/>
                <w:szCs w:val="14"/>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3"/>
                <w:szCs w:val="13"/>
                <w:color w:val="auto"/>
              </w:rPr>
              <w:t>(21,505)</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(21,505)</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(21,505)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Balance, April 30, 2013</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10,403,215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10,403</w:t>
            </w: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(33,771)</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(123,893</w:t>
            </w:r>
          </w:p>
        </w:tc>
        <w:tc>
          <w:tcPr>
            <w:tcW w:w="2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159,155,365</w:t>
            </w:r>
          </w:p>
        </w:tc>
        <w:tc>
          <w:tcPr>
            <w:tcW w:w="2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(140,671,311)</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(79,786)</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18,290,778</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(169,521)</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18,121,257</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gridSpan w:val="3"/>
          </w:tcPr>
          <w:p>
            <w:pPr>
              <w:ind w:left="314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660" w:type="dxa"/>
            <w:vAlign w:val="bottom"/>
          </w:tcPr>
          <w:p>
            <w:pPr>
              <w:ind w:left="4180"/>
              <w:spacing w:after="0"/>
              <w:rPr>
                <w:sz w:val="20"/>
                <w:szCs w:val="20"/>
                <w:color w:val="auto"/>
              </w:rPr>
            </w:pPr>
            <w:r>
              <w:rPr>
                <w:rFonts w:ascii="Arial" w:cs="Arial" w:eastAsia="Arial" w:hAnsi="Arial"/>
                <w:sz w:val="18"/>
                <w:szCs w:val="18"/>
                <w:b w:val="1"/>
                <w:bCs w:val="1"/>
                <w:color w:val="auto"/>
              </w:rPr>
              <w:t>Consolidated Statements of Cash Flows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(14,823,011)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(15,190,005)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Foreign exchange loss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83,416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502,099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44,067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long-lived assets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note discount amortization</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(12,191)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858,902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1,121,528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264,077</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Unbilled receivables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95,451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685,523</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(93,700)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105,036</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(546,709)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1,158,481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Unearned revenues-ST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46,451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729,367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Unearned revenues-LT</w:t>
            </w: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232,033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(10,845,648)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(13,914,843)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(16,678,329)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(18,574,454)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25,055,534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(394,632)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Payments of patent costs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(180,011)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8,057,573</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(21,505)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(59,654)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(121,505)</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(71,092)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(220,130)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(2,980,672)</w:t>
            </w:r>
          </w:p>
        </w:tc>
        <w:tc>
          <w:tcPr>
            <w:tcW w:w="220" w:type="dxa"/>
            <w:vAlign w:val="bottom"/>
            <w:gridSpan w:val="2"/>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9,353,460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4,376,136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6,372,788</w:t>
            </w:r>
          </w:p>
        </w:tc>
        <w:tc>
          <w:tcPr>
            <w:tcW w:w="200" w:type="dxa"/>
            <w:vAlign w:val="bottom"/>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w w:val="98"/>
              </w:rPr>
              <w:t>Capitalized purchases of equipment financed through accounts payable and accrued expenses</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42,344</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83" w:lineRule="exact"/>
        <w:rPr>
          <w:rFonts w:ascii="Arial" w:cs="Arial" w:eastAsia="Arial" w:hAnsi="Arial"/>
          <w:sz w:val="18"/>
          <w:szCs w:val="18"/>
          <w:b w:val="1"/>
          <w:bCs w:val="1"/>
          <w:color w:val="auto"/>
        </w:rPr>
      </w:pPr>
    </w:p>
    <w:p>
      <w:pPr>
        <w:ind w:left="520" w:hanging="350"/>
        <w:spacing w:after="0"/>
        <w:tabs>
          <w:tab w:leader="none" w:pos="520" w:val="left"/>
        </w:tabs>
        <w:numPr>
          <w:ilvl w:val="1"/>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3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Ocean Power Technologies, Inc. (the “Company”) was incorporated in April 1984 in New Jersey, commenced business operations in 1994 and re-incorporated in Delaware in April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208"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Liquidity</w:t>
      </w:r>
    </w:p>
    <w:p>
      <w:pPr>
        <w:spacing w:after="0" w:line="23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 has incurred net losses and negative operating cash flows since inception. As of April 30, 2013, the Company had accumulated deficit of $140.7 million. As of April 30, 2013, the Company’s cash and cash equivalents, marketable securities and restricted cash balance was approximately $21.7 million. Based upon the Company’s cash and cash equivalents and marketable securities balance as of April 30, 2013, the Company believes that it will be able to finance its capital requirements and operations through, at least, July 31, 2014.</w:t>
      </w:r>
    </w:p>
    <w:p>
      <w:pPr>
        <w:spacing w:after="0" w:line="187"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During 2013 and 2012,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competition, new products, technological change, recent economic activity and dependence on key personnel. In order to complete its future growth strategy, the Company will require additional equity and/or debt financing. There is no assurance that additional equity and/or debt financing will be available to the Company as needed. If financing is not achieved, the Company may be required to further curtail or limit certain product development costs, and/or selling, general and administrative, activities in order to reduce its cash expenditures. On June 6, 2013, the Company entered into an At the Market Offering Agreement. See Subsequent Event - Note 15.</w:t>
      </w:r>
    </w:p>
    <w:p>
      <w:pPr>
        <w:spacing w:after="0" w:line="217"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23" w:lineRule="exact"/>
        <w:rPr>
          <w:rFonts w:ascii="Arial" w:cs="Arial" w:eastAsia="Arial" w:hAnsi="Arial"/>
          <w:sz w:val="18"/>
          <w:szCs w:val="18"/>
          <w:b w:val="1"/>
          <w:bCs w:val="1"/>
          <w:color w:val="auto"/>
        </w:rPr>
      </w:pPr>
    </w:p>
    <w:p>
      <w:pPr>
        <w:ind w:left="520" w:hanging="350"/>
        <w:spacing w:after="0"/>
        <w:tabs>
          <w:tab w:leader="none" w:pos="520" w:val="left"/>
        </w:tabs>
        <w:numPr>
          <w:ilvl w:val="1"/>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 and Cost Method Investment</w:t>
      </w:r>
    </w:p>
    <w:p>
      <w:pPr>
        <w:spacing w:after="0" w:line="27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April 30, 2013, there was one noncontrolling interest, consisting of 11.8% of the Company's Australian subsidiary, Ocean Power Technologies (Australasia) Pty. Ltd.</w:t>
      </w:r>
    </w:p>
    <w:p>
      <w:pPr>
        <w:spacing w:after="0" w:line="19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2013, there were no such entities.</w:t>
      </w:r>
    </w:p>
    <w:p>
      <w:pPr>
        <w:spacing w:after="0" w:line="181"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Company has a 10% investment in Iberdrola Energias Marinas de Cantabria, S.A. (Iberdrola Cantabria). During the fourth quarter of fiscal 2012, the Company evaluated the realizability of this investment and concluded that it was impaired. Accordingly, the Company recorded an impairment expense of $0.3 million representing 100% of the investment amount. In addition, outstanding receivables from Iberdrola Cantabria in the amount of $0.3 million as of April 2012 were fully reserved during the fourth quarter of fiscal 2012. The investment in Iberdrola Cantabria and net accounts receivable and unbilled receivables from Iberdrola Cantabria were $0 as of April 30, 2013 and April 30, 2012.</w:t>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27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273"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Revenue Recognition</w:t>
      </w:r>
    </w:p>
    <w:p>
      <w:pPr>
        <w:spacing w:after="0" w:line="27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18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276"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equivalents consist of investments in short-term financial instruments with initial maturities of three months or less from the date of 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the following:</w:t>
      </w:r>
    </w:p>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60" w:type="dxa"/>
            <w:vAlign w:val="bottom"/>
            <w:gridSpan w:val="3"/>
          </w:tcPr>
          <w:p>
            <w:pPr>
              <w:ind w:left="280"/>
              <w:spacing w:after="0"/>
              <w:rPr>
                <w:sz w:val="20"/>
                <w:szCs w:val="20"/>
                <w:color w:val="auto"/>
              </w:rPr>
            </w:pPr>
            <w:r>
              <w:rPr>
                <w:rFonts w:ascii="Arial" w:cs="Arial" w:eastAsia="Arial" w:hAnsi="Arial"/>
                <w:sz w:val="18"/>
                <w:szCs w:val="18"/>
                <w:b w:val="1"/>
                <w:bCs w:val="1"/>
                <w:color w:val="auto"/>
              </w:rPr>
              <w:t>April 30,</w:t>
            </w:r>
          </w:p>
        </w:tc>
      </w:tr>
      <w:tr>
        <w:trPr>
          <w:trHeight w:val="210"/>
        </w:trPr>
        <w:tc>
          <w:tcPr>
            <w:tcW w:w="534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60" w:type="dxa"/>
            <w:vAlign w:val="bottom"/>
            <w:gridSpan w:val="3"/>
          </w:tcPr>
          <w:p>
            <w:pPr>
              <w:spacing w:after="0"/>
              <w:rPr>
                <w:sz w:val="18"/>
                <w:szCs w:val="18"/>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Checking and savings accounts</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2,184,322</w:t>
            </w:r>
          </w:p>
        </w:tc>
        <w:tc>
          <w:tcPr>
            <w:tcW w:w="2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2,051,918</w:t>
            </w:r>
          </w:p>
        </w:tc>
      </w:tr>
      <w:tr>
        <w:trPr>
          <w:trHeight w:val="216"/>
        </w:trPr>
        <w:tc>
          <w:tcPr>
            <w:tcW w:w="5340" w:type="dxa"/>
            <w:vAlign w:val="bottom"/>
          </w:tcPr>
          <w:p>
            <w:pPr>
              <w:ind w:left="380"/>
              <w:spacing w:after="0"/>
              <w:rPr>
                <w:sz w:val="20"/>
                <w:szCs w:val="20"/>
                <w:color w:val="auto"/>
              </w:rPr>
            </w:pPr>
            <w:r>
              <w:rPr>
                <w:rFonts w:ascii="Arial" w:cs="Arial" w:eastAsia="Arial" w:hAnsi="Arial"/>
                <w:sz w:val="18"/>
                <w:szCs w:val="18"/>
                <w:color w:val="auto"/>
              </w:rPr>
              <w:t>Certificates of deposits and US Treasury obligations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5,998,925</w:t>
            </w:r>
          </w:p>
        </w:tc>
      </w:tr>
      <w:tr>
        <w:trPr>
          <w:trHeight w:val="216"/>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4,188,466</w:t>
            </w:r>
          </w:p>
        </w:tc>
        <w:tc>
          <w:tcPr>
            <w:tcW w:w="9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1,302,617</w:t>
            </w:r>
          </w:p>
        </w:tc>
        <w:tc>
          <w:tcPr>
            <w:tcW w:w="440" w:type="dxa"/>
            <w:vAlign w:val="bottom"/>
            <w:tcBorders>
              <w:bottom w:val="single" w:sz="8" w:color="CCEEFF"/>
            </w:tcBorders>
            <w:shd w:val="clear" w:color="auto" w:fill="CCEEFF"/>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6,372,788</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9,353,460</w:t>
            </w:r>
          </w:p>
        </w:tc>
      </w:tr>
      <w:tr>
        <w:trPr>
          <w:trHeight w:val="20"/>
        </w:trPr>
        <w:tc>
          <w:tcPr>
            <w:tcW w:w="5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Marketable Securities</w:t>
      </w:r>
    </w:p>
    <w:p>
      <w:pPr>
        <w:spacing w:after="0" w:line="279"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Marketable securities with original maturities longer than three months but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2013 and 2012, all of the Company's investments were classified as held-to-maturity.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4"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Restricted Cash and Credit Facility</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($1,046,000 at April 30, 2013) credit facility established by Barclays Bank for Ocean Power Technologies Ltd. The credit facility is for the issuance of letters of credit and bank guarantees and carries a fee of 1% per annum of the amount of any such obligations issued by Barclays Bank. As of April 30, 2013, there were €266,000 ($348,000) in letters of credit outstanding under this agreement. Subsequent to the year ended April 30, 2013, the Company issued two additional letters of credit for €278,828 ($364,512) under this agreement. The credit facility does not have an expiration date, but is cancelable at the discretion of the bank.</w:t>
      </w:r>
    </w:p>
    <w:p>
      <w:pPr>
        <w:spacing w:after="0" w:line="18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See Note 7.</w:t>
      </w:r>
    </w:p>
    <w:p>
      <w:pPr>
        <w:spacing w:after="0" w:line="18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Cash restricted under security agreements is as follows: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86"/>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40" w:type="dxa"/>
            <w:vAlign w:val="bottom"/>
            <w:gridSpan w:val="3"/>
          </w:tcPr>
          <w:p>
            <w:pPr>
              <w:ind w:left="280"/>
              <w:spacing w:after="0"/>
              <w:rPr>
                <w:sz w:val="20"/>
                <w:szCs w:val="20"/>
                <w:color w:val="auto"/>
              </w:rPr>
            </w:pPr>
            <w:r>
              <w:rPr>
                <w:rFonts w:ascii="Arial" w:cs="Arial" w:eastAsia="Arial" w:hAnsi="Arial"/>
                <w:sz w:val="18"/>
                <w:szCs w:val="18"/>
                <w:b w:val="1"/>
                <w:bCs w:val="1"/>
                <w:color w:val="auto"/>
              </w:rPr>
              <w:t>April 30,</w:t>
            </w:r>
          </w:p>
        </w:tc>
      </w:tr>
      <w:tr>
        <w:trPr>
          <w:trHeight w:val="210"/>
        </w:trPr>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9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40" w:type="dxa"/>
            <w:vAlign w:val="bottom"/>
            <w:gridSpan w:val="3"/>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Barclays Bank agreement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941,256</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953,712</w:t>
            </w:r>
          </w:p>
        </w:tc>
      </w:tr>
      <w:tr>
        <w:trPr>
          <w:trHeight w:val="216"/>
        </w:trPr>
        <w:tc>
          <w:tcPr>
            <w:tcW w:w="260" w:type="dxa"/>
            <w:vAlign w:val="bottom"/>
          </w:tcPr>
          <w:p>
            <w:pPr>
              <w:spacing w:after="0"/>
              <w:rPr>
                <w:sz w:val="18"/>
                <w:szCs w:val="18"/>
                <w:color w:val="auto"/>
              </w:rPr>
            </w:pPr>
          </w:p>
        </w:tc>
        <w:tc>
          <w:tcPr>
            <w:tcW w:w="5120" w:type="dxa"/>
            <w:vAlign w:val="bottom"/>
          </w:tcPr>
          <w:p>
            <w:pPr>
              <w:ind w:left="380"/>
              <w:spacing w:after="0"/>
              <w:rPr>
                <w:sz w:val="20"/>
                <w:szCs w:val="20"/>
                <w:color w:val="auto"/>
              </w:rPr>
            </w:pPr>
            <w:r>
              <w:rPr>
                <w:rFonts w:ascii="Arial" w:cs="Arial" w:eastAsia="Arial" w:hAnsi="Arial"/>
                <w:sz w:val="18"/>
                <w:szCs w:val="18"/>
                <w:color w:val="auto"/>
              </w:rPr>
              <w:t>NJBPU agreement</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425,000</w:t>
            </w:r>
          </w:p>
        </w:tc>
        <w:tc>
          <w:tcPr>
            <w:tcW w:w="2940" w:type="dxa"/>
            <w:vAlign w:val="bottom"/>
            <w:gridSpan w:val="3"/>
          </w:tcPr>
          <w:p>
            <w:pPr>
              <w:jc w:val="right"/>
              <w:ind w:right="440"/>
              <w:spacing w:after="0"/>
              <w:rPr>
                <w:sz w:val="20"/>
                <w:szCs w:val="20"/>
                <w:color w:val="auto"/>
              </w:rPr>
            </w:pPr>
            <w:r>
              <w:rPr>
                <w:rFonts w:ascii="Arial" w:cs="Arial" w:eastAsia="Arial" w:hAnsi="Arial"/>
                <w:sz w:val="18"/>
                <w:szCs w:val="18"/>
                <w:color w:val="auto"/>
              </w:rPr>
              <w:t>500,000</w:t>
            </w:r>
          </w:p>
        </w:tc>
      </w:tr>
      <w:tr>
        <w:trPr>
          <w:trHeight w:val="250"/>
        </w:trPr>
        <w:tc>
          <w:tcPr>
            <w:tcW w:w="2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1,366,256</w:t>
            </w:r>
          </w:p>
        </w:tc>
        <w:tc>
          <w:tcPr>
            <w:tcW w:w="9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1,453,712</w:t>
            </w:r>
          </w:p>
        </w:tc>
        <w:tc>
          <w:tcPr>
            <w:tcW w:w="440" w:type="dxa"/>
            <w:vAlign w:val="bottom"/>
            <w:tcBorders>
              <w:bottom w:val="single" w:sz="8" w:color="CCEEFF"/>
            </w:tcBorders>
            <w:shd w:val="clear" w:color="auto" w:fill="CCEEFF"/>
          </w:tcPr>
          <w:p>
            <w:pPr>
              <w:spacing w:after="0"/>
              <w:rPr>
                <w:sz w:val="21"/>
                <w:szCs w:val="21"/>
                <w:color w:val="auto"/>
              </w:rPr>
            </w:pPr>
          </w:p>
        </w:tc>
      </w:tr>
    </w:tbl>
    <w:p>
      <w:pPr>
        <w:spacing w:after="0" w:line="296"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Property and Equipment</w:t>
      </w:r>
    </w:p>
    <w:p>
      <w:pPr>
        <w:spacing w:after="0" w:line="279"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w:t>
      </w:r>
    </w:p>
    <w:p>
      <w:pPr>
        <w:spacing w:after="0" w:line="187"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Foreign Exchange Gains and Losses</w:t>
      </w:r>
    </w:p>
    <w:p>
      <w:pPr>
        <w:spacing w:after="0" w:line="279"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April 30,</w:t>
            </w:r>
          </w:p>
        </w:tc>
      </w:tr>
      <w:tr>
        <w:trPr>
          <w:trHeight w:val="210"/>
        </w:trPr>
        <w:tc>
          <w:tcPr>
            <w:tcW w:w="6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2012</w:t>
            </w:r>
          </w:p>
        </w:tc>
        <w:tc>
          <w:tcPr>
            <w:tcW w:w="80" w:type="dxa"/>
            <w:vAlign w:val="bottom"/>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3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(83,416)</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(104,739)</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6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April 30,</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2012</w:t>
            </w:r>
          </w:p>
        </w:tc>
        <w:tc>
          <w:tcPr>
            <w:tcW w:w="80" w:type="dxa"/>
            <w:vAlign w:val="bottom"/>
          </w:tcPr>
          <w:p>
            <w:pPr>
              <w:spacing w:after="0"/>
              <w:rPr>
                <w:sz w:val="18"/>
                <w:szCs w:val="18"/>
                <w:color w:val="auto"/>
              </w:rPr>
            </w:pPr>
          </w:p>
        </w:tc>
      </w:tr>
      <w:tr>
        <w:trPr>
          <w:trHeight w:val="25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denominated certificates of deposit and cash accounts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2,491,714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2,826,000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 Patents</w:t>
      </w:r>
    </w:p>
    <w:p>
      <w:pPr>
        <w:spacing w:after="0" w:line="239"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Prior to February 1, 2012, external patent costs were amortized on a straight-line basis over a 17-year period commencing with the issuance date of each patent. The Company operates in the renewable energy industry. Wave energy technology is still at an early stage of development, and as a result, it continues to evolve and change as such technology is developed. Costs are expensed when it is no longer probable that such technology will be utilized. Additionally, the Company continually re-assesses the remaining useful lives of its long-lived assets. Patents are reviewed for impairment whenever events or changes in circumstances indicate that the carrying amount of the patent may not be recoverable. Based on the Company’s prior year assessment, the Company evaluated the remaining useful lives of its existing patents as of February 1, 2012 and concluded that the remaining amortization should be recorded over periods ranging from three to seven years. In the fourth quarter of fiscal 2013, the Company performed its recurring assessment of the realizability of its patents and recorded impairment expenses of approximately $8,000. Amortization expense was approximately $217,000 and $110,000 for the years ended April 30, 2013 and 2012, respectively. This increase in amortization expense was largely as a result of this change in estimated useful life. Amortization expense for the next five fiscal years related to amounts capitalized for patents as of April 30, 2013 is estimated to be approximately $191,000 per year.</w:t>
      </w:r>
    </w:p>
    <w:p>
      <w:pPr>
        <w:spacing w:after="0" w:line="264"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Long-Lived Assets</w:t>
      </w:r>
    </w:p>
    <w:p>
      <w:pPr>
        <w:spacing w:after="0" w:line="26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Long-lived assets, such as property and equipment, and patents subject to amortization and cost-basis investments,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for the years ended April 30, 2013 and 2012. The Company recorded impairment charges of approximately $8,000 related to patents in the year ended April 30, 2013 and approximately $358,000 related to patents and an investment in a joint venture in the year ended April 30, 2012.</w:t>
      </w:r>
    </w:p>
    <w:p>
      <w:pPr>
        <w:spacing w:after="0" w:line="272"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Concentration of Credit Risk</w:t>
      </w:r>
    </w:p>
    <w:p>
      <w:pPr>
        <w:spacing w:after="0" w:line="23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27"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3"/>
              </w:rPr>
              <w:t>Years Ended April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0"/>
        </w:trPr>
        <w:tc>
          <w:tcPr>
            <w:tcW w:w="56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US Department of Energy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Mitsui Shipbuilding &amp; Engineering</w:t>
            </w:r>
          </w:p>
        </w:tc>
        <w:tc>
          <w:tcPr>
            <w:tcW w:w="2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European Union (WavePort project)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US Navy</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UK Government's Technology Strategy Board</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265"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Net Loss per Common Share</w:t>
      </w:r>
    </w:p>
    <w:p>
      <w:pPr>
        <w:spacing w:after="0" w:line="23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1,360,790 and 1,447,313 for the years ended April 30, 2013 and 2012, respectively, were excluded from the computations as the effect would be anti-dilutive due to the Company's losses.</w:t>
      </w:r>
    </w:p>
    <w:p>
      <w:pPr>
        <w:spacing w:after="0" w:line="289"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Stock-Based Compensation</w:t>
      </w:r>
    </w:p>
    <w:p>
      <w:pPr>
        <w:spacing w:after="0" w:line="23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years ended April 30, 2013 and 2012 was approximately $859,000 and $1,121,000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Years Ended April 30, 2013 and 2012</w:t>
      </w:r>
    </w:p>
    <w:p>
      <w:pPr>
        <w:spacing w:after="0" w:line="256" w:lineRule="exact"/>
        <w:rPr>
          <w:sz w:val="20"/>
          <w:szCs w:val="20"/>
          <w:color w:val="auto"/>
        </w:rPr>
      </w:pPr>
    </w:p>
    <w:p>
      <w:pPr>
        <w:jc w:val="both"/>
        <w:ind w:firstLine="410"/>
        <w:spacing w:after="0" w:line="255" w:lineRule="auto"/>
        <w:rPr>
          <w:sz w:val="20"/>
          <w:szCs w:val="20"/>
          <w:color w:val="auto"/>
        </w:rPr>
      </w:pPr>
      <w:r>
        <w:rPr>
          <w:rFonts w:ascii="Arial" w:cs="Arial" w:eastAsia="Arial" w:hAnsi="Arial"/>
          <w:sz w:val="18"/>
          <w:szCs w:val="18"/>
          <w:color w:val="auto"/>
        </w:rPr>
        <w:t xml:space="preserve">The fair value of each stock option granted during the years ended April 30, 2013 and 2012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w:t>
      </w:r>
      <w:r>
        <w:rPr>
          <w:rFonts w:ascii="Arial" w:cs="Arial" w:eastAsia="Arial" w:hAnsi="Arial"/>
          <w:sz w:val="18"/>
          <w:szCs w:val="18"/>
          <w:color w:val="auto"/>
        </w:rPr>
        <w:t>Expected volatility was based on historical volatility for a peer group of companies for a period equal to the stock option's expected life,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on a daily basis.</w:t>
      </w:r>
    </w:p>
    <w:p>
      <w:pPr>
        <w:spacing w:after="0" w:line="24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86.15%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$1.58 and $2.98 for stock options granted during the years ended April 30, 2013 and 2012 respectively.</w:t>
      </w:r>
    </w:p>
    <w:p>
      <w:pPr>
        <w:spacing w:after="0" w:line="265"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Income Taxes</w:t>
      </w:r>
    </w:p>
    <w:p>
      <w:pPr>
        <w:spacing w:after="0" w:line="239"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281"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Accumulated Other Comprehensive Loss</w:t>
      </w:r>
    </w:p>
    <w:p>
      <w:pPr>
        <w:spacing w:after="0" w:line="23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2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w:t>
      </w:r>
    </w:p>
    <w:p>
      <w:pPr>
        <w:spacing w:after="0" w:line="19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guidance is effective for fiscal years and interim periods within those years beginning after December 15, 2011. The Company adopted both of these pronouncements during fiscal year ended April 30, 2013. The adoption of these two pronouncements did not impact the Company’s financial position, results in operation or cash flow.</w:t>
      </w:r>
    </w:p>
    <w:p>
      <w:pPr>
        <w:spacing w:after="0" w:line="17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We are currently assessing the impact of this guidance.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(3)   Marketable Securities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00" w:type="dxa"/>
            <w:vAlign w:val="bottom"/>
          </w:tcPr>
          <w:p>
            <w:pPr>
              <w:ind w:left="380"/>
              <w:spacing w:after="0"/>
              <w:rPr>
                <w:sz w:val="20"/>
                <w:szCs w:val="20"/>
                <w:color w:val="auto"/>
              </w:rPr>
            </w:pPr>
            <w:r>
              <w:rPr>
                <w:rFonts w:ascii="Arial" w:cs="Arial" w:eastAsia="Arial" w:hAnsi="Arial"/>
                <w:sz w:val="18"/>
                <w:szCs w:val="18"/>
                <w:color w:val="auto"/>
              </w:rPr>
              <w:t>Marketable securities are classified as current assets and are summarized as follows:</w:t>
            </w:r>
          </w:p>
        </w:tc>
        <w:tc>
          <w:tcPr>
            <w:tcW w:w="340" w:type="dxa"/>
            <w:vAlign w:val="bottom"/>
          </w:tcPr>
          <w:p>
            <w:pPr>
              <w:spacing w:after="0"/>
              <w:rPr>
                <w:sz w:val="24"/>
                <w:szCs w:val="24"/>
                <w:color w:val="auto"/>
              </w:rPr>
            </w:pPr>
          </w:p>
        </w:tc>
        <w:tc>
          <w:tcPr>
            <w:tcW w:w="176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April 30,</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Australian Dollars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Certificates of deposit denominated in US Dollars</w:t>
            </w:r>
          </w:p>
        </w:tc>
        <w:tc>
          <w:tcPr>
            <w:tcW w:w="34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obligations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13,996,705</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18,006,239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13,996,705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22,369,484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no marketable securities classified as noncurrent assets as of April 30, 2013 and April 30, 2012.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760" w:type="dxa"/>
            <w:vAlign w:val="bottom"/>
          </w:tcPr>
          <w:p>
            <w:pPr>
              <w:ind w:left="380"/>
              <w:spacing w:after="0"/>
              <w:rPr>
                <w:sz w:val="20"/>
                <w:szCs w:val="20"/>
                <w:color w:val="auto"/>
              </w:rPr>
            </w:pPr>
            <w:r>
              <w:rPr>
                <w:rFonts w:ascii="Arial" w:cs="Arial" w:eastAsia="Arial" w:hAnsi="Arial"/>
                <w:sz w:val="18"/>
                <w:szCs w:val="18"/>
                <w:color w:val="auto"/>
              </w:rPr>
              <w:t>The components of property and equipment are as follows:</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Life (in years)</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April 30,</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6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566,353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Equipment</w:t>
            </w:r>
          </w:p>
        </w:tc>
        <w:tc>
          <w:tcPr>
            <w:tcW w:w="1760" w:type="dxa"/>
            <w:vAlign w:val="bottom"/>
          </w:tcPr>
          <w:p>
            <w:pPr>
              <w:jc w:val="center"/>
              <w:spacing w:after="0"/>
              <w:rPr>
                <w:sz w:val="20"/>
                <w:szCs w:val="20"/>
                <w:color w:val="auto"/>
              </w:rPr>
            </w:pPr>
            <w:r>
              <w:rPr>
                <w:rFonts w:ascii="Arial" w:cs="Arial" w:eastAsia="Arial" w:hAnsi="Arial"/>
                <w:sz w:val="18"/>
                <w:szCs w:val="18"/>
                <w:color w:val="auto"/>
              </w:rPr>
              <w:t>3 to 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1,170,473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1,080,039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to 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182,285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149,505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2,212,991</w:t>
            </w: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(1,512,023)</w:t>
            </w:r>
          </w:p>
        </w:tc>
        <w:tc>
          <w:tcPr>
            <w:tcW w:w="4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(1,530,887)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expense was $285,263 and $326,205 for the years ended April 30, 2013 and 2012,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1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1,086,847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1,369,400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Allowance for doubtful accounts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(304,604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796,332</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1,064,796</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Patents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Patents</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1,558,630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Accumulated amortization</w:t>
            </w:r>
          </w:p>
        </w:tc>
        <w:tc>
          <w:tcPr>
            <w:tcW w:w="6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(513,728</w:t>
            </w:r>
          </w:p>
        </w:tc>
        <w:tc>
          <w:tcPr>
            <w:tcW w:w="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(304,587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1,044,902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1,269,457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Project costs</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1,698,959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244,892</w:t>
            </w: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Contract loss reserves</w:t>
            </w:r>
          </w:p>
        </w:tc>
        <w:tc>
          <w:tcPr>
            <w:tcW w:w="6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785,000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785,000</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Employee incentive payments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249,469</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661,328</w:t>
            </w: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Accrued salary and benefits</w:t>
            </w:r>
          </w:p>
        </w:tc>
        <w:tc>
          <w:tcPr>
            <w:tcW w:w="6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547,404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521,058</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in joint venture</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173,842</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176,110</w:t>
            </w: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Legal and accounting fees</w:t>
            </w:r>
          </w:p>
        </w:tc>
        <w:tc>
          <w:tcPr>
            <w:tcW w:w="6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214,891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193,720</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231,058</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187,986</w:t>
            </w:r>
          </w:p>
        </w:tc>
        <w:tc>
          <w:tcPr>
            <w:tcW w:w="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3,900,623</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2,770,094</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F-15</w:t>
            </w: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5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1999, the Company entered into a consulting agreement with an individual for the provision of marketing services. Currently,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 This individual did not stand for re-election to the board of directors at the Company’s Annual Meeting on October 4, 2012, and is no longer considered a related party. Accordingly, transactions after such date are not included in the amounts below.</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Year Ended April 30,</w:t>
            </w:r>
          </w:p>
        </w:tc>
      </w:tr>
      <w:tr>
        <w:trPr>
          <w:trHeight w:val="210"/>
        </w:trPr>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Related party consulting expense</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Expenses for services provided by related party company</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29,000</w:t>
            </w: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Revenue for services provided to related party company</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80" w:type="dxa"/>
            <w:vAlign w:val="bottom"/>
            <w:shd w:val="clear" w:color="auto" w:fill="CCEEFF"/>
          </w:tcPr>
          <w:p>
            <w:pPr>
              <w:spacing w:after="0"/>
              <w:rPr>
                <w:sz w:val="18"/>
                <w:szCs w:val="18"/>
                <w:color w:val="auto"/>
              </w:rPr>
            </w:pPr>
          </w:p>
        </w:tc>
      </w:tr>
      <w:tr>
        <w:trPr>
          <w:trHeight w:val="432"/>
        </w:trPr>
        <w:tc>
          <w:tcPr>
            <w:tcW w:w="5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April 30,</w:t>
            </w:r>
          </w:p>
        </w:tc>
        <w:tc>
          <w:tcPr>
            <w:tcW w:w="1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54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Consulting fees payable to related party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Payable to related party company</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Receivable from related party company</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April 30, 2013</w:t>
            </w:r>
          </w:p>
        </w:tc>
        <w:tc>
          <w:tcPr>
            <w:tcW w:w="5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30, 2012</w:t>
            </w:r>
          </w:p>
        </w:tc>
        <w:tc>
          <w:tcPr>
            <w:tcW w:w="26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Borders>
              <w:bottom w:val="single" w:sz="8" w:color="CCEEFF"/>
            </w:tcBorders>
            <w:shd w:val="clear" w:color="auto" w:fill="CCEEFF"/>
          </w:tcPr>
          <w:p>
            <w:pPr>
              <w:spacing w:after="0"/>
              <w:rPr>
                <w:sz w:val="21"/>
                <w:szCs w:val="21"/>
                <w:color w:val="auto"/>
              </w:rPr>
            </w:pPr>
          </w:p>
        </w:tc>
      </w:tr>
    </w:tbl>
    <w:p>
      <w:pPr>
        <w:spacing w:after="0" w:line="2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w:t>
        <w:tab/>
        <w:t>Deferred Credits Payable</w:t>
      </w:r>
    </w:p>
    <w:p>
      <w:pPr>
        <w:spacing w:after="0" w:line="2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April 30, 2013, the Company has not generated any emissions credits eligible for purchase under the agreement and the Company does not believe it is probable that it will generate any eligible emissions credits before December 31, 2017. Accordingly, the $600,000 has been classified as a noncurrent liability as of April 30, 2013 and as a current liability as of April 30, 2012.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jc w:val="both"/>
        <w:ind w:right="60" w:firstLine="389"/>
        <w:spacing w:after="0" w:line="264" w:lineRule="auto"/>
        <w:rPr>
          <w:sz w:val="20"/>
          <w:szCs w:val="20"/>
          <w:color w:val="auto"/>
        </w:rPr>
      </w:pPr>
      <w:r>
        <w:rPr>
          <w:rFonts w:ascii="Arial" w:cs="Arial" w:eastAsia="Arial" w:hAnsi="Arial"/>
          <w:sz w:val="18"/>
          <w:szCs w:val="18"/>
          <w:color w:val="auto"/>
        </w:rPr>
        <w:t>On April 30, 2007, the Company completed an initial public offering in the United States on the NASDAQ Global Market by issuing 5,000,000 shares of its common stock for a purchase price of $20.00 per share, resulting in net proceeds to the Company of approximately $89,900,000. See Subsequent Event – Note 15.</w:t>
      </w:r>
    </w:p>
    <w:p>
      <w:pPr>
        <w:spacing w:after="0" w:line="27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83"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2013, and 2012, no shares of preferred stock had been issued.</w:t>
      </w:r>
    </w:p>
    <w:p>
      <w:pPr>
        <w:spacing w:after="0" w:line="275"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9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 August 2001, the Company approved the 2001 Stock Plan, which provides for the grant of incentive stock options and nonqualified stock options. A total of 1,000,000 shares were authorized for issuance under the 2001 Stock Plan. As of April 30, 2013, the Company had issued or reserved 196,675 shares for issuance under the 2001 Stock Plan. After the effectiveness of the 2006 Stock Incentive Plan, no further options or other awards have been or will be granted under the 2001 Stock Plan.</w:t>
      </w:r>
    </w:p>
    <w:p>
      <w:pPr>
        <w:spacing w:after="0" w:line="187" w:lineRule="exact"/>
        <w:rPr>
          <w:sz w:val="20"/>
          <w:szCs w:val="20"/>
          <w:color w:val="auto"/>
        </w:rPr>
      </w:pPr>
    </w:p>
    <w:p>
      <w:pPr>
        <w:jc w:val="both"/>
        <w:ind w:right="40" w:firstLine="405"/>
        <w:spacing w:after="0" w:line="269" w:lineRule="auto"/>
        <w:rPr>
          <w:sz w:val="20"/>
          <w:szCs w:val="20"/>
          <w:color w:val="auto"/>
        </w:rPr>
      </w:pPr>
      <w:r>
        <w:rPr>
          <w:rFonts w:ascii="Arial" w:cs="Arial" w:eastAsia="Arial" w:hAnsi="Arial"/>
          <w:sz w:val="17"/>
          <w:szCs w:val="17"/>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As of April 30, 2013, the Company had issued share-based awards for 1,302,174 shares of common stock and had reserved an additional 351,041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any of the Company's employees, other than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  Stock Options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A summary of stock options under the plans described above is as follows: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 Under</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Option</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c>
          <w:tcPr>
            <w:tcW w:w="1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1,353,935</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(268,784)</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268,322</w:t>
            </w:r>
          </w:p>
        </w:tc>
        <w:tc>
          <w:tcPr>
            <w:tcW w:w="2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Outstanding April 30, 2012</w:t>
            </w:r>
          </w:p>
        </w:tc>
        <w:tc>
          <w:tcPr>
            <w:tcW w:w="1500" w:type="dxa"/>
            <w:vAlign w:val="bottom"/>
          </w:tcPr>
          <w:p>
            <w:pPr>
              <w:jc w:val="right"/>
              <w:spacing w:after="0"/>
              <w:rPr>
                <w:sz w:val="20"/>
                <w:szCs w:val="20"/>
                <w:color w:val="auto"/>
              </w:rPr>
            </w:pPr>
            <w:r>
              <w:rPr>
                <w:rFonts w:ascii="Arial" w:cs="Arial" w:eastAsia="Arial" w:hAnsi="Arial"/>
                <w:sz w:val="18"/>
                <w:szCs w:val="18"/>
                <w:color w:val="auto"/>
              </w:rPr>
              <w:t>1,353,473</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(429,244)</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381,759</w:t>
            </w: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April 30, 2013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1,305,988</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April 30, 2013</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836,026</w:t>
            </w:r>
          </w:p>
        </w:tc>
        <w:tc>
          <w:tcPr>
            <w:tcW w:w="260" w:type="dxa"/>
            <w:vAlign w:val="bottom"/>
          </w:tcPr>
          <w:p>
            <w:pPr>
              <w:spacing w:after="0"/>
              <w:rPr>
                <w:sz w:val="17"/>
                <w:szCs w:val="17"/>
                <w:color w:val="auto"/>
              </w:rPr>
            </w:pPr>
          </w:p>
        </w:tc>
        <w:tc>
          <w:tcPr>
            <w:tcW w:w="16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9.64</w:t>
            </w: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F-17</w:t>
            </w: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64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April 30, 2013, the total intrinsic value of outstanding options was approximately $0 and the total intrinsic value of exercisable options was $0. As of April 30, 2013, approximately 470,000 additional options were expected to vest, which have approximately $0 of intrinsic value and a weighted-average remaining contractual term of 8.3 years. There was approximately $713,000 and $932,000 of total recognized compensation cost related to employees for stock options during the years ended April 30, 2013 and 2012, respectively. As of April 30, 2013, there was approximately $670,000 of total unrecognized compensation cost related to non-vested stock options granted under the plans. This cost is expected to be recognized over a weighted-average period of 2.6 years. The Company normally issues new shares to satisfy option exercises under these plans.</w:t>
      </w:r>
    </w:p>
    <w:p>
      <w:pPr>
        <w:spacing w:after="0" w:line="17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Certain options were granted to non-employee directors and consultants during the years ended April 30, 2013 and 2012. The Company has charged compensation expense of approximately $101,000 and $77,000 related to these option grants for which the majority relates to non-employee directors. These expenses have been included in selling, general and administrative costs in the accompanying consolidated statements of operations for the years ended April 30, 2013 and 2012, respectively.</w:t>
      </w:r>
    </w:p>
    <w:p>
      <w:pPr>
        <w:spacing w:after="0" w:line="281"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Restricted Stock</w:t>
      </w:r>
    </w:p>
    <w:p>
      <w:pPr>
        <w:spacing w:after="0" w:line="239"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Compensation expense for restricted stock is generally recorded based on its market value on the date of grant and recognized ratably over the associated service and performance period. There were 31,744 and 14,634 shares of restricted stock granted to employees and non-employee board members with service and/or performance-based vesting requirements during the years ended April 30, 2013 and 2012,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 per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14,634</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(26,428)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(45,319)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31,744</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(35,918)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(34,864)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at April 30, 2013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54,802</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There was approximately $28,000 and $100,000 of total recognized compensation cost relating to restricted stock granted to employees during the years ended April 30, 2013 and 2012 respectively. Certain shares of restricted stock were granted to non-employee directors during the years ended April 30, 2013 and 2012. The Company recorded compensation expenses of approximately $16,000 and $13,000 in 2013 and 2012, respectively. As of April 30, 2013, there was approximately $47,000 of total unrecognized compensation cost related to non-vested restricted stock granted under the plans. This cost is expected to be recognized over a weighted-average period of 2.4 years.</w:t>
      </w:r>
    </w:p>
    <w:p>
      <w:pPr>
        <w:spacing w:after="0" w:line="323"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Treasury Stock</w:t>
      </w:r>
    </w:p>
    <w:p>
      <w:pPr>
        <w:spacing w:after="0" w:line="2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years ended April 30, 2013 and 2012, 10,227 and 15,859 shares of common stock, respectively, were purchased by the Company from employees to pay taxes related to the vesting of restricted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22"/>
          <w:szCs w:val="22"/>
          <w:b w:val="1"/>
          <w:bCs w:val="1"/>
          <w:color w:val="auto"/>
        </w:rPr>
        <w:t>OCEAN POWER TECHNOLOGIES, INC. AND SUBSIDIARIES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(12)   Income Taxes</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420" w:type="dxa"/>
            <w:vAlign w:val="bottom"/>
            <w:gridSpan w:val="9"/>
          </w:tcPr>
          <w:p>
            <w:pPr>
              <w:ind w:left="400"/>
              <w:spacing w:after="0"/>
              <w:rPr>
                <w:sz w:val="20"/>
                <w:szCs w:val="20"/>
                <w:color w:val="auto"/>
              </w:rPr>
            </w:pPr>
            <w:r>
              <w:rPr>
                <w:rFonts w:ascii="Arial" w:cs="Arial" w:eastAsia="Arial" w:hAnsi="Arial"/>
                <w:sz w:val="18"/>
                <w:szCs w:val="18"/>
                <w:color w:val="auto"/>
              </w:rPr>
              <w:t>Loss before income taxes for the year ended April 30, 2013 and 2012 consist of the following components: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8"/>
              </w:rPr>
              <w:t>April 30,</w:t>
            </w: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Domestic</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(13,630,946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(13,700,366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ind w:left="38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(2,645,308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(2,543,066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loss before income taxes</w:t>
            </w:r>
          </w:p>
        </w:tc>
        <w:tc>
          <w:tcPr>
            <w:tcW w:w="7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(16,243,432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7880" w:type="dxa"/>
            <w:vAlign w:val="bottom"/>
            <w:gridSpan w:val="5"/>
          </w:tcPr>
          <w:p>
            <w:pPr>
              <w:ind w:left="400"/>
              <w:spacing w:after="0"/>
              <w:rPr>
                <w:sz w:val="20"/>
                <w:szCs w:val="20"/>
                <w:color w:val="auto"/>
              </w:rPr>
            </w:pPr>
            <w:r>
              <w:rPr>
                <w:rFonts w:ascii="Arial" w:cs="Arial" w:eastAsia="Arial" w:hAnsi="Arial"/>
                <w:sz w:val="18"/>
                <w:szCs w:val="18"/>
                <w:color w:val="auto"/>
                <w:w w:val="92"/>
              </w:rPr>
              <w:t>The components of income taxes (benefit) for the year ended April 30, 2013 and 2012 are as follows: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Curent:</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Federal</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(1,453,243)</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(1,053,427)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7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(1,453,243)</w:t>
            </w: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(1,053,427)</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Federal</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w:t>
            </w:r>
          </w:p>
        </w:tc>
        <w:tc>
          <w:tcPr>
            <w:tcW w:w="7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Total provision (benefit) for income taxes</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(1,453,243)</w:t>
            </w: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(1,053,427)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F-19</w:t>
            </w: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0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Tax Rate Reconciliation</w:t>
      </w:r>
    </w:p>
    <w:p>
      <w:pPr>
        <w:spacing w:after="0" w:line="22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of 34% to loss before income taxes as a result of the following:</w:t>
      </w:r>
    </w:p>
    <w:p>
      <w:pPr>
        <w:spacing w:after="0" w:line="220"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780" w:type="dxa"/>
            <w:vAlign w:val="bottom"/>
            <w:gridSpan w:val="2"/>
          </w:tcPr>
          <w:p>
            <w:pPr>
              <w:spacing w:after="0"/>
              <w:rPr>
                <w:sz w:val="18"/>
                <w:szCs w:val="18"/>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Increase (reduction) in income taxes resulting from:</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 tax credits</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Expiration of net operating losses and tax credit carryforwards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in compensatory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Proceeds of sale of New Jersey tax benefits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9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the Company's deferred tax assets and deferred tax liabilities are presented below.</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April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Federal 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25,396,000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27,788,000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New Jersey state operating loss carryforwards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1,741,000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 tax credits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 research and development tax credits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Capitalized research and development costs, net of amortization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5,692,000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647,000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43,725,000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43,677,000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(43,725,000)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(43,677,000)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2013 and 2012, based upon the level of historical taxable losses, valuation allowances of $43,725,000 and $43,677,000, respectively, were recorded to fully offset deferred tax assets. The valuation allowance increased $48,000 and $3,771,000 during the years ended April 30, 2013 and 2012, respectively.</w:t>
      </w:r>
    </w:p>
    <w:p>
      <w:pPr>
        <w:spacing w:after="0" w:line="173"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6"/>
          <w:szCs w:val="16"/>
          <w:color w:val="auto"/>
        </w:rPr>
        <w:t>As of April 30, 2013, the Company had net operating loss carryforwards for federal income tax purposes of approximately $74,693,000, which begin to expire in 2013. The Company also had federal research and experimental tax credit carryforwards of approximately $2,094,000 as of April 30, 2013, which begin to expire in 2013.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The Company has not performed additional analysis on ownership changes that may have occurred subsequently to further limit the ability to utilize net tax attributes. As of April 30, 2013, the Company had state net operating loss carryforwards of approximately $28,586,000, which begin to expire in 2026, which also may be limited to utilization limitations. As of April 30, 2013, the Company had foreign net operating loss carryforwards of approximately $20,946,000, which begin to expire in 2024. The ability to utilize these carryforwards may also be limited in the event of a significant change in ownership.</w:t>
      </w:r>
    </w:p>
    <w:p>
      <w:pPr>
        <w:spacing w:after="0" w:line="17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During the years ended April 30, 2013 and 2012, the Company sold New Jersey State net operating losses in the amount of $18,673,000 and $12,862,000, respectively, resulting in the recognition of income tax benefits of $1,453,000 and $1,053,000, respectively, recorded in the Company’s Statement of Operations.</w:t>
      </w:r>
    </w:p>
    <w:p>
      <w:pPr>
        <w:spacing w:after="0" w:line="181"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2013 and 2012,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2007 and fiscal 2010, respectively. Net operating loss and credit carryforwards since inception remain open to examination by taxing authorities, and will continue to remain open for a period of time after utilization.</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does not have any interest or penalties accrued related to uncertain tax positions as it does not have any unrecognized tax benefits.</w:t>
      </w:r>
    </w:p>
    <w:p>
      <w:pPr>
        <w:spacing w:after="0" w:line="27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rFonts w:ascii="Arial" w:cs="Arial" w:eastAsia="Arial" w:hAnsi="Arial"/>
          <w:sz w:val="18"/>
          <w:szCs w:val="18"/>
          <w:b w:val="1"/>
          <w:bCs w:val="1"/>
          <w:color w:val="auto"/>
        </w:rPr>
      </w:pPr>
    </w:p>
    <w:p>
      <w:pPr>
        <w:ind w:left="500" w:hanging="357"/>
        <w:spacing w:after="0"/>
        <w:tabs>
          <w:tab w:leader="none" w:pos="500" w:val="left"/>
        </w:tabs>
        <w:numPr>
          <w:ilvl w:val="1"/>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 Commitments</w:t>
      </w:r>
    </w:p>
    <w:p>
      <w:pPr>
        <w:spacing w:after="0" w:line="279" w:lineRule="exact"/>
        <w:rPr>
          <w:sz w:val="20"/>
          <w:szCs w:val="20"/>
          <w:color w:val="auto"/>
        </w:rPr>
      </w:pPr>
    </w:p>
    <w:p>
      <w:pPr>
        <w:jc w:val="both"/>
        <w:ind w:right="20" w:firstLine="389"/>
        <w:spacing w:after="0" w:line="286" w:lineRule="auto"/>
        <w:rPr>
          <w:sz w:val="20"/>
          <w:szCs w:val="20"/>
          <w:color w:val="auto"/>
        </w:rPr>
      </w:pPr>
      <w:r>
        <w:rPr>
          <w:rFonts w:ascii="Arial" w:cs="Arial" w:eastAsia="Arial" w:hAnsi="Arial"/>
          <w:sz w:val="17"/>
          <w:szCs w:val="17"/>
          <w:color w:val="auto"/>
        </w:rPr>
        <w:t>The Company leases office, laboratory, manufacturing and other space in Pennington, New Jersey and Warwick, United Kingdom under operating leases that expire on various dates through April 30, 2015. Rent expense under operating leases was approximately $383,000 and $507,000 for the years ended April 30, 2013 and 2012, respectively. Future minimum lease payments under this operating lease as of April 30, 2013 are as follows:</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7120" w:type="dxa"/>
            <w:vAlign w:val="bottom"/>
          </w:tcPr>
          <w:p>
            <w:pPr>
              <w:jc w:val="right"/>
              <w:ind w:right="5090"/>
              <w:spacing w:after="0"/>
              <w:rPr>
                <w:sz w:val="20"/>
                <w:szCs w:val="20"/>
                <w:color w:val="auto"/>
              </w:rPr>
            </w:pPr>
            <w:r>
              <w:rPr>
                <w:rFonts w:ascii="Arial" w:cs="Arial" w:eastAsia="Arial" w:hAnsi="Arial"/>
                <w:sz w:val="18"/>
                <w:szCs w:val="18"/>
                <w:color w:val="auto"/>
              </w:rPr>
              <w:t>Year ending April 30:</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7120" w:type="dxa"/>
            <w:vAlign w:val="bottom"/>
            <w:shd w:val="clear" w:color="auto" w:fill="CCEEFF"/>
          </w:tcPr>
          <w:p>
            <w:pPr>
              <w:jc w:val="right"/>
              <w:ind w:right="5150"/>
              <w:spacing w:after="0"/>
              <w:rPr>
                <w:sz w:val="20"/>
                <w:szCs w:val="20"/>
                <w:color w:val="auto"/>
              </w:rPr>
            </w:pPr>
            <w:r>
              <w:rPr>
                <w:rFonts w:ascii="Arial" w:cs="Arial" w:eastAsia="Arial" w:hAnsi="Arial"/>
                <w:sz w:val="18"/>
                <w:szCs w:val="18"/>
                <w:color w:val="auto"/>
              </w:rPr>
              <w:t>2014</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257,000</w:t>
            </w:r>
          </w:p>
        </w:tc>
        <w:tc>
          <w:tcPr>
            <w:tcW w:w="440" w:type="dxa"/>
            <w:vAlign w:val="bottom"/>
            <w:shd w:val="clear" w:color="auto" w:fill="CCEEFF"/>
          </w:tcPr>
          <w:p>
            <w:pPr>
              <w:spacing w:after="0"/>
              <w:rPr>
                <w:sz w:val="18"/>
                <w:szCs w:val="18"/>
                <w:color w:val="auto"/>
              </w:rPr>
            </w:pPr>
          </w:p>
        </w:tc>
      </w:tr>
      <w:tr>
        <w:trPr>
          <w:trHeight w:val="216"/>
        </w:trPr>
        <w:tc>
          <w:tcPr>
            <w:tcW w:w="7120" w:type="dxa"/>
            <w:vAlign w:val="bottom"/>
          </w:tcPr>
          <w:p>
            <w:pPr>
              <w:jc w:val="right"/>
              <w:ind w:right="5150"/>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257,000</w:t>
            </w:r>
          </w:p>
        </w:tc>
        <w:tc>
          <w:tcPr>
            <w:tcW w:w="440" w:type="dxa"/>
            <w:vAlign w:val="bottom"/>
          </w:tcPr>
          <w:p>
            <w:pPr>
              <w:spacing w:after="0"/>
              <w:rPr>
                <w:sz w:val="18"/>
                <w:szCs w:val="18"/>
                <w:color w:val="auto"/>
              </w:rPr>
            </w:pPr>
          </w:p>
        </w:tc>
      </w:tr>
      <w:tr>
        <w:trPr>
          <w:trHeight w:val="250"/>
        </w:trPr>
        <w:tc>
          <w:tcPr>
            <w:tcW w:w="7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514,000</w:t>
            </w:r>
          </w:p>
        </w:tc>
        <w:tc>
          <w:tcPr>
            <w:tcW w:w="440" w:type="dxa"/>
            <w:vAlign w:val="bottom"/>
            <w:tcBorders>
              <w:bottom w:val="single" w:sz="8" w:color="CCEEFF"/>
            </w:tcBorders>
            <w:shd w:val="clear" w:color="auto" w:fill="CCEEFF"/>
          </w:tcPr>
          <w:p>
            <w:pPr>
              <w:spacing w:after="0"/>
              <w:rPr>
                <w:sz w:val="21"/>
                <w:szCs w:val="21"/>
                <w:color w:val="auto"/>
              </w:rPr>
            </w:pPr>
          </w:p>
        </w:tc>
      </w:tr>
    </w:tbl>
    <w:p>
      <w:pPr>
        <w:spacing w:after="0" w:line="242"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Litigation</w:t>
      </w:r>
    </w:p>
    <w:p>
      <w:pPr>
        <w:spacing w:after="0" w:line="27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2006 Spain Construction Agreement</w:t>
      </w:r>
    </w:p>
    <w:p>
      <w:pPr>
        <w:spacing w:after="0" w:line="27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The Company is currently engaged in discussions with Iberdrola Cantabria (see Note 2(a)) regarding modifications to its agreement for the first phase of the construction of a wave power station off the coast of Spain. This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April 30, 2013, the Company does not believe that the outcome of this matter will have a material adverse effect on the Company's financial position or results of operations.</w:t>
      </w:r>
    </w:p>
    <w:p>
      <w:pPr>
        <w:spacing w:after="0" w:line="219"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Spain IVA (sales tax)</w:t>
      </w:r>
    </w:p>
    <w:p>
      <w:pPr>
        <w:spacing w:after="0" w:line="239"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Subsequent to the year ended April 30, 2013, the Company issued two letters of credit in the amount of €278,828 ($364,512) at the request of the Spanish tax authorities. This is a customary request during the inquiry period.</w:t>
      </w:r>
    </w:p>
    <w:p>
      <w:pPr>
        <w:spacing w:after="0" w:line="266"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Commercial Dispute</w:t>
      </w:r>
    </w:p>
    <w:p>
      <w:pPr>
        <w:spacing w:after="0" w:line="23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is subject to certain claims filed by a contractor and subcontractor in connection with a dispute over a contract to perform certain work for the Company related to the deployment of an anchor/mooring system off the Oregon coast. The Company has claimed that the contractor and subcontractor were responsible for damage to the system during the deployment process. The parties are currently involved in ongoing settlement discussions. As of April 30, 2013, the Company has accounted for the outcome of this matter in its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Segments and Geographic Information</w:t>
      </w:r>
    </w:p>
    <w:p>
      <w:pPr>
        <w:spacing w:after="0" w:line="24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Geographic information is as follows: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2"/>
              </w:rPr>
              <w:t>Year Ended April 30, 2013</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North</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Asia and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Europe</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3,497,338</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118,791</w:t>
            </w: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3,616,129</w:t>
            </w:r>
          </w:p>
        </w:tc>
        <w:tc>
          <w:tcPr>
            <w:tcW w:w="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(14,048,062)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(1,091,473)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(1,179,680)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(16,319,215)</w:t>
            </w:r>
          </w:p>
        </w:tc>
      </w:tr>
      <w:tr>
        <w:trPr>
          <w:trHeight w:val="216"/>
        </w:trPr>
        <w:tc>
          <w:tcPr>
            <w:tcW w:w="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675,354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24,128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700,968</w:t>
            </w:r>
          </w:p>
        </w:tc>
      </w:tr>
      <w:tr>
        <w:trPr>
          <w:trHeight w:val="230"/>
        </w:trPr>
        <w:tc>
          <w:tcPr>
            <w:tcW w:w="1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23,097,183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1,518,496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215,380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24,831,059</w:t>
            </w:r>
          </w:p>
        </w:tc>
      </w:tr>
      <w:tr>
        <w:trPr>
          <w:trHeight w:val="445"/>
        </w:trPr>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2"/>
              </w:rPr>
              <w:t>Year Ended April 30, 2012</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1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North</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Asia and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Europe</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Australia</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4,603,652</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1,134,854</w:t>
            </w: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5,738,506</w:t>
            </w:r>
          </w:p>
        </w:tc>
        <w:tc>
          <w:tcPr>
            <w:tcW w:w="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(14,432,825)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(1,672,636)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(451,284)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(16,556,745)</w:t>
            </w:r>
          </w:p>
        </w:tc>
      </w:tr>
      <w:tr>
        <w:trPr>
          <w:trHeight w:val="216"/>
        </w:trPr>
        <w:tc>
          <w:tcPr>
            <w:tcW w:w="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585,818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97,115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682,933</w:t>
            </w:r>
          </w:p>
        </w:tc>
      </w:tr>
      <w:tr>
        <w:trPr>
          <w:trHeight w:val="230"/>
        </w:trPr>
        <w:tc>
          <w:tcPr>
            <w:tcW w:w="1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35,181,637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1,619,973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640,027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37,441,637</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3"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70"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In January 2013, the Company filed a shelf registration statement on Form S-3 with the SEC registering the sale of up to $40,000,000 of debt, equity and other securities (the “S-3 Shelf”). The S-3 Shelf was declared effective in February 2013. On June 6, 2013, the Company entered into an At the Market Offering Agreement (the “Offering Agreement”) with Ascendiant Capital Markets, LLC (the “Manager”). Pursuant to the Offering Agreement, the Company may offer and sell shares of its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 The sale of shares under the Offering Agreement will be made pursuant to the Company’s instructions (including any price, time or size limits or other customary conditions or parameters that it may impose) and in reliance on, and subject to the limitations of, General Instruction I.B.6 of Form S-3 and other applicable law and regulation. The sale of shares pursuant to the Offering Agreement has been registered on the S-3 Shelf.</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not sold any shares pursuant to the Offering Agreement as of the date of filing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F-23</w:t>
      </w:r>
    </w:p>
    <w:p>
      <w:pPr>
        <w:sectPr>
          <w:pgSz w:w="11900" w:h="16838" w:orient="portrait"/>
          <w:cols w:equalWidth="0" w:num="1">
            <w:col w:w="11420"/>
          </w:cols>
          <w:pgMar w:left="240" w:top="60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154940</wp:posOffset>
            </wp:positionV>
            <wp:extent cx="2298065" cy="6000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9806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1590 Reed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Pennington, NJ 08534 USA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609-730-0400 - Fax: 609-730-0404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4 December 2012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Jillian Hoffmann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Metasource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(formerly known as Woodside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Sustainable Energy Solutions Pty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240 St. George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PERTH WA 6000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ectPr>
          <w:pgSz w:w="11900" w:h="16838" w:orient="portrait"/>
          <w:cols w:equalWidth="0" w:num="2">
            <w:col w:w="240" w:space="420"/>
            <w:col w:w="10760"/>
          </w:cols>
          <w:pgMar w:left="240" w:top="121"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DEED FOR AN AMENDMENT TO OPTION AGREEMENT FOR PURCHASE OF EMISSIONS CREDITS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Deed for an Amendment to Option Agreement for Purchase of Emissions Credits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4th day of December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left="300" w:right="20"/>
        <w:spacing w:after="0" w:line="282" w:lineRule="auto"/>
        <w:rPr>
          <w:sz w:val="20"/>
          <w:szCs w:val="20"/>
          <w:color w:val="auto"/>
        </w:rPr>
      </w:pPr>
      <w:r>
        <w:rPr>
          <w:rFonts w:ascii="Arial" w:cs="Arial" w:eastAsia="Arial" w:hAnsi="Arial"/>
          <w:sz w:val="18"/>
          <w:szCs w:val="18"/>
          <w:b w:val="1"/>
          <w:bCs w:val="1"/>
          <w:color w:val="auto"/>
        </w:rPr>
        <w:t xml:space="preserve">Ocean Power Technologies, Inc., </w:t>
      </w:r>
      <w:r>
        <w:rPr>
          <w:rFonts w:ascii="Arial" w:cs="Arial" w:eastAsia="Arial" w:hAnsi="Arial"/>
          <w:sz w:val="18"/>
          <w:szCs w:val="18"/>
          <w:color w:val="auto"/>
        </w:rPr>
        <w:t>a Delaware corporation (formerly a New Jersey corporation) and its Affiliates (as defined in the Agreement)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“OPT”)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left="300" w:right="20"/>
        <w:spacing w:after="0" w:line="282" w:lineRule="auto"/>
        <w:rPr>
          <w:sz w:val="20"/>
          <w:szCs w:val="20"/>
          <w:color w:val="auto"/>
        </w:rPr>
      </w:pPr>
      <w:r>
        <w:rPr>
          <w:rFonts w:ascii="Arial" w:cs="Arial" w:eastAsia="Arial" w:hAnsi="Arial"/>
          <w:sz w:val="18"/>
          <w:szCs w:val="18"/>
          <w:b w:val="1"/>
          <w:bCs w:val="1"/>
          <w:color w:val="auto"/>
        </w:rPr>
        <w:t xml:space="preserve">Metasource Pty Ltd (formerly known as Woodside Sustainable Energy Solutions Pty Ltd) </w:t>
      </w:r>
      <w:r>
        <w:rPr>
          <w:rFonts w:ascii="Arial" w:cs="Arial" w:eastAsia="Arial" w:hAnsi="Arial"/>
          <w:sz w:val="18"/>
          <w:szCs w:val="18"/>
          <w:color w:val="auto"/>
        </w:rPr>
        <w:t>(ACN 094 813 715), a company organized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(“Metasource”)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ind w:left="660" w:right="60" w:hanging="328"/>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OPT and Metasource entered into an Option Agreement for the Purchase of Emissions Credits (“AGREEMENT”), dated 24 November 2000, for the purposes of OPT granting an option to Metasource to purchase certain Emissions Credits of which OPT may be the beneficial owner. Terms defined in the AGREEMENT have the same meaning when used in this AMENDING AGREEMENT (unless the contrary intention appears).</w:t>
      </w:r>
    </w:p>
    <w:p>
      <w:pPr>
        <w:spacing w:after="0" w:line="146" w:lineRule="exact"/>
        <w:rPr>
          <w:rFonts w:ascii="Arial" w:cs="Arial" w:eastAsia="Arial" w:hAnsi="Arial"/>
          <w:sz w:val="16"/>
          <w:szCs w:val="16"/>
          <w:color w:val="auto"/>
        </w:rPr>
      </w:pPr>
    </w:p>
    <w:p>
      <w:pPr>
        <w:ind w:left="660" w:right="7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 and Metasource desire to amend the AGREEMENT to the terms and conditions set forth in this Amending Agreement (“AMENDING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4" w:name="page75"/>
    <w:bookmarkEnd w:id="74"/>
    <w:p>
      <w:pPr>
        <w:ind w:left="340"/>
        <w:spacing w:after="0"/>
        <w:tabs>
          <w:tab w:leader="none" w:pos="6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This AMENDING AGREEMENT is the first amendment to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Metasource and OPT hereby agree to keep, perform and fulfill the promises, conditions and agreements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and from the date of this AMENDING AGREEMENT, the AGREEMENT is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Clause 1 (c) of the AGREEMENT is hereby amended to read as follows:</w:t>
      </w:r>
    </w:p>
    <w:p>
      <w:pPr>
        <w:spacing w:after="0" w:line="200" w:lineRule="exact"/>
        <w:rPr>
          <w:sz w:val="20"/>
          <w:szCs w:val="20"/>
          <w:color w:val="auto"/>
        </w:rPr>
      </w:pPr>
    </w:p>
    <w:p>
      <w:pPr>
        <w:spacing w:after="0" w:line="24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Period”</w:t>
      </w:r>
      <w:r>
        <w:rPr>
          <w:rFonts w:ascii="Arial" w:cs="Arial" w:eastAsia="Arial" w:hAnsi="Arial"/>
          <w:sz w:val="18"/>
          <w:szCs w:val="18"/>
          <w:color w:val="auto"/>
        </w:rPr>
        <w:t xml:space="preserve"> means the first quantified emission limitation and reduction commitment period, as set forth in the Kyoto Protocol, but in no event earlier than January 1, 2008 or other date as agreed to between the parties from time to time but in no event later than </w:t>
      </w:r>
      <w:r>
        <w:rPr>
          <w:rFonts w:ascii="Arial" w:cs="Arial" w:eastAsia="Arial" w:hAnsi="Arial"/>
          <w:sz w:val="18"/>
          <w:szCs w:val="18"/>
          <w:b w:val="1"/>
          <w:bCs w:val="1"/>
          <w:color w:val="auto"/>
        </w:rPr>
        <w:t>31 December 2017</w:t>
      </w:r>
      <w:r>
        <w:rPr>
          <w:rFonts w:ascii="Arial" w:cs="Arial" w:eastAsia="Arial" w:hAnsi="Arial"/>
          <w:sz w:val="18"/>
          <w:szCs w:val="18"/>
          <w:color w:val="auto"/>
        </w:rPr>
        <w:t xml:space="preserve"> or such date as agreed to by the parties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Except as expressly set out in this AMENDING AGREEMENT, the AGREEMENT remains in full force and effect and all other terms and conditions of the AGREEMENT remain as originally stated.</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AMENDING AGREEMENT is governed by the laws of Western Australia and each party submits to the non-exclusive jurisdiction of the courts of that place. If at any time, there exists a conflict between the terms of jurisdiction between the Amending Agreement and the Agreement, the jurisdiction of the Amending Agreement shall take precedence.</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AMENDING AGREEMENT may be executed in any number of counterparts. All counterparts together will be taken to constitute one instrument. The parties duly authorized signify their acceptance of this Deed for an Amending Agreement by their signatures 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5"/>
          </w:tcPr>
          <w:p>
            <w:pPr>
              <w:spacing w:after="0"/>
              <w:rPr>
                <w:sz w:val="20"/>
                <w:szCs w:val="20"/>
                <w:color w:val="auto"/>
              </w:rPr>
            </w:pPr>
            <w:r>
              <w:rPr>
                <w:rFonts w:ascii="Arial" w:cs="Arial" w:eastAsia="Arial" w:hAnsi="Arial"/>
                <w:sz w:val="18"/>
                <w:szCs w:val="18"/>
                <w:color w:val="auto"/>
              </w:rPr>
              <w:t>Executed as a Deed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628"/>
        </w:trPr>
        <w:tc>
          <w:tcPr>
            <w:tcW w:w="5020" w:type="dxa"/>
            <w:vAlign w:val="bottom"/>
            <w:gridSpan w:val="5"/>
          </w:tcPr>
          <w:p>
            <w:pPr>
              <w:spacing w:after="0"/>
              <w:rPr>
                <w:sz w:val="20"/>
                <w:szCs w:val="20"/>
                <w:color w:val="auto"/>
              </w:rPr>
            </w:pPr>
            <w:r>
              <w:rPr>
                <w:rFonts w:ascii="Arial" w:cs="Arial" w:eastAsia="Arial" w:hAnsi="Arial"/>
                <w:sz w:val="18"/>
                <w:szCs w:val="18"/>
                <w:color w:val="auto"/>
              </w:rPr>
              <w:t>For Ocean Power Technologies, Inc.</w:t>
            </w:r>
          </w:p>
        </w:tc>
        <w:tc>
          <w:tcPr>
            <w:tcW w:w="6400" w:type="dxa"/>
            <w:vAlign w:val="bottom"/>
            <w:gridSpan w:val="4"/>
          </w:tcPr>
          <w:p>
            <w:pPr>
              <w:ind w:left="980"/>
              <w:spacing w:after="0"/>
              <w:rPr>
                <w:sz w:val="20"/>
                <w:szCs w:val="20"/>
                <w:color w:val="auto"/>
              </w:rPr>
            </w:pPr>
            <w:r>
              <w:rPr>
                <w:rFonts w:ascii="Arial" w:cs="Arial" w:eastAsia="Arial" w:hAnsi="Arial"/>
                <w:sz w:val="18"/>
                <w:szCs w:val="18"/>
                <w:color w:val="auto"/>
              </w:rPr>
              <w:t>For Metasource Pty Ltd.</w:t>
            </w:r>
          </w:p>
        </w:tc>
      </w:tr>
      <w:tr>
        <w:trPr>
          <w:trHeight w:val="20"/>
        </w:trPr>
        <w:tc>
          <w:tcPr>
            <w:tcW w:w="300" w:type="dxa"/>
            <w:vAlign w:val="bottom"/>
          </w:tcPr>
          <w:p>
            <w:pPr>
              <w:spacing w:after="0" w:line="20" w:lineRule="exact"/>
              <w:rPr>
                <w:sz w:val="1"/>
                <w:szCs w:val="1"/>
                <w:color w:val="auto"/>
              </w:rPr>
            </w:pPr>
          </w:p>
        </w:tc>
        <w:tc>
          <w:tcPr>
            <w:tcW w:w="2340" w:type="dxa"/>
            <w:vAlign w:val="bottom"/>
            <w:gridSpan w:val="3"/>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669"/>
        </w:trPr>
        <w:tc>
          <w:tcPr>
            <w:tcW w:w="5020" w:type="dxa"/>
            <w:vAlign w:val="bottom"/>
            <w:gridSpan w:val="5"/>
          </w:tcPr>
          <w:p>
            <w:pPr>
              <w:spacing w:after="0"/>
              <w:rPr>
                <w:sz w:val="20"/>
                <w:szCs w:val="20"/>
                <w:color w:val="auto"/>
              </w:rPr>
            </w:pPr>
            <w:r>
              <w:rPr>
                <w:rFonts w:ascii="Arial" w:cs="Arial" w:eastAsia="Arial" w:hAnsi="Arial"/>
                <w:sz w:val="18"/>
                <w:szCs w:val="18"/>
                <w:color w:val="auto"/>
              </w:rPr>
              <w:t>By:  /s/ Brian M. Posner</w:t>
            </w:r>
          </w:p>
        </w:tc>
        <w:tc>
          <w:tcPr>
            <w:tcW w:w="6400" w:type="dxa"/>
            <w:vAlign w:val="bottom"/>
            <w:gridSpan w:val="4"/>
          </w:tcPr>
          <w:p>
            <w:pPr>
              <w:ind w:left="980"/>
              <w:spacing w:after="0"/>
              <w:rPr>
                <w:sz w:val="20"/>
                <w:szCs w:val="20"/>
                <w:color w:val="auto"/>
              </w:rPr>
            </w:pPr>
            <w:r>
              <w:rPr>
                <w:rFonts w:ascii="Arial" w:cs="Arial" w:eastAsia="Arial" w:hAnsi="Arial"/>
                <w:sz w:val="18"/>
                <w:szCs w:val="18"/>
                <w:color w:val="auto"/>
              </w:rPr>
              <w:t>By:  /s/ Jillian Hoffman</w:t>
            </w:r>
          </w:p>
        </w:tc>
      </w:tr>
      <w:tr>
        <w:trPr>
          <w:trHeight w:val="224"/>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Brian M. Posner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r>
      <w:tr>
        <w:trPr>
          <w:trHeight w:val="418"/>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Chief Financial Officer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VP Environment &amp; Heritage</w:t>
            </w:r>
          </w:p>
        </w:tc>
      </w:tr>
      <w:tr>
        <w:trPr>
          <w:trHeight w:val="224"/>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Title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18"/>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4 December 2012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 December 2012</w:t>
            </w:r>
          </w:p>
        </w:tc>
      </w:tr>
      <w:tr>
        <w:trPr>
          <w:trHeight w:val="224"/>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Date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61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ADDENDUM TO LEASE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Between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REED ROAD INDUSTRIAL PARK LLC #1, LANDLORD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OCEAN POWER TECHNOLOGIES, INC., TENANT</w:t>
      </w:r>
    </w:p>
    <w:p>
      <w:pPr>
        <w:spacing w:after="0" w:line="252" w:lineRule="exact"/>
        <w:rPr>
          <w:sz w:val="20"/>
          <w:szCs w:val="20"/>
          <w:color w:val="auto"/>
        </w:rPr>
      </w:pPr>
    </w:p>
    <w:p>
      <w:pPr>
        <w:jc w:val="both"/>
        <w:ind w:left="660" w:hanging="652"/>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Second Addendum to Lease Agreement is executed effective June 1, 2008 and specifically and expressly is incorporated into the Lease Agreement, dated August 30, 2005, and Addendum to Lease Agreement dated January 27, 2006. (The Lease Agreement, Addendum to Lease Agreement and this Second Addendum to Lease Agreement collectively referred to hereinafter as the “Lease”). In the event of any inconsistency or discrepancy, the terms, covenants, conditions and provisions of the within Second Addendum to Lease Agreement shall supersede and prevail over those otherwise set forth in the Lease.</w:t>
      </w:r>
    </w:p>
    <w:p>
      <w:pPr>
        <w:spacing w:after="0" w:line="18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Landlord and Tenant acknowledge and agree that the office space and warehouse space within the Expansion Space has been modified. The Expansion Space now consists of 2,781 square feet of office space and 319 square feet of warehouse space. The requisite inspections have been completed by the Township of Hopewell and a Certificate of Approval has been issued.</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Landlord and Tenant further acknowledge and agree that the costs of the modifications to the Expansion Space shall be shared by the parties. Tenant’s share of the costs to date is $58,805.00. Tenant shall pay to Landlord, upon execution of the within Second Addendum to Lease, the full sum of $58,805.00.</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Commencing June 1, 2008, the Annual Rental and Additional Rental for the Expansion Space shall be as follows:</w:t>
      </w: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4"/>
              </w:rPr>
              <w:t>ANNUAL RENTAL</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Space</w:t>
            </w:r>
          </w:p>
        </w:tc>
        <w:tc>
          <w:tcPr>
            <w:tcW w:w="3440" w:type="dxa"/>
            <w:vAlign w:val="bottom"/>
            <w:gridSpan w:val="5"/>
          </w:tcPr>
          <w:p>
            <w:pPr>
              <w:ind w:left="1160"/>
              <w:spacing w:after="0"/>
              <w:rPr>
                <w:sz w:val="20"/>
                <w:szCs w:val="20"/>
                <w:color w:val="auto"/>
              </w:rPr>
            </w:pPr>
            <w:r>
              <w:rPr>
                <w:rFonts w:ascii="Arial" w:cs="Arial" w:eastAsia="Arial" w:hAnsi="Arial"/>
                <w:sz w:val="18"/>
                <w:szCs w:val="18"/>
                <w:b w:val="1"/>
                <w:bCs w:val="1"/>
                <w:i w:val="1"/>
                <w:iCs w:val="1"/>
                <w:color w:val="auto"/>
              </w:rPr>
              <w:t>Per Square Foot</w:t>
            </w:r>
          </w:p>
        </w:tc>
        <w:tc>
          <w:tcPr>
            <w:tcW w:w="1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Annual Rental</w:t>
            </w: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Monthly Rental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2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$41,715.00</w:t>
            </w:r>
          </w:p>
        </w:tc>
        <w:tc>
          <w:tcPr>
            <w:tcW w:w="4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$3,476.25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Warehouse</w:t>
            </w:r>
          </w:p>
        </w:tc>
        <w:tc>
          <w:tcPr>
            <w:tcW w:w="2380" w:type="dxa"/>
            <w:vAlign w:val="bottom"/>
            <w:gridSpan w:val="3"/>
          </w:tcPr>
          <w:p>
            <w:pPr>
              <w:jc w:val="right"/>
              <w:ind w:right="150"/>
              <w:spacing w:after="0" w:line="176" w:lineRule="exact"/>
              <w:rPr>
                <w:sz w:val="20"/>
                <w:szCs w:val="20"/>
                <w:color w:val="auto"/>
              </w:rPr>
            </w:pPr>
            <w:r>
              <w:rPr>
                <w:rFonts w:ascii="Arial" w:cs="Arial" w:eastAsia="Arial" w:hAnsi="Arial"/>
                <w:sz w:val="18"/>
                <w:szCs w:val="18"/>
                <w:color w:val="auto"/>
              </w:rPr>
              <w:t>$ 6.75</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3"/>
          </w:tcPr>
          <w:p>
            <w:pPr>
              <w:jc w:val="right"/>
              <w:ind w:right="240"/>
              <w:spacing w:after="0" w:line="176" w:lineRule="exact"/>
              <w:rPr>
                <w:sz w:val="20"/>
                <w:szCs w:val="20"/>
                <w:color w:val="auto"/>
              </w:rPr>
            </w:pPr>
            <w:r>
              <w:rPr>
                <w:rFonts w:ascii="Arial" w:cs="Arial" w:eastAsia="Arial" w:hAnsi="Arial"/>
                <w:sz w:val="18"/>
                <w:szCs w:val="18"/>
                <w:color w:val="auto"/>
                <w:w w:val="98"/>
              </w:rPr>
              <w:t>$ 2,153.25</w:t>
            </w:r>
          </w:p>
        </w:tc>
        <w:tc>
          <w:tcPr>
            <w:tcW w:w="460" w:type="dxa"/>
            <w:vAlign w:val="bottom"/>
          </w:tcPr>
          <w:p>
            <w:pPr>
              <w:spacing w:after="0"/>
              <w:rPr>
                <w:sz w:val="15"/>
                <w:szCs w:val="15"/>
                <w:color w:val="auto"/>
              </w:rPr>
            </w:pPr>
          </w:p>
        </w:tc>
        <w:tc>
          <w:tcPr>
            <w:tcW w:w="1620" w:type="dxa"/>
            <w:vAlign w:val="bottom"/>
            <w:gridSpan w:val="4"/>
          </w:tcPr>
          <w:p>
            <w:pPr>
              <w:jc w:val="right"/>
              <w:ind w:right="240"/>
              <w:spacing w:after="0" w:line="176" w:lineRule="exact"/>
              <w:rPr>
                <w:sz w:val="20"/>
                <w:szCs w:val="20"/>
                <w:color w:val="auto"/>
              </w:rPr>
            </w:pPr>
            <w:r>
              <w:rPr>
                <w:rFonts w:ascii="Arial" w:cs="Arial" w:eastAsia="Arial" w:hAnsi="Arial"/>
                <w:sz w:val="18"/>
                <w:szCs w:val="18"/>
                <w:color w:val="auto"/>
              </w:rPr>
              <w:t>$ 179.44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1300"/>
              <w:spacing w:after="0"/>
              <w:rPr>
                <w:sz w:val="20"/>
                <w:szCs w:val="20"/>
                <w:color w:val="auto"/>
              </w:rPr>
            </w:pPr>
            <w:r>
              <w:rPr>
                <w:rFonts w:ascii="Arial" w:cs="Arial" w:eastAsia="Arial" w:hAnsi="Arial"/>
                <w:sz w:val="18"/>
                <w:szCs w:val="18"/>
                <w:b w:val="1"/>
                <w:bCs w:val="1"/>
                <w:i w:val="1"/>
                <w:iCs w:val="1"/>
                <w:color w:val="auto"/>
              </w:rPr>
              <w:t>TOTAL</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$43,868.25</w:t>
            </w:r>
          </w:p>
        </w:tc>
        <w:tc>
          <w:tcPr>
            <w:tcW w:w="4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$3,655.69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ADDITIONAL RENTAL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3,100 square feet presently @ $3.36 per square foot = $10,416.00 ($868.00 per month)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amount is subject to annual increases based upon actual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triple net costs, defined in the Lease as Additional Rental)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Total Monthly Payment of Annual Rental and Additional Rental = $4,523.69</w:t>
      </w:r>
    </w:p>
    <w:p>
      <w:pPr>
        <w:spacing w:after="0" w:line="252" w:lineRule="exact"/>
        <w:rPr>
          <w:sz w:val="20"/>
          <w:szCs w:val="20"/>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execution of the within Second Addendum, Tenant shall pay to Landlord the sum of $1,155.69, constituting the increase in Rental due for the month of June 2008 and July 2008.</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remaining terms, covenants, conditions and provisions of the Lease and Schedules shall remain in full force and effect.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WITNESS/ATTEST:</w:t>
            </w: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w w:val="95"/>
              </w:rPr>
              <w:t>REED ROAD INDUSTRIAL PARK LLC #1,</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rPr>
              <w:t>Landlord</w:t>
            </w:r>
          </w:p>
        </w:tc>
      </w:tr>
      <w:tr>
        <w:trPr>
          <w:trHeight w:val="392"/>
        </w:trPr>
        <w:tc>
          <w:tcPr>
            <w:tcW w:w="372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Anna Lovero-Force</w:t>
            </w: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rPr>
              <w:t xml:space="preserve">By: </w:t>
            </w:r>
            <w:r>
              <w:rPr>
                <w:rFonts w:ascii="Arial" w:cs="Arial" w:eastAsia="Arial" w:hAnsi="Arial"/>
                <w:sz w:val="18"/>
                <w:szCs w:val="18"/>
                <w:color w:val="auto"/>
              </w:rPr>
              <w:t>/s/ John Lovero, Jr.</w:t>
            </w:r>
          </w:p>
        </w:tc>
      </w:tr>
      <w:tr>
        <w:trPr>
          <w:trHeight w:val="20"/>
        </w:trPr>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2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w w:val="89"/>
              </w:rPr>
              <w:t>John Lovero, Jr., Managing Member</w:t>
            </w:r>
          </w:p>
        </w:tc>
      </w:tr>
      <w:tr>
        <w:trPr>
          <w:trHeight w:val="418"/>
        </w:trPr>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w w:val="98"/>
              </w:rPr>
              <w:t>OCEAN POWER TECHNOLOGIES, INC.,</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rPr>
              <w:t>Tenant</w:t>
            </w:r>
          </w:p>
        </w:tc>
      </w:tr>
      <w:tr>
        <w:trPr>
          <w:trHeight w:val="392"/>
        </w:trPr>
        <w:tc>
          <w:tcPr>
            <w:tcW w:w="3720" w:type="dxa"/>
            <w:vAlign w:val="bottom"/>
            <w:gridSpan w:val="3"/>
          </w:tcPr>
          <w:p>
            <w:pPr>
              <w:spacing w:after="0"/>
              <w:rPr>
                <w:sz w:val="20"/>
                <w:szCs w:val="20"/>
                <w:color w:val="auto"/>
              </w:rPr>
            </w:pPr>
            <w:r>
              <w:rPr>
                <w:rFonts w:ascii="Arial" w:cs="Arial" w:eastAsia="Arial" w:hAnsi="Arial"/>
                <w:sz w:val="18"/>
                <w:szCs w:val="18"/>
                <w:color w:val="auto"/>
              </w:rPr>
              <w:t>/s/ Mary P. Mikula</w:t>
            </w:r>
          </w:p>
        </w:tc>
        <w:tc>
          <w:tcPr>
            <w:tcW w:w="5400" w:type="dxa"/>
            <w:vAlign w:val="bottom"/>
            <w:gridSpan w:val="4"/>
          </w:tcPr>
          <w:p>
            <w:pPr>
              <w:ind w:left="2060"/>
              <w:spacing w:after="0"/>
              <w:rPr>
                <w:sz w:val="20"/>
                <w:szCs w:val="20"/>
                <w:color w:val="auto"/>
              </w:rPr>
            </w:pPr>
            <w:r>
              <w:rPr>
                <w:rFonts w:ascii="Arial" w:cs="Arial" w:eastAsia="Arial" w:hAnsi="Arial"/>
                <w:sz w:val="18"/>
                <w:szCs w:val="18"/>
                <w:b w:val="1"/>
                <w:bCs w:val="1"/>
                <w:i w:val="1"/>
                <w:iCs w:val="1"/>
                <w:color w:val="auto"/>
              </w:rPr>
              <w:t xml:space="preserve">By: </w:t>
            </w:r>
            <w:r>
              <w:rPr>
                <w:rFonts w:ascii="Arial" w:cs="Arial" w:eastAsia="Arial" w:hAnsi="Arial"/>
                <w:sz w:val="18"/>
                <w:szCs w:val="18"/>
                <w:color w:val="auto"/>
              </w:rPr>
              <w:t>/s/ Charles F. Dunleavy</w:t>
            </w:r>
          </w:p>
        </w:tc>
      </w:tr>
      <w:tr>
        <w:trPr>
          <w:trHeight w:val="20"/>
        </w:trPr>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2"/>
        </w:trPr>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2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Charles F. Dunleavy,</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20" w:type="dxa"/>
            <w:vAlign w:val="bottom"/>
            <w:gridSpan w:val="3"/>
          </w:tcPr>
          <w:p>
            <w:pPr>
              <w:ind w:left="240"/>
              <w:spacing w:after="0"/>
              <w:rPr>
                <w:sz w:val="20"/>
                <w:szCs w:val="20"/>
                <w:color w:val="auto"/>
              </w:rPr>
            </w:pPr>
            <w:r>
              <w:rPr>
                <w:rFonts w:ascii="Arial" w:cs="Arial" w:eastAsia="Arial" w:hAnsi="Arial"/>
                <w:sz w:val="18"/>
                <w:szCs w:val="18"/>
                <w:b w:val="1"/>
                <w:bCs w:val="1"/>
                <w:i w:val="1"/>
                <w:iCs w:val="1"/>
                <w:color w:val="auto"/>
              </w:rPr>
              <w:t>Vice President-Finance</w:t>
            </w:r>
          </w:p>
        </w:tc>
      </w:tr>
    </w:tbl>
    <w:p>
      <w:pPr>
        <w:sectPr>
          <w:pgSz w:w="11900" w:h="16838" w:orient="portrait"/>
          <w:cols w:equalWidth="0" w:num="1">
            <w:col w:w="11420"/>
          </w:cols>
          <w:pgMar w:left="240" w:top="36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ADDENDUM TO LEASE AGREEMENT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Between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REED ROAD INDUSTRIAL PARK LLC </w:t>
      </w:r>
      <w:r>
        <w:rPr>
          <w:rFonts w:ascii="Arial" w:cs="Arial" w:eastAsia="Arial" w:hAnsi="Arial"/>
          <w:sz w:val="18"/>
          <w:szCs w:val="18"/>
          <w:color w:val="auto"/>
        </w:rPr>
        <w:t>#1,</w:t>
      </w:r>
      <w:r>
        <w:rPr>
          <w:rFonts w:ascii="Arial" w:cs="Arial" w:eastAsia="Arial" w:hAnsi="Arial"/>
          <w:sz w:val="18"/>
          <w:szCs w:val="18"/>
          <w:i w:val="1"/>
          <w:iCs w:val="1"/>
          <w:color w:val="auto"/>
        </w:rPr>
        <w:t xml:space="preserve"> LANDLORD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OCEAN POWER TECHNOLOGIES, INC., TENANT</w:t>
      </w:r>
    </w:p>
    <w:p>
      <w:pPr>
        <w:spacing w:after="0" w:line="200" w:lineRule="exact"/>
        <w:rPr>
          <w:sz w:val="20"/>
          <w:szCs w:val="20"/>
          <w:color w:val="auto"/>
        </w:rPr>
      </w:pPr>
    </w:p>
    <w:p>
      <w:pPr>
        <w:spacing w:after="0" w:line="349" w:lineRule="exact"/>
        <w:rPr>
          <w:sz w:val="20"/>
          <w:szCs w:val="20"/>
          <w:color w:val="auto"/>
        </w:rPr>
      </w:pPr>
    </w:p>
    <w:p>
      <w:pPr>
        <w:jc w:val="both"/>
        <w:ind w:left="340" w:right="20" w:hanging="332"/>
        <w:spacing w:after="0" w:line="26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This Third Addendum to Lease Agreement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Third Addendum")</w:t>
      </w:r>
      <w:r>
        <w:rPr>
          <w:rFonts w:ascii="Arial" w:cs="Arial" w:eastAsia="Arial" w:hAnsi="Arial"/>
          <w:sz w:val="17"/>
          <w:szCs w:val="17"/>
          <w:color w:val="auto"/>
        </w:rPr>
        <w:t xml:space="preserve"> is executed March 11, 2013 and specifically and expressly is incorporated into the Lease Agreement, dated August 30, 2005, Addendum to Lease Agreement, dated January 27, 2006, and Second Addendum to Lease Agreement executed effective June 1, 2008. (The Lease Agreement, Addendum to Lease Agreement, Second Addendum to Lease Agreement and this Third Addendum shall collectively be referred to hereinafter as the "Lease"). In the event of any inconsistency or discrepancy, the terms, covenants, conditions and provisions of the foregoing enumerated documents, this Third Addendum shall supersede and prevail.</w:t>
      </w:r>
    </w:p>
    <w:p>
      <w:pPr>
        <w:spacing w:after="0" w:line="3" w:lineRule="exact"/>
        <w:rPr>
          <w:rFonts w:ascii="Arial" w:cs="Arial" w:eastAsia="Arial" w:hAnsi="Arial"/>
          <w:sz w:val="17"/>
          <w:szCs w:val="17"/>
          <w:color w:val="auto"/>
        </w:rPr>
      </w:pPr>
    </w:p>
    <w:p>
      <w:pPr>
        <w:ind w:left="340" w:right="20" w:hanging="332"/>
        <w:spacing w:after="0" w:line="250"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Landlord and Tenant acknowledge and agree that the Demised Premises consists of 11,528 square feet of office space and 10,707 square feet of warehouse space (collectively the </w:t>
      </w:r>
      <w:r>
        <w:rPr>
          <w:rFonts w:ascii="Arial" w:cs="Arial" w:eastAsia="Arial" w:hAnsi="Arial"/>
          <w:sz w:val="18"/>
          <w:szCs w:val="18"/>
          <w:b w:val="1"/>
          <w:bCs w:val="1"/>
          <w:i w:val="1"/>
          <w:iCs w:val="1"/>
          <w:color w:val="auto"/>
        </w:rPr>
        <w:t>"Demised Premises"</w:t>
      </w:r>
      <w:r>
        <w:rPr>
          <w:rFonts w:ascii="Arial" w:cs="Arial" w:eastAsia="Arial" w:hAnsi="Arial"/>
          <w:sz w:val="18"/>
          <w:szCs w:val="18"/>
          <w:i w:val="1"/>
          <w:iCs w:val="1"/>
          <w:color w:val="auto"/>
        </w:rPr>
        <w:t>).</w:t>
      </w:r>
    </w:p>
    <w:p>
      <w:pPr>
        <w:jc w:val="both"/>
        <w:ind w:left="340" w:hanging="332"/>
        <w:spacing w:after="0" w:line="250"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Landlord and Tenant acknowledge and agree that the Term of the Lease shall be extended for an additional period of two (2) years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"First Renewal Term</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and shall commence May 1, 2013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"First Renewal Term Commencement Date"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terminate April 30, 2015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"First Renewal Term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Termination Date''</w:t>
      </w:r>
      <w:r>
        <w:rPr>
          <w:rFonts w:ascii="Arial" w:cs="Arial" w:eastAsia="Arial" w:hAnsi="Arial"/>
          <w:sz w:val="18"/>
          <w:szCs w:val="18"/>
          <w:i w:val="1"/>
          <w:iCs w:val="1"/>
          <w:color w:val="auto"/>
        </w:rPr>
        <w: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Commencing with the First Renewal Term Commencement Date, the Annual Rental and Additional Rental shall be as follows: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ANNUAL RENTAL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$181,423.32 ($15,118.61 per month).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ADDITIONAL RENTAL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22,235 square feet presently @ $3.39 per square foot = $75,376.65 ($6,281.39 per month).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amount is subject to annual increases based upon actual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triple net costs, defined in the Lease as Additional Rental)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Total Monthly Payment of Annual Rental and Additional Rental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$21,400.00</w:t>
      </w:r>
    </w:p>
    <w:p>
      <w:pPr>
        <w:spacing w:after="0" w:line="28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remaining terms, covenants, conditions and provisions of the Lease and Schedules shall remain in full force and effect.</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SUBMISSION BY LANDLORD TO TENANT OF THIS THIRD ADDENDUM TO LEASE AGREEMENT SHALL HAVE NO BINDING FORCE OR EFFECT NOR CONFER ANY RIGHTS OR IMPOSE ANY OBLIGATIONS UPON EITHER PARTY UNTIL THE EXECUTION THEREOF BY LANDLORD AND TENANT AND THE DELIVERY OF AN EXECUTED ORIGINAL COPY THEREOF TO LANDLORD.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WITNESS/ATTEST:</w:t>
            </w:r>
          </w:p>
        </w:tc>
        <w:tc>
          <w:tcPr>
            <w:tcW w:w="6000" w:type="dxa"/>
            <w:vAlign w:val="bottom"/>
            <w:gridSpan w:val="2"/>
          </w:tcPr>
          <w:p>
            <w:pPr>
              <w:ind w:left="1560"/>
              <w:spacing w:after="0"/>
              <w:rPr>
                <w:sz w:val="20"/>
                <w:szCs w:val="20"/>
                <w:color w:val="auto"/>
              </w:rPr>
            </w:pPr>
            <w:r>
              <w:rPr>
                <w:rFonts w:ascii="Arial" w:cs="Arial" w:eastAsia="Arial" w:hAnsi="Arial"/>
                <w:sz w:val="18"/>
                <w:szCs w:val="18"/>
                <w:b w:val="1"/>
                <w:bCs w:val="1"/>
                <w:i w:val="1"/>
                <w:iCs w:val="1"/>
                <w:color w:val="auto"/>
              </w:rPr>
              <w:t>REED ROAD INDUSTRIAL PARK LLC #1,</w:t>
            </w:r>
          </w:p>
        </w:tc>
      </w:tr>
      <w:tr>
        <w:trPr>
          <w:trHeight w:val="222"/>
        </w:trPr>
        <w:tc>
          <w:tcPr>
            <w:tcW w:w="4160" w:type="dxa"/>
            <w:vAlign w:val="bottom"/>
          </w:tcPr>
          <w:p>
            <w:pPr>
              <w:spacing w:after="0"/>
              <w:rPr>
                <w:sz w:val="19"/>
                <w:szCs w:val="19"/>
                <w:color w:val="auto"/>
              </w:rPr>
            </w:pPr>
          </w:p>
        </w:tc>
        <w:tc>
          <w:tcPr>
            <w:tcW w:w="6000" w:type="dxa"/>
            <w:vAlign w:val="bottom"/>
            <w:gridSpan w:val="2"/>
          </w:tcPr>
          <w:p>
            <w:pPr>
              <w:ind w:left="1560"/>
              <w:spacing w:after="0"/>
              <w:rPr>
                <w:sz w:val="20"/>
                <w:szCs w:val="20"/>
                <w:color w:val="auto"/>
              </w:rPr>
            </w:pPr>
            <w:r>
              <w:rPr>
                <w:rFonts w:ascii="Arial" w:cs="Arial" w:eastAsia="Arial" w:hAnsi="Arial"/>
                <w:sz w:val="18"/>
                <w:szCs w:val="18"/>
                <w:b w:val="1"/>
                <w:bCs w:val="1"/>
                <w:i w:val="1"/>
                <w:iCs w:val="1"/>
                <w:color w:val="auto"/>
              </w:rPr>
              <w:t>Landlord</w:t>
            </w:r>
          </w:p>
        </w:tc>
      </w:tr>
      <w:tr>
        <w:trPr>
          <w:trHeight w:val="434"/>
        </w:trPr>
        <w:tc>
          <w:tcPr>
            <w:tcW w:w="4160" w:type="dxa"/>
            <w:vAlign w:val="bottom"/>
          </w:tcPr>
          <w:p>
            <w:pPr>
              <w:spacing w:after="0"/>
              <w:rPr>
                <w:sz w:val="20"/>
                <w:szCs w:val="20"/>
                <w:color w:val="auto"/>
              </w:rPr>
            </w:pPr>
            <w:r>
              <w:rPr>
                <w:rFonts w:ascii="Arial" w:cs="Arial" w:eastAsia="Arial" w:hAnsi="Arial"/>
                <w:sz w:val="18"/>
                <w:szCs w:val="18"/>
                <w:color w:val="auto"/>
              </w:rPr>
              <w:t>/s/ Anne Lovero-Force</w:t>
            </w:r>
          </w:p>
        </w:tc>
        <w:tc>
          <w:tcPr>
            <w:tcW w:w="6000" w:type="dxa"/>
            <w:vAlign w:val="bottom"/>
            <w:gridSpan w:val="2"/>
          </w:tcPr>
          <w:p>
            <w:pPr>
              <w:ind w:left="1560"/>
              <w:spacing w:after="0"/>
              <w:rPr>
                <w:sz w:val="20"/>
                <w:szCs w:val="20"/>
                <w:color w:val="auto"/>
              </w:rPr>
            </w:pPr>
            <w:r>
              <w:rPr>
                <w:rFonts w:ascii="Arial" w:cs="Arial" w:eastAsia="Arial" w:hAnsi="Arial"/>
                <w:sz w:val="18"/>
                <w:szCs w:val="18"/>
                <w:color w:val="auto"/>
              </w:rPr>
              <w:t>By:  /s/ John Lovero, Jr.</w:t>
            </w:r>
          </w:p>
        </w:tc>
      </w:tr>
      <w:tr>
        <w:trPr>
          <w:trHeight w:val="224"/>
        </w:trPr>
        <w:tc>
          <w:tcPr>
            <w:tcW w:w="41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John Lovero, Jr., Managing Member</w:t>
            </w:r>
          </w:p>
        </w:tc>
      </w:tr>
      <w:tr>
        <w:trPr>
          <w:trHeight w:val="409"/>
        </w:trPr>
        <w:tc>
          <w:tcPr>
            <w:tcW w:w="4160" w:type="dxa"/>
            <w:vAlign w:val="bottom"/>
          </w:tcPr>
          <w:p>
            <w:pPr>
              <w:spacing w:after="0"/>
              <w:rPr>
                <w:sz w:val="24"/>
                <w:szCs w:val="24"/>
                <w:color w:val="auto"/>
              </w:rPr>
            </w:pPr>
          </w:p>
        </w:tc>
        <w:tc>
          <w:tcPr>
            <w:tcW w:w="6000" w:type="dxa"/>
            <w:vAlign w:val="bottom"/>
            <w:gridSpan w:val="2"/>
          </w:tcPr>
          <w:p>
            <w:pPr>
              <w:ind w:left="1560"/>
              <w:spacing w:after="0"/>
              <w:rPr>
                <w:sz w:val="20"/>
                <w:szCs w:val="20"/>
                <w:color w:val="auto"/>
              </w:rPr>
            </w:pPr>
            <w:r>
              <w:rPr>
                <w:rFonts w:ascii="Arial" w:cs="Arial" w:eastAsia="Arial" w:hAnsi="Arial"/>
                <w:sz w:val="18"/>
                <w:szCs w:val="18"/>
                <w:b w:val="1"/>
                <w:bCs w:val="1"/>
                <w:i w:val="1"/>
                <w:iCs w:val="1"/>
                <w:color w:val="auto"/>
              </w:rPr>
              <w:t>OCEAN POWER TECHNOLOGIES, INC.</w:t>
            </w:r>
          </w:p>
        </w:tc>
      </w:tr>
      <w:tr>
        <w:trPr>
          <w:trHeight w:val="210"/>
        </w:trPr>
        <w:tc>
          <w:tcPr>
            <w:tcW w:w="4160" w:type="dxa"/>
            <w:vAlign w:val="bottom"/>
          </w:tcPr>
          <w:p>
            <w:pPr>
              <w:spacing w:after="0"/>
              <w:rPr>
                <w:sz w:val="18"/>
                <w:szCs w:val="18"/>
                <w:color w:val="auto"/>
              </w:rPr>
            </w:pPr>
          </w:p>
        </w:tc>
        <w:tc>
          <w:tcPr>
            <w:tcW w:w="6000" w:type="dxa"/>
            <w:vAlign w:val="bottom"/>
            <w:gridSpan w:val="2"/>
          </w:tcPr>
          <w:p>
            <w:pPr>
              <w:ind w:left="1560"/>
              <w:spacing w:after="0"/>
              <w:rPr>
                <w:sz w:val="20"/>
                <w:szCs w:val="20"/>
                <w:color w:val="auto"/>
              </w:rPr>
            </w:pPr>
            <w:r>
              <w:rPr>
                <w:rFonts w:ascii="Arial" w:cs="Arial" w:eastAsia="Arial" w:hAnsi="Arial"/>
                <w:sz w:val="18"/>
                <w:szCs w:val="18"/>
                <w:b w:val="1"/>
                <w:bCs w:val="1"/>
                <w:i w:val="1"/>
                <w:iCs w:val="1"/>
                <w:color w:val="auto"/>
              </w:rPr>
              <w:t>Tenant</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 Mary P. Mikula</w:t>
            </w:r>
          </w:p>
        </w:tc>
        <w:tc>
          <w:tcPr>
            <w:tcW w:w="6000" w:type="dxa"/>
            <w:vAlign w:val="bottom"/>
            <w:gridSpan w:val="2"/>
          </w:tcPr>
          <w:p>
            <w:pPr>
              <w:ind w:left="1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7"/>
                <w:szCs w:val="17"/>
                <w:color w:val="auto"/>
              </w:rPr>
              <w:t>/ s/ Brian M. Posner</w:t>
            </w:r>
          </w:p>
        </w:tc>
      </w:tr>
      <w:tr>
        <w:trPr>
          <w:trHeight w:val="216"/>
        </w:trPr>
        <w:tc>
          <w:tcPr>
            <w:tcW w:w="4160" w:type="dxa"/>
            <w:vAlign w:val="bottom"/>
            <w:tcBorders>
              <w:top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Brian M. Posner,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5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W. Taylor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L. Davis, Chairman of Compensation Committee</w:t>
      </w:r>
    </w:p>
    <w:p>
      <w:pPr>
        <w:spacing w:after="0" w:line="21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7"/>
          <w:szCs w:val="17"/>
          <w:i w:val="1"/>
          <w:iCs w:val="1"/>
          <w:color w:val="auto"/>
        </w:rPr>
        <w:t>Employment Agreement</w:t>
      </w:r>
      <w:r>
        <w:rPr>
          <w:rFonts w:ascii="Arial" w:cs="Arial" w:eastAsia="Arial" w:hAnsi="Arial"/>
          <w:sz w:val="17"/>
          <w:szCs w:val="17"/>
          <w:color w:val="auto"/>
        </w:rPr>
        <w:t>”) and supersedes the letter agreement of December 12, 2012.</w:t>
      </w:r>
    </w:p>
    <w:p>
      <w:pPr>
        <w:spacing w:after="0" w:line="171" w:lineRule="exact"/>
        <w:rPr>
          <w:sz w:val="20"/>
          <w:szCs w:val="20"/>
          <w:color w:val="auto"/>
        </w:rPr>
      </w:pPr>
    </w:p>
    <w:p>
      <w:pPr>
        <w:ind w:right="20" w:firstLine="1305"/>
        <w:spacing w:after="0" w:line="277" w:lineRule="auto"/>
        <w:tabs>
          <w:tab w:leader="none" w:pos="16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2013 and shall continue in effect until December 31, 2013 (the “</w:t>
      </w:r>
      <w:r>
        <w:rPr>
          <w:rFonts w:ascii="Arial" w:cs="Arial" w:eastAsia="Arial" w:hAnsi="Arial"/>
          <w:sz w:val="18"/>
          <w:szCs w:val="18"/>
          <w:i w:val="1"/>
          <w:iCs w:val="1"/>
          <w:color w:val="auto"/>
        </w:rPr>
        <w:t>Temporary Salary Reduction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the Temporary Salary Reduction Period, my annualized base salary shall be reduced from $475,000 to $420,000 (the</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$475,000, subject to further increases or decreases as may be made from time to time in accordance with the terms of the Employment Agreement.</w:t>
      </w:r>
    </w:p>
    <w:p>
      <w:pPr>
        <w:spacing w:after="0" w:line="190" w:lineRule="exact"/>
        <w:rPr>
          <w:sz w:val="20"/>
          <w:szCs w:val="20"/>
          <w:color w:val="auto"/>
        </w:rPr>
      </w:pPr>
    </w:p>
    <w:p>
      <w:pPr>
        <w:ind w:right="60" w:firstLine="1305"/>
        <w:spacing w:after="0" w:line="270" w:lineRule="auto"/>
        <w:tabs>
          <w:tab w:leader="none" w:pos="16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ind w:firstLine="1305"/>
        <w:spacing w:after="0" w:line="264" w:lineRule="auto"/>
        <w:tabs>
          <w:tab w:leader="none" w:pos="1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$475,000 for purposes of any severance or other benefits that I may be entitled to under the Employment Agreement based on such termination.</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confirm your acknowledgement and agreement with the foregoing matters by executing this letter agreement in the space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George W.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-19050</wp:posOffset>
            </wp:positionV>
            <wp:extent cx="19792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79295"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b w:val="1"/>
          <w:bCs w:val="1"/>
          <w:color w:val="auto"/>
        </w:rPr>
        <w:t>George W. Taylor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David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669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David L.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240"/>
          </w:cols>
          <w:pgMar w:left="240" w:top="611" w:right="4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F. Dunleavy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L. Davis, Chairman of Compensation Committee</w:t>
      </w:r>
    </w:p>
    <w:p>
      <w:pPr>
        <w:spacing w:after="0" w:line="21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7"/>
          <w:szCs w:val="17"/>
          <w:i w:val="1"/>
          <w:iCs w:val="1"/>
          <w:color w:val="auto"/>
        </w:rPr>
        <w:t>Employment Agreement</w:t>
      </w:r>
      <w:r>
        <w:rPr>
          <w:rFonts w:ascii="Arial" w:cs="Arial" w:eastAsia="Arial" w:hAnsi="Arial"/>
          <w:sz w:val="17"/>
          <w:szCs w:val="17"/>
          <w:color w:val="auto"/>
        </w:rPr>
        <w:t>”) and supersedes the letter agreement of December 12, 2012.</w:t>
      </w:r>
    </w:p>
    <w:p>
      <w:pPr>
        <w:spacing w:after="0" w:line="171" w:lineRule="exact"/>
        <w:rPr>
          <w:sz w:val="20"/>
          <w:szCs w:val="20"/>
          <w:color w:val="auto"/>
        </w:rPr>
      </w:pPr>
    </w:p>
    <w:p>
      <w:pPr>
        <w:ind w:right="20" w:firstLine="1305"/>
        <w:spacing w:after="0" w:line="277" w:lineRule="auto"/>
        <w:tabs>
          <w:tab w:leader="none" w:pos="16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2013 and shall continue in effect until December 31, 2013 (the “</w:t>
      </w:r>
      <w:r>
        <w:rPr>
          <w:rFonts w:ascii="Arial" w:cs="Arial" w:eastAsia="Arial" w:hAnsi="Arial"/>
          <w:sz w:val="18"/>
          <w:szCs w:val="18"/>
          <w:i w:val="1"/>
          <w:iCs w:val="1"/>
          <w:color w:val="auto"/>
        </w:rPr>
        <w:t>Temporary Salary Reduction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During the Temporary Salary Reduction Period, my annualized base salary shall be reduced from $425,000 to $375,000 (the</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$425,000, subject to further increases or decreases as may be made from time to time in accordance with the terms of the Employment Agreement.</w:t>
      </w:r>
    </w:p>
    <w:p>
      <w:pPr>
        <w:spacing w:after="0" w:line="190" w:lineRule="exact"/>
        <w:rPr>
          <w:sz w:val="20"/>
          <w:szCs w:val="20"/>
          <w:color w:val="auto"/>
        </w:rPr>
      </w:pPr>
    </w:p>
    <w:p>
      <w:pPr>
        <w:ind w:right="60" w:firstLine="1305"/>
        <w:spacing w:after="0" w:line="270" w:lineRule="auto"/>
        <w:tabs>
          <w:tab w:leader="none" w:pos="1657"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firstLine="1305"/>
        <w:spacing w:after="0" w:line="264" w:lineRule="auto"/>
        <w:tabs>
          <w:tab w:leader="none" w:pos="1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$425,000 for purposes of any severance or other benefits that I may be entitled to under the Employment Agreement based on such termination.</w:t>
      </w:r>
    </w:p>
    <w:p>
      <w:pPr>
        <w:spacing w:after="0" w:line="39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confirm your acknowledgement and agreement with the foregoing matters by executing this letter agreement in the space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-10160</wp:posOffset>
            </wp:positionV>
            <wp:extent cx="20986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Charles F. Dunleavy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David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240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24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David L.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240"/>
          </w:cols>
          <w:pgMar w:left="240" w:top="854" w:right="4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740" w:type="dxa"/>
            <w:vAlign w:val="bottom"/>
            <w:gridSpan w:val="2"/>
          </w:tcPr>
          <w:p>
            <w:pPr>
              <w:ind w:left="178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73"/>
        </w:trPr>
        <w:tc>
          <w:tcPr>
            <w:tcW w:w="87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Jurisdiction of Incorporation</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Ocean Power Technologies Ltd</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Ocean Power Technologies (Australasia) Pty Ltd</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Reedsport OPT Wave Park LLC</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Oregon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Oregon Wave Energy Partners I, LLC</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Victorian Wave Partners Pty Ltd</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333-142547 and No. 333-165856) on Form S-8 and the registration statement (No. 333-186181) on Form S-3 of Ocean Power Technologies, Inc. of our report dated July 12, 2013, with respect to the consolidated balance sheets of Ocean Power Technologies, Inc. and subsidiaries as of April 30, 2013 and 2012, and the related consolidated statements of operations, comprehensive loss, stockholders' equity, and cash flows for each of the years in the two-year period ended April 30, 2013, which report appears in the April 30, 2013 Annual Report on Form 10-K of Ocean Power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2013</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6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9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5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0" w:lineRule="exact"/>
        <w:rPr>
          <w:rFonts w:ascii="Arial" w:cs="Arial" w:eastAsia="Arial" w:hAnsi="Arial"/>
          <w:sz w:val="16"/>
          <w:szCs w:val="16"/>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21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421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2013</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79"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340" w:right="5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7" w:lineRule="exact"/>
        <w:rPr>
          <w:rFonts w:ascii="Arial" w:cs="Arial" w:eastAsia="Arial" w:hAnsi="Arial"/>
          <w:sz w:val="16"/>
          <w:szCs w:val="16"/>
          <w:color w:val="auto"/>
        </w:rPr>
      </w:pPr>
    </w:p>
    <w:p>
      <w:pPr>
        <w:ind w:left="660" w:right="46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748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4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2013</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2013 as filed with the Securities and Exchange Commission on the date hereof (the “Report”), the undersigned, Charles F. Dunleavy, Chief Executive Officer of the Company, hereby certifies, pursuant to 18 U.S.C. Section 1350, that:</w:t>
      </w:r>
    </w:p>
    <w:p>
      <w:pPr>
        <w:spacing w:after="0" w:line="22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993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93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2013</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2013 as filed with the Securities and Exchange Commission on the date hereof (the "Report"), the undersigned, Brian M. Posner, Chief Financial Officer of the Company, hereby certifies, pursuant to 18 U.S.C. Section 1350, that:</w:t>
      </w:r>
    </w:p>
    <w:p>
      <w:pPr>
        <w:spacing w:after="0" w:line="222" w:lineRule="exact"/>
        <w:rPr>
          <w:sz w:val="20"/>
          <w:szCs w:val="20"/>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802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emdash "/>
      <w:numFmt w:val="bullet"/>
      <w:start w:val="1"/>
    </w:lvl>
  </w:abstractNum>
  <w:abstractNum w:abstractNumId="4">
    <w:nsid w:val="3A95F874"/>
    <w:multiLevelType w:val="hybridMultilevel"/>
    <w:lvl w:ilvl="0">
      <w:lvlJc w:val="left"/>
      <w:lvlText w:val="(%1)"/>
      <w:numFmt w:val="decimal"/>
      <w:start w:val="609"/>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lowerLetter"/>
      <w:start w:val="1"/>
    </w:lvl>
    <w:lvl w:ilvl="1">
      <w:lvlJc w:val="left"/>
      <w:lvlText w:val="(%2)"/>
      <w:numFmt w:val="decimal"/>
      <w:start w:val="3"/>
    </w:lvl>
  </w:abstractNum>
  <w:abstractNum w:abstractNumId="27">
    <w:nsid w:val="153EA438"/>
    <w:multiLevelType w:val="hybridMultilevel"/>
    <w:lvl w:ilvl="0">
      <w:lvlJc w:val="left"/>
      <w:lvlText w:val="*"/>
      <w:numFmt w:val="bullet"/>
      <w:start w:val="1"/>
    </w:lvl>
    <w:lvl w:ilvl="1">
      <w:lvlJc w:val="left"/>
      <w:lvlText w:val="%2"/>
      <w:numFmt w:val="decimal"/>
      <w:start w:val="10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lvl w:ilvl="1">
      <w:lvlJc w:val="left"/>
      <w:lvlText w:val="(%2)"/>
      <w:numFmt w:val="lowerLetter"/>
      <w:start w:val="1"/>
    </w:lvl>
  </w:abstractNum>
  <w:abstractNum w:abstractNumId="31">
    <w:nsid w:val="2A487CB0"/>
    <w:multiLevelType w:val="hybridMultilevel"/>
    <w:lvl w:ilvl="0">
      <w:lvlJc w:val="left"/>
      <w:lvlText w:val="(%1)"/>
      <w:numFmt w:val="decimal"/>
      <w:start w:val="2"/>
    </w:lvl>
    <w:lvl w:ilvl="1">
      <w:lvlJc w:val="left"/>
      <w:lvlText w:val="(%2)"/>
      <w:numFmt w:val="lowerLetter"/>
      <w:start w:val="1"/>
    </w:lvl>
  </w:abstractNum>
  <w:abstractNum w:abstractNumId="32">
    <w:nsid w:val="1D4ED43B"/>
    <w:multiLevelType w:val="hybridMultilevel"/>
    <w:lvl w:ilvl="0">
      <w:lvlJc w:val="left"/>
      <w:lvlText w:val="(%1)"/>
      <w:numFmt w:val="decimal"/>
      <w:start w:val="6"/>
    </w:lvl>
  </w:abstractNum>
  <w:abstractNum w:abstractNumId="33">
    <w:nsid w:val="725A06FB"/>
    <w:multiLevelType w:val="hybridMultilevel"/>
    <w:lvl w:ilvl="0">
      <w:lvlJc w:val="left"/>
      <w:lvlText w:val="(%1)"/>
      <w:numFmt w:val="decimal"/>
      <w:start w:val="7"/>
    </w:lvl>
  </w:abstractNum>
  <w:abstractNum w:abstractNumId="34">
    <w:nsid w:val="2CD89A32"/>
    <w:multiLevelType w:val="hybridMultilevel"/>
    <w:lvl w:ilvl="0">
      <w:lvlJc w:val="left"/>
      <w:lvlText w:val="(%1)"/>
      <w:numFmt w:val="decimal"/>
      <w:start w:val="9"/>
    </w:lvl>
  </w:abstractNum>
  <w:abstractNum w:abstractNumId="35">
    <w:nsid w:val="57E4CCAF"/>
    <w:multiLevelType w:val="hybridMultilevel"/>
    <w:lvl w:ilvl="0">
      <w:lvlJc w:val="left"/>
      <w:lvlText w:val="(%1)"/>
      <w:numFmt w:val="decimal"/>
      <w:start w:val="10"/>
    </w:lvl>
  </w:abstractNum>
  <w:abstractNum w:abstractNumId="36">
    <w:nsid w:val="7A6D8D3C"/>
    <w:multiLevelType w:val="hybridMultilevel"/>
    <w:lvl w:ilvl="0">
      <w:lvlJc w:val="left"/>
      <w:lvlText w:val="(%1)"/>
      <w:numFmt w:val="decimal"/>
      <w:start w:val="11"/>
    </w:lvl>
  </w:abstractNum>
  <w:abstractNum w:abstractNumId="37">
    <w:nsid w:val="4B588F54"/>
    <w:multiLevelType w:val="hybridMultilevel"/>
    <w:lvl w:ilvl="0">
      <w:lvlJc w:val="left"/>
      <w:lvlText w:val="(%1)"/>
      <w:numFmt w:val="decimal"/>
      <w:start w:val="13"/>
    </w:lvl>
    <w:lvl w:ilvl="1">
      <w:lvlJc w:val="left"/>
      <w:lvlText w:val="(%2)"/>
      <w:numFmt w:val="lowerLetter"/>
      <w:start w:val="1"/>
    </w:lvl>
  </w:abstractNum>
  <w:abstractNum w:abstractNumId="38">
    <w:nsid w:val="542289EC"/>
    <w:multiLevelType w:val="hybridMultilevel"/>
    <w:lvl w:ilvl="0">
      <w:lvlJc w:val="left"/>
      <w:lvlText w:val="(%1)"/>
      <w:numFmt w:val="decimal"/>
      <w:start w:val="15"/>
    </w:lvl>
  </w:abstractNum>
  <w:abstractNum w:abstractNumId="39">
    <w:nsid w:val="6DE91B18"/>
    <w:multiLevelType w:val="hybridMultilevel"/>
    <w:lvl w:ilvl="0">
      <w:lvlJc w:val="left"/>
      <w:lvlText w:val="%1."/>
      <w:numFmt w:val="upp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5"/>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1."/>
      <w:numFmt w:val="decimal"/>
      <w:start w:val="4"/>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2019-12-07T13:49:57Z</dcterms:created>
  <dcterms:modified xsi:type="dcterms:W3CDTF">2019-12-07T13:49:57Z</dcterms:modified>
</cp:coreProperties>
</file>