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5" w:lineRule="exact"/>
        <w:rPr>
          <w:sz w:val="24"/>
          <w:szCs w:val="24"/>
          <w:color w:val="auto"/>
        </w:rPr>
      </w:pPr>
    </w:p>
    <w:p>
      <w:pPr>
        <w:ind w:right="1120" w:firstLine="494"/>
        <w:spacing w:after="0" w:line="501" w:lineRule="auto"/>
        <w:tabs>
          <w:tab w:leader="none" w:pos="113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2016</w:t>
      </w: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1140" w:hanging="646"/>
        <w:spacing w:after="0"/>
        <w:tabs>
          <w:tab w:leader="none" w:pos="11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50" w:right="239" w:bottom="1440" w:gutter="0" w:footer="0" w:header="0"/>
        </w:sectPr>
      </w:pPr>
    </w:p>
    <w:p>
      <w:pPr>
        <w:spacing w:after="0" w:line="25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450"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50" w:right="239" w:bottom="1440" w:gutter="0" w:footer="0" w:header="0"/>
          <w:type w:val="continuous"/>
        </w:sectPr>
      </w:pPr>
    </w:p>
    <w:p>
      <w:pPr>
        <w:spacing w:after="0" w:line="168" w:lineRule="exact"/>
        <w:rPr>
          <w:sz w:val="24"/>
          <w:szCs w:val="24"/>
          <w:color w:val="auto"/>
        </w:rPr>
      </w:pPr>
    </w:p>
    <w:p>
      <w:pPr>
        <w:ind w:left="4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jc w:val="center"/>
        <w:spacing w:after="0" w:line="232"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680" w:lineRule="exact"/>
        <w:rPr>
          <w:sz w:val="24"/>
          <w:szCs w:val="24"/>
          <w:color w:val="auto"/>
        </w:rPr>
      </w:pPr>
    </w:p>
    <w:p>
      <w:pPr>
        <w:sectPr>
          <w:pgSz w:w="11900" w:h="16838" w:orient="portrait"/>
          <w:cols w:equalWidth="0" w:num="4">
            <w:col w:w="2720" w:space="720"/>
            <w:col w:w="1640" w:space="720"/>
            <w:col w:w="2580" w:space="560"/>
            <w:col w:w="2480"/>
          </w:cols>
          <w:pgMar w:left="240" w:top="450"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29, 2016, the number of outstanding shares of common stock of the registrant was 1,936,801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JANUARY 31,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6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Balance Sheets as of January 31, 2016 and April 30, 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Operations for the Three and Nine Months Ended January 31, 2016 and 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Comprehensive Loss for the Three and Nine Months Ended January 31, 2016 and 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Stockholders' Equity for the Nine Months Ended January 31, 2016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Consolidated Statements of Cash Flows for the Nine Months Ended January 31, 2016 and 2015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 Controls and Procedures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 Legal Proceedings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 Risk Factors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 Defaults Upon Senior Securities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 Mine Safety Disclosures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 Other Information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6. Exhibits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2015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40" w:type="dxa"/>
            <w:vAlign w:val="bottom"/>
          </w:tcPr>
          <w:p>
            <w:pPr>
              <w:jc w:val="center"/>
              <w:ind w:left="317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140" w:type="dxa"/>
            <w:vAlign w:val="bottom"/>
          </w:tcPr>
          <w:p>
            <w:pPr>
              <w:jc w:val="center"/>
              <w:ind w:left="31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140" w:type="dxa"/>
            <w:vAlign w:val="bottom"/>
          </w:tcPr>
          <w:p>
            <w:pPr>
              <w:jc w:val="center"/>
              <w:ind w:left="317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6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4"/>
              </w:rPr>
              <w:t>January 31, 2016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April 30, 2015</w:t>
            </w: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9,413,258</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17,335,734</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377,101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438,561</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14,534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103,470</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37,465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81,658</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214,828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186,641</w:t>
            </w: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10,107,186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18,221,064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206,580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263,898</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295,912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335,924</w:t>
            </w:r>
          </w:p>
        </w:tc>
      </w:tr>
      <w:tr>
        <w:trPr>
          <w:trHeight w:val="250"/>
        </w:trPr>
        <w:tc>
          <w:tcPr>
            <w:tcW w:w="20" w:type="dxa"/>
            <w:vAlign w:val="bottom"/>
          </w:tcPr>
          <w:p>
            <w:pPr>
              <w:spacing w:after="0"/>
              <w:rPr>
                <w:sz w:val="21"/>
                <w:szCs w:val="21"/>
                <w:color w:val="auto"/>
              </w:rPr>
            </w:pPr>
          </w:p>
        </w:tc>
        <w:tc>
          <w:tcPr>
            <w:tcW w:w="81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10,609,678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18,870,886</w:t>
            </w:r>
          </w:p>
        </w:tc>
        <w:tc>
          <w:tcPr>
            <w:tcW w:w="100" w:type="dxa"/>
            <w:vAlign w:val="bottom"/>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8140" w:type="dxa"/>
            <w:vAlign w:val="bottom"/>
            <w:tcBorders>
              <w:top w:val="single" w:sz="8" w:color="CCEEFF"/>
            </w:tcBorders>
          </w:tcPr>
          <w:p>
            <w:pPr>
              <w:ind w:left="206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451,446</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352,827</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2,718,518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2,507,119</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3,244,964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2,959,946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96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3,844,964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3,609,946</w:t>
            </w:r>
          </w:p>
        </w:tc>
      </w:tr>
      <w:tr>
        <w:trPr>
          <w:trHeight w:val="210"/>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Ocean Power Technologies, Inc. 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140" w:type="dxa"/>
            <w:vAlign w:val="bottom"/>
          </w:tcPr>
          <w:p>
            <w:pPr>
              <w:ind w:left="160"/>
              <w:spacing w:after="0" w:line="201" w:lineRule="exact"/>
              <w:rPr>
                <w:sz w:val="20"/>
                <w:szCs w:val="20"/>
                <w:color w:val="auto"/>
              </w:rPr>
            </w:pPr>
            <w:r>
              <w:rPr>
                <w:rFonts w:ascii="Arial" w:cs="Arial" w:eastAsia="Arial" w:hAnsi="Arial"/>
                <w:sz w:val="18"/>
                <w:szCs w:val="18"/>
                <w:color w:val="auto"/>
                <w:w w:val="94"/>
              </w:rPr>
              <w:t>Common stock, $0.001 par value; 50,000,000 shares authorized as of January 31, 2016, and 105,000,000</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shares authorized as of April 30, 2015; issued 1,924,234 and 1,838,720 shares, respectively</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5,705 and 3,866 shares, respectively</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(135,938)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(132,016)</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180,951,755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180,803,339</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(173,901,826)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(164,755,055)</w:t>
            </w:r>
          </w:p>
        </w:tc>
      </w:tr>
      <w:tr>
        <w:trPr>
          <w:trHeight w:val="216"/>
        </w:trPr>
        <w:tc>
          <w:tcPr>
            <w:tcW w:w="20" w:type="dxa"/>
            <w:vAlign w:val="bottom"/>
          </w:tcPr>
          <w:p>
            <w:pPr>
              <w:spacing w:after="0"/>
              <w:rPr>
                <w:sz w:val="18"/>
                <w:szCs w:val="18"/>
                <w:color w:val="auto"/>
              </w:rPr>
            </w:pPr>
          </w:p>
        </w:tc>
        <w:tc>
          <w:tcPr>
            <w:tcW w:w="81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(151,201)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(229,915)</w:t>
            </w: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Total Ocean Power Technologies, Inc.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6,764,714</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15,688,192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8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(427,252)</w:t>
            </w:r>
          </w:p>
        </w:tc>
      </w:tr>
      <w:tr>
        <w:trPr>
          <w:trHeight w:val="210"/>
        </w:trPr>
        <w:tc>
          <w:tcPr>
            <w:tcW w:w="20" w:type="dxa"/>
            <w:vAlign w:val="bottom"/>
          </w:tcPr>
          <w:p>
            <w:pPr>
              <w:spacing w:after="0"/>
              <w:rPr>
                <w:sz w:val="18"/>
                <w:szCs w:val="18"/>
                <w:color w:val="auto"/>
              </w:rPr>
            </w:pPr>
          </w:p>
        </w:tc>
        <w:tc>
          <w:tcPr>
            <w:tcW w:w="8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6,764,714</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15,260,940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9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10,609,678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18,870,886</w:t>
            </w: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January</w:t>
            </w:r>
          </w:p>
        </w:tc>
        <w:tc>
          <w:tcPr>
            <w:tcW w:w="120" w:type="dxa"/>
            <w:vAlign w:val="bottom"/>
          </w:tcPr>
          <w:p>
            <w:pPr>
              <w:spacing w:after="0"/>
              <w:rPr>
                <w:sz w:val="18"/>
                <w:szCs w:val="18"/>
                <w:color w:val="auto"/>
              </w:rPr>
            </w:pPr>
          </w:p>
        </w:tc>
        <w:tc>
          <w:tcPr>
            <w:tcW w:w="24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Nine Months Ended January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379,106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605,281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4,344,346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loss</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(50,595)</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1,752,001</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1,082,628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5,412,445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1,690,420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1,956,702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5,419,358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7,788,552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3,442,421</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3,039,330</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10,831,803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10,015,612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(3,442,421)</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(3,089,925)</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(10,831,803)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(10,743,131)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(3,114)</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239,813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(188,424)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(246,002)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(194,266)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(467,909)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(3,632,831)</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(3,329,134)</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(10,776,293)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(11,074,443)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1,674,862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1,137,872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1,674,862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1,137,872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(1,957,969)</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(2,191,262)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(9,101,431)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(9,936,571)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Less: Net (profit) loss attributable to the noncontrolling interest in Ocean Power</w:t>
            </w: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2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(45,340)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98,154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Technologies (Australasia) Pty Ltd.</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(1,957,969)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(2,185,971)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(9,146,771)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(9,838,417)</w:t>
            </w:r>
          </w:p>
        </w:tc>
        <w:tc>
          <w:tcPr>
            <w:tcW w:w="0" w:type="dxa"/>
            <w:vAlign w:val="bottom"/>
          </w:tcPr>
          <w:p>
            <w:pPr>
              <w:spacing w:after="0"/>
              <w:rPr>
                <w:sz w:val="1"/>
                <w:szCs w:val="1"/>
                <w:color w:val="auto"/>
              </w:rPr>
            </w:pPr>
          </w:p>
        </w:tc>
      </w:tr>
      <w:tr>
        <w:trPr>
          <w:trHeight w:val="20"/>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gridSpan w:val="2"/>
          </w:tcPr>
          <w:p>
            <w:pPr>
              <w:spacing w:after="0" w:line="196" w:lineRule="exact"/>
              <w:rPr>
                <w:sz w:val="20"/>
                <w:szCs w:val="20"/>
                <w:color w:val="auto"/>
              </w:rPr>
            </w:pPr>
            <w:r>
              <w:rPr>
                <w:rFonts w:ascii="Arial" w:cs="Arial" w:eastAsia="Arial" w:hAnsi="Arial"/>
                <w:sz w:val="18"/>
                <w:szCs w:val="18"/>
                <w:color w:val="auto"/>
                <w:w w:val="95"/>
              </w:rPr>
              <w:t>Weighted average shares used to compute basic and diluted net loss per share</w:t>
            </w:r>
          </w:p>
        </w:tc>
        <w:tc>
          <w:tcPr>
            <w:tcW w:w="10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1,865,464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1,750,827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1,803,559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1,748,484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January</w:t>
            </w:r>
          </w:p>
        </w:tc>
        <w:tc>
          <w:tcPr>
            <w:tcW w:w="120" w:type="dxa"/>
            <w:vAlign w:val="bottom"/>
          </w:tcPr>
          <w:p>
            <w:pPr>
              <w:spacing w:after="0"/>
              <w:rPr>
                <w:sz w:val="18"/>
                <w:szCs w:val="18"/>
                <w:color w:val="auto"/>
              </w:rPr>
            </w:pPr>
          </w:p>
        </w:tc>
        <w:tc>
          <w:tcPr>
            <w:tcW w:w="24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Nine Months Ended January</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(1,957,969)</w:t>
            </w: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(2,191,262)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(9,101,431)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(9,936,571)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151,496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64,414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106,038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130,426</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(1,806,473)</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(2,126,848)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(8,995,393)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(9,806,145)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Comprehensive (income) loss attributable to the noncontrolling interest in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(44,564)</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(72,664)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25,490</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Ocean Power Technologies (Australasia) Pty Ltd.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Ocean Power Technologies, Inc.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(1,806,473)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(2,171,412)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(9,068,057)</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(9,780,655)</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2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rPr>
              <w:t>Common Shares</w:t>
            </w:r>
          </w:p>
        </w:tc>
        <w:tc>
          <w:tcPr>
            <w:tcW w:w="1900" w:type="dxa"/>
            <w:vAlign w:val="bottom"/>
            <w:gridSpan w:val="5"/>
            <w:vMerge w:val="restart"/>
          </w:tcPr>
          <w:p>
            <w:pPr>
              <w:jc w:val="right"/>
              <w:ind w:right="420"/>
              <w:spacing w:after="0"/>
              <w:rPr>
                <w:sz w:val="20"/>
                <w:szCs w:val="20"/>
                <w:color w:val="auto"/>
              </w:rPr>
            </w:pPr>
            <w:r>
              <w:rPr>
                <w:rFonts w:ascii="Arial" w:cs="Arial" w:eastAsia="Arial" w:hAnsi="Arial"/>
                <w:sz w:val="18"/>
                <w:szCs w:val="18"/>
                <w:b w:val="1"/>
                <w:bCs w:val="1"/>
                <w:color w:val="auto"/>
              </w:rPr>
              <w:t>Treasury Shares</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Additional</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20" w:type="dxa"/>
            <w:vAlign w:val="bottom"/>
            <w:gridSpan w:val="5"/>
            <w:vMerge w:val="continue"/>
          </w:tcPr>
          <w:p>
            <w:pPr>
              <w:spacing w:after="0"/>
              <w:rPr>
                <w:sz w:val="19"/>
                <w:szCs w:val="19"/>
                <w:color w:val="auto"/>
              </w:rPr>
            </w:pPr>
          </w:p>
        </w:tc>
        <w:tc>
          <w:tcPr>
            <w:tcW w:w="1900" w:type="dxa"/>
            <w:vAlign w:val="bottom"/>
            <w:gridSpan w:val="5"/>
            <w:vMerge w:val="continue"/>
          </w:tcPr>
          <w:p>
            <w:pPr>
              <w:spacing w:after="0"/>
              <w:rPr>
                <w:sz w:val="19"/>
                <w:szCs w:val="19"/>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Paid-In</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Accumulated</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Comprehensive</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Noncontrolling</w:t>
            </w:r>
          </w:p>
        </w:tc>
        <w:tc>
          <w:tcPr>
            <w:tcW w:w="100" w:type="dxa"/>
            <w:vAlign w:val="bottom"/>
          </w:tcPr>
          <w:p>
            <w:pPr>
              <w:spacing w:after="0"/>
              <w:rPr>
                <w:sz w:val="19"/>
                <w:szCs w:val="19"/>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Interest</w:t>
            </w: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Shares</w:t>
            </w:r>
          </w:p>
        </w:tc>
        <w:tc>
          <w:tcPr>
            <w:tcW w:w="920" w:type="dxa"/>
            <w:vAlign w:val="bottom"/>
            <w:gridSpan w:val="3"/>
            <w:vMerge w:val="restart"/>
          </w:tcPr>
          <w:p>
            <w:pPr>
              <w:jc w:val="right"/>
              <w:ind w:right="240"/>
              <w:spacing w:after="0"/>
              <w:rPr>
                <w:sz w:val="20"/>
                <w:szCs w:val="20"/>
                <w:color w:val="auto"/>
              </w:rPr>
            </w:pPr>
            <w:r>
              <w:rPr>
                <w:rFonts w:ascii="Arial" w:cs="Arial" w:eastAsia="Arial" w:hAnsi="Arial"/>
                <w:sz w:val="18"/>
                <w:szCs w:val="18"/>
                <w:b w:val="1"/>
                <w:bCs w:val="1"/>
                <w:color w:val="auto"/>
                <w:w w:val="97"/>
              </w:rPr>
              <w:t>Amount</w:t>
            </w: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1"/>
              </w:rPr>
              <w:t>Amount</w:t>
            </w: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3"/>
              </w:rPr>
              <w:t>Capital</w:t>
            </w:r>
          </w:p>
        </w:tc>
        <w:tc>
          <w:tcPr>
            <w:tcW w:w="126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0"/>
                <w:szCs w:val="10"/>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30, 2015</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18,387,769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18,388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(132,016)</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$ 180,786,790</w:t>
            </w:r>
          </w:p>
        </w:tc>
        <w:tc>
          <w:tcPr>
            <w:tcW w:w="180" w:type="dxa"/>
            <w:vAlign w:val="bottom"/>
            <w:tcBorders>
              <w:right w:val="single" w:sz="8" w:color="CCEEFF"/>
            </w:tcBorders>
            <w:shd w:val="clear" w:color="auto" w:fill="CCEEFF"/>
          </w:tcPr>
          <w:p>
            <w:pPr>
              <w:spacing w:after="0"/>
              <w:rPr>
                <w:sz w:val="20"/>
                <w:szCs w:val="20"/>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(164,755,055)</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(229,915)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(427,252)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15,260,940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Reverse stock</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split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(16,549,049)</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(16,549)</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34,792</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16,549</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(9,146,771)</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(9,101,431)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comprehensive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78,714</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27,324</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compensation</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127,243</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Sale of Common</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Stock,net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96,524</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204,826</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(forfeiture) of</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net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(11,010)</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170,935</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treasury stock</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(3,922)</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(354,588)</w:t>
            </w:r>
          </w:p>
        </w:tc>
        <w:tc>
          <w:tcPr>
            <w:tcW w:w="12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354,588</w:t>
            </w:r>
          </w:p>
        </w:tc>
        <w:tc>
          <w:tcPr>
            <w:tcW w:w="100" w:type="dxa"/>
            <w:vAlign w:val="bottom"/>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180" w:type="dxa"/>
            <w:vAlign w:val="bottom"/>
            <w:tcBorders>
              <w:right w:val="single" w:sz="8" w:color="CCEEFF"/>
            </w:tcBorders>
            <w:gridSpan w:val="2"/>
            <w:vMerge w:val="continue"/>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Balance, January</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1,924,234</w:t>
            </w:r>
          </w:p>
        </w:tc>
        <w:tc>
          <w:tcPr>
            <w:tcW w:w="16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1,924</w:t>
            </w:r>
          </w:p>
        </w:tc>
        <w:tc>
          <w:tcPr>
            <w:tcW w:w="9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(5,705)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(135,938)</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180,951,755</w:t>
            </w:r>
          </w:p>
        </w:tc>
        <w:tc>
          <w:tcPr>
            <w:tcW w:w="180" w:type="dxa"/>
            <w:vAlign w:val="bottom"/>
            <w:tcBorders>
              <w:right w:val="single" w:sz="8" w:color="CCEEFF"/>
            </w:tcBorders>
            <w:shd w:val="clear" w:color="auto" w:fill="CCEEFF"/>
          </w:tcPr>
          <w:p>
            <w:pPr>
              <w:spacing w:after="0"/>
              <w:rPr>
                <w:sz w:val="17"/>
                <w:szCs w:val="17"/>
                <w:color w:val="auto"/>
              </w:rPr>
            </w:pPr>
          </w:p>
        </w:tc>
        <w:tc>
          <w:tcPr>
            <w:tcW w:w="12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88"/>
              </w:rPr>
              <w:t>$ (173,901,826)</w:t>
            </w:r>
          </w:p>
        </w:tc>
        <w:tc>
          <w:tcPr>
            <w:tcW w:w="220" w:type="dxa"/>
            <w:vAlign w:val="bottom"/>
            <w:vMerge w:val="restart"/>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(151,201)</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6,764,714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31, 2016</w:t>
            </w:r>
          </w:p>
        </w:tc>
        <w:tc>
          <w:tcPr>
            <w:tcW w:w="9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6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4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Nine Months Ended January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(9,101,431)</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(9,936,571)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Foreign exchange loss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194,266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467,909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83,874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Loss on disposals of property, plant and equipment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Compensation expense related to stock option grants &amp; restricted stock</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88,936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color w:val="auto"/>
              </w:rPr>
              <w:t>Unbilled receivables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44,193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(151,855)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Other current assets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color w:val="auto"/>
              </w:rPr>
              <w:t>Other noncurrent assets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26,560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color w:val="auto"/>
              </w:rPr>
              <w:t>Accrued expenses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221,373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(435,950)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Return of advanced payment to ARENA</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(4,709,055)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color w:val="auto"/>
              </w:rPr>
              <w:t>Unearned revenues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(992,447)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(8,076,021)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(14,751,624)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marketable securities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Maturities of marketable securities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28,240,840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6,787,329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Purchases of equipment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(23,524)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Net cash provided by investing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112,936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21,176,744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sale of common stock,net of issuance costs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Repayment of debt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treasury stock</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1120"/>
              <w:spacing w:after="0"/>
              <w:rPr>
                <w:sz w:val="20"/>
                <w:szCs w:val="20"/>
                <w:color w:val="auto"/>
              </w:rPr>
            </w:pPr>
            <w:r>
              <w:rPr>
                <w:rFonts w:ascii="Arial" w:cs="Arial" w:eastAsia="Arial" w:hAnsi="Arial"/>
                <w:sz w:val="18"/>
                <w:szCs w:val="18"/>
                <w:color w:val="auto"/>
              </w:rPr>
              <w:t>Net cash provided by (used in) financing activities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126,001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(75,659)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1120"/>
              <w:spacing w:after="0"/>
              <w:rPr>
                <w:sz w:val="20"/>
                <w:szCs w:val="20"/>
                <w:color w:val="auto"/>
              </w:rPr>
            </w:pPr>
            <w:r>
              <w:rPr>
                <w:rFonts w:ascii="Arial" w:cs="Arial" w:eastAsia="Arial" w:hAnsi="Arial"/>
                <w:sz w:val="18"/>
                <w:szCs w:val="18"/>
                <w:color w:val="auto"/>
              </w:rPr>
              <w:t>Net change in cash and cash equivalents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(7,922,476)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6,010,247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17,335,734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13,858,659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9,413,258</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19,868,906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w w:val="95"/>
              </w:rPr>
              <w:t>Capitalized purchases of equipment financed through accounts payable and accrued expenses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3,039</w:t>
            </w:r>
          </w:p>
        </w:tc>
        <w:tc>
          <w:tcPr>
            <w:tcW w:w="1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20" w:hanging="250"/>
        <w:spacing w:after="0"/>
        <w:tabs>
          <w:tab w:leader="none" w:pos="42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Basis of Presentation and Liquidity</w:t>
      </w:r>
    </w:p>
    <w:p>
      <w:pPr>
        <w:spacing w:after="0" w:line="229"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is developing and is seeking to commercialize proprietary systems that generate electricity by harnessing the renewable energy of ocean waves. The Company markets its PowerBuoys in the United States and internationally. Since fiscal 2002, government agencies have accounted for a significant portion of the Company’s revenues. These revenues were largely for the support of product development efforts. The Company’s goal is to develop a commercially viable product and to generate revenues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2015 filed with the Securities and Exchange Commission (“SEC”) and elsewhere in this Form 10-Q.</w:t>
      </w:r>
    </w:p>
    <w:p>
      <w:pPr>
        <w:spacing w:after="0" w:line="1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incurred net losses and negative operating cash flows since inception. As of January 31, 2016, the Company had an accumulated deficit of $173.9 million. As of January 31, 2016, the Company’s cash and cash equivalents and marketable securities balance was approximately $9.5 million. Based upon the Company’s cash and cash equivalents and marketable securities balance as of January 31, 2016, the Company believes that it will be able to finance its capital requirements and operations into the quarter ending October 31, 2016. In addition, as of January 31, 2016, the Company’s restricted cash balance was approximately $0.4 million. The Company will require additional equity and/or debt financing to continue its operations as a going concern. If the Company is unable to raise additional funds when needed, its ability to operate and grow its business could be impaired. The Company cannot assure that it will be able to secure additional funding when needed or at all, or, if secured, that such funding on favorable terms.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continues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 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its operations.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2013, the Company filed a shelf registration statement on Form S-3 (the “2013 Form S-3” or the “2013 Form S-3 Shelf”). The 2013 Form S-3 Shelf was declared effective by the SEC in February 2013. Under the 2013 Form S-3 Shelf in June 2013, the Company established an At the Market Offering Facility (the “ATM Facility”) with Ascendiant Capital Markets, LLC (“Ascendiant”) via an At the Market Offering Agreement (the “ATM Agreement”). Under the ATM Agreement, the Company offered and sold shares of its common stock, par value $0.001 per share (the “Common Stock”) from time to time through Ascendiant, acting as sales agent, in ordinary brokerage transactions at prevailing market prices. Under the ATM Facility, during fiscal 2014, the Company issued 330,633 shares of its Common Stock at an average price to the public of $30.20 per share, receiving net proceeds from the ATM Facility of approximately $9,698,000.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487680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Also in fiscal 2014, the Company entered into an Underwriting Agreement with Roth Capital Partners, LLC on April 4, 2014, (the “Underwriting Agreement”) with respect to the issuance and sale in an underwritten public offering of an aggregate of 380,000 shares of its Common Stock at a price of $31.00 per share (the “Public Offering”) under the 2013 Form S-3. The Underwriting Agreement contained customary representations, warranties and agreements by the Company, customary conditions to closing, indemnification obligations, and a 90-day lock-up period that limited transactions in its Common Stock by the Company. Net proceeds from the Public Offering, which was completed in early April 2014, were approximately $10,828,000.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we did not sell any securities under or receive any proceeds from the sale of securities under the 2013 Form S-3 Shelf.</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the Company entered into an At the Market Offering Agreement (the “Offering Agreement”) with Rodman &amp; Renshaw, a unit of H. C. Wainwright &amp; Co., LLC (the “Manager”) under which the Company may offer and sell shares of its Common Stock, having an aggregate offering price of up to $2,906,836 from time to time through or to the Manager, acting as sales agent and/or principal, in reliance on and subject to the limitations of General Instruction I.B.6 of Form S-3 and other applicable laws and regulations (the “2015 ATM Offering”). Under the Offering Agreement, during the quarter ended January 31, 2016, we sold 95,024 shares of Common Stock at an average price of $2.13 per share, for net proceeds to the Company of approximately $199,000 and we paid the Manager a sales commission of approximately $3,000 related to those shares. The Company has no obligation to sell shares of Common Stock under the Offering Agreement and may at any time upon notice terminate the Offering Agreement.</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Form S-3 limits the aggregate market value of securities that the Company is permitted to offer in any 12-month period under its 2013 Form S-3 Shelf, whether under the ATM Agreement, the Underwriting Agreement or otherwise, to one-third of its public float. In 2014, the Company fully utilized its available transaction capacity to sell securities using the 2013 Form S-3 Shelf in the ATM offering. However, the Company regained the ability to utilize the 2013 Form S-3 Shelf as we entered fiscal 2016. Under the SEC’s regulations, the securities registered under its 2013 Form S-3 Shelf may only be offered and sold if not more than three years have elapsed from the initial effective date of the Form S-3, except that if a new shelf registration statement is filed then the Company is permitted to continue to offer and sell securities under the Form S-3 until the earlier of the effective date of the new shelf registration statement or 180 days after the third anniversary of the initial effective date. On February 12, 2016, the Company filed a new Form S-3 shelf registration statement (the “2016 Form S-3” or the “2016 Form S-3 Shelf”) to register the offering and sale of up to $15 million in securities. The 2016 Form S-3 registration statement has not yet been declared effective by the SEC. Subject to compliance with applicable laws and regulations, the Company may continue to offer and sell shares of its Common Stock in the 2015 ATM offering with the Manager under the Offering Agreement until the earlier of August 10, 2016 or the date on which the SEC declares effective the 2016 Form S-3.</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Offering Agreement with the Manager, the Company may offer and sell up to $2,906,836 of its Common Stock in the 2015 ATM Offering. However, pursuant to General Instruction I.B.6 of Form S-3, at the time of filing the 2016 Form S-3, the Company was able to offer and sell only $1,597,102 of its common stock under the 2016 Form S-3, and, as of the date of that filing, the Company had already offered and sold $251,603 in value of its common stock under the Offering Agreement. Thus, under the 2016 Form S-3, the Company is seeking to register the offering and sale of up to $1,345,499 in value of its Common Stock for sale in the 2015 ATM Offering pursuant to the Offering Agreement, which securities are included in the $15 million of securities the Company is seeking to register for offer and sale on the 2016 Form S-3.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sale of additional equity or convertible securities could result in dilution to the Company’s stockholders. If additional funds are raised through the issuance of debt securities or preferred stock, these securities could have rights senior to those associated with the Company’s Common Stock and could contain covenants that would restrict its operations. Financing may not be available in amounts or on terms acceptable to it, or at all. If the Company is unable to obtain financing when required, it may be required to reduce the scope of its operations, current projects, planned product development and marketing efforts, and/or selling, general and administrative activities which could materially and adversely affect the Company’s future opportunities, financial condition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Reverse Stock Split</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the annual meeting of stockholders on October 22, 2015, the Company’s stockholders approved a proposal to amend the Certificate of Incorporation of the Company to effect a reverse split of its Common Stock, at a ratio to be determined by the Company’s Board of Directors within a specific range and a reduction in the authorized number of shares of its Common Stock. On October 27, 2015, the Company filed a Certificate of Amendment to its Certificate of Incorporation to effect a one-for-10 reverse stock split of its Common Stock and to decrease the number of authorized shares of its Common Stock to 50,000,000 shares (the “Reverse Stock Split”). As a result of the Reverse Stock Split, as of the effective date of the Reverse Stock Split, every 10 shares of issued and outstanding Common Stock were combined into one issued and outstanding share of Common Stock, without any change in the par value per</w:t>
      </w:r>
    </w:p>
    <w:p>
      <w:pPr>
        <w:spacing w:after="0" w:line="5"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 xml:space="preserve">share. No fractional shares were issued in connection with the </w:t>
      </w:r>
      <w:r>
        <w:rPr>
          <w:rFonts w:ascii="Arial" w:cs="Arial" w:eastAsia="Arial" w:hAnsi="Arial"/>
          <w:sz w:val="20"/>
          <w:szCs w:val="20"/>
          <w:color w:val="auto"/>
        </w:rPr>
        <w:t>Reverse Stock Split. Total cash payments made by the Company to</w:t>
      </w:r>
      <w:r>
        <w:rPr>
          <w:rFonts w:ascii="Arial" w:cs="Arial" w:eastAsia="Arial" w:hAnsi="Arial"/>
          <w:sz w:val="17"/>
          <w:szCs w:val="17"/>
          <w:color w:val="auto"/>
        </w:rPr>
        <w:t xml:space="preserve"> </w:t>
      </w:r>
      <w:r>
        <w:rPr>
          <w:rFonts w:ascii="Arial" w:cs="Arial" w:eastAsia="Arial" w:hAnsi="Arial"/>
          <w:sz w:val="20"/>
          <w:szCs w:val="20"/>
          <w:color w:val="auto"/>
        </w:rPr>
        <w:t>stockholders in lieu of fractional shares were not material. The Common Stock began trading on a reverse stock split-adjusted basis on the NASDAQ Stock Market (“NASDAQ”) on October 29, 2015. On November 12, 2015, NASDAQ notified the Company that its Common Stock had regained compliance with the NASDAQ listed company closing bid price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466090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All share and per share data included in this report has been retroactively restated to reflect the Reverse Stock Split.</w:t>
      </w:r>
    </w:p>
    <w:p>
      <w:pPr>
        <w:spacing w:after="0" w:line="221" w:lineRule="exact"/>
        <w:rPr>
          <w:sz w:val="20"/>
          <w:szCs w:val="20"/>
          <w:color w:val="auto"/>
        </w:rPr>
      </w:pPr>
    </w:p>
    <w:p>
      <w:pPr>
        <w:ind w:left="420" w:hanging="250"/>
        <w:spacing w:after="0"/>
        <w:tabs>
          <w:tab w:leader="none" w:pos="42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January 31, 2016, there were no non-controlling interests.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2015, the Company re-purchased the non-controlling interest (consisting of 11.8%) of the Company's Australian subsidiary, Ocean Power Technologies (Australasia) Pty. Ltd. (“OPTA”) for nominal consideration and now has 100% ownership of OPTA. OPTA owns 100% of Victorian Wave Partners Pty. Ltd. (“VWP”), which is also organized under the laws of Australia. The Company also periodically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January 31, 2016, there were no such entities.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legal costs associated with shareholder litigation and SEC subpoena; recoverability of the carrying amount of property and equipment; valuation allowances for receivables and deferred income tax assets; estimated costs to complete projects; and percentage of completion of customer contracts for purposes of revenue recognition. Actual results may differ from those estimates.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cost-plus or fixed-price contracts. Under cost-plus contracts, customers are billed for actual expenses incurred plus an agreed-upon fee. Currently, the Company has two types of fixed-price contracts, firm fixed-price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24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 xml:space="preserve">Unbilled receivables represent expenditures on contracts, plus applicable profit margin, not yet billed. Unbilled receivables are normally </w:t>
      </w:r>
      <w:r>
        <w:rPr>
          <w:rFonts w:ascii="Arial" w:cs="Arial" w:eastAsia="Arial" w:hAnsi="Arial"/>
          <w:sz w:val="20"/>
          <w:szCs w:val="20"/>
          <w:color w:val="auto"/>
        </w:rPr>
        <w:t>billed and</w:t>
      </w:r>
      <w:r>
        <w:rPr>
          <w:rFonts w:ascii="Arial" w:cs="Arial" w:eastAsia="Arial" w:hAnsi="Arial"/>
          <w:sz w:val="17"/>
          <w:szCs w:val="17"/>
          <w:color w:val="auto"/>
        </w:rPr>
        <w:t xml:space="preserve"> </w:t>
      </w:r>
      <w:r>
        <w:rPr>
          <w:rFonts w:ascii="Arial" w:cs="Arial" w:eastAsia="Arial" w:hAnsi="Arial"/>
          <w:sz w:val="20"/>
          <w:szCs w:val="20"/>
          <w:color w:val="auto"/>
        </w:rPr>
        <w:t>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Some of the Company’s projects are under cost-sharing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remains sufficient to protect the Company in the event of default by the bank by requiring that the underlying securities have a total market value of at least 100% of the bank’s total obligations under the agreement.</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January 31, 2016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April 30, 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Checking and money market accounts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4,697,646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4,715,612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12,721,334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9,413,258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17,335,734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January 31, 2016 and April 30, 2015, all of the Company’s investments were classified as held-to-maturity.</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carries a fee of 1% per annum of the amount of any such obligations issued by Barclays Bank. The credit facility does not have an expiration date, but is cancelable at the discretion of the bank. As of January 31, 2016, there was €278,828 ($301,915) in letters of credit outstanding under this agreement.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of which $75,000 is outstanding at January 31, 2016. Under this arrangement, the Company annually assigns to the NJBPU a certificate of deposit in an amount equal to the outstanding grant balance. See Note 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previously had a letter of credit outstanding for the benefit of the Oregon Department of State Lands for the removal of certain of the Company’s anchoring and mooring equipment from the seabed off the coast of Oregon. During fiscal 2015, the Company completed the removal activity and reduced the letters of credit from $1,200,000 to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gridSpan w:val="3"/>
          </w:tcPr>
          <w:p>
            <w:pPr>
              <w:spacing w:after="0"/>
              <w:rPr>
                <w:sz w:val="20"/>
                <w:szCs w:val="20"/>
                <w:color w:val="auto"/>
              </w:rPr>
            </w:pPr>
            <w:r>
              <w:rPr>
                <w:rFonts w:ascii="Arial" w:cs="Arial" w:eastAsia="Arial" w:hAnsi="Arial"/>
                <w:sz w:val="18"/>
                <w:szCs w:val="18"/>
                <w:color w:val="auto"/>
              </w:rPr>
              <w:t>Restricted cash includes the following:</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 2016</w:t>
            </w:r>
          </w:p>
        </w:tc>
        <w:tc>
          <w:tcPr>
            <w:tcW w:w="160" w:type="dxa"/>
            <w:vAlign w:val="bottom"/>
          </w:tcPr>
          <w:p>
            <w:pPr>
              <w:spacing w:after="0"/>
              <w:rPr>
                <w:sz w:val="24"/>
                <w:szCs w:val="24"/>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April 30, 2015</w:t>
            </w:r>
          </w:p>
        </w:tc>
        <w:tc>
          <w:tcPr>
            <w:tcW w:w="10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6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9"/>
              </w:rPr>
              <w:t>Current:</w:t>
            </w:r>
          </w:p>
        </w:tc>
        <w:tc>
          <w:tcPr>
            <w:tcW w:w="6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338,561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377,101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438,561</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January 31, 2016</w:t>
            </w:r>
          </w:p>
        </w:tc>
        <w:tc>
          <w:tcPr>
            <w:tcW w:w="16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April 30, 2015</w:t>
            </w:r>
          </w:p>
        </w:tc>
      </w:tr>
      <w:tr>
        <w:trPr>
          <w:trHeight w:val="169"/>
        </w:trPr>
        <w:tc>
          <w:tcPr>
            <w:tcW w:w="68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Long Term:</w:t>
            </w:r>
          </w:p>
        </w:tc>
        <w:tc>
          <w:tcPr>
            <w:tcW w:w="1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840" w:type="dxa"/>
            <w:vAlign w:val="bottom"/>
            <w:tcBorders>
              <w:top w:val="single" w:sz="8" w:color="auto"/>
            </w:tcBorders>
            <w:shd w:val="clear" w:color="auto" w:fill="CCEEFF"/>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NJBPU agreement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50"/>
        </w:trPr>
        <w:tc>
          <w:tcPr>
            <w:tcW w:w="84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700" w:type="dxa"/>
            <w:vAlign w:val="bottom"/>
            <w:gridSpan w:val="8"/>
          </w:tcPr>
          <w:p>
            <w:pPr>
              <w:spacing w:after="0"/>
              <w:rPr>
                <w:sz w:val="20"/>
                <w:szCs w:val="20"/>
                <w:color w:val="auto"/>
              </w:rPr>
            </w:pPr>
            <w:r>
              <w:rPr>
                <w:rFonts w:ascii="Arial" w:cs="Arial" w:eastAsia="Arial" w:hAnsi="Arial"/>
                <w:sz w:val="18"/>
                <w:szCs w:val="18"/>
                <w:b w:val="1"/>
                <w:bCs w:val="1"/>
                <w:color w:val="auto"/>
                <w:w w:val="94"/>
              </w:rPr>
              <w:t>Three Months Ended January 31,</w:t>
            </w:r>
          </w:p>
        </w:tc>
        <w:tc>
          <w:tcPr>
            <w:tcW w:w="120" w:type="dxa"/>
            <w:vAlign w:val="bottom"/>
          </w:tcPr>
          <w:p>
            <w:pPr>
              <w:spacing w:after="0"/>
              <w:rPr>
                <w:sz w:val="20"/>
                <w:szCs w:val="20"/>
                <w:color w:val="auto"/>
              </w:rPr>
            </w:pPr>
          </w:p>
        </w:tc>
        <w:tc>
          <w:tcPr>
            <w:tcW w:w="2700" w:type="dxa"/>
            <w:vAlign w:val="bottom"/>
            <w:gridSpan w:val="11"/>
          </w:tcPr>
          <w:p>
            <w:pPr>
              <w:ind w:left="40"/>
              <w:spacing w:after="0"/>
              <w:rPr>
                <w:sz w:val="20"/>
                <w:szCs w:val="20"/>
                <w:color w:val="auto"/>
              </w:rPr>
            </w:pPr>
            <w:r>
              <w:rPr>
                <w:rFonts w:ascii="Arial" w:cs="Arial" w:eastAsia="Arial" w:hAnsi="Arial"/>
                <w:sz w:val="18"/>
                <w:szCs w:val="18"/>
                <w:b w:val="1"/>
                <w:bCs w:val="1"/>
                <w:color w:val="auto"/>
                <w:w w:val="97"/>
              </w:rPr>
              <w:t>Nine Months Ended January 31,</w:t>
            </w:r>
          </w:p>
        </w:tc>
      </w:tr>
      <w:tr>
        <w:trPr>
          <w:trHeight w:val="210"/>
        </w:trPr>
        <w:tc>
          <w:tcPr>
            <w:tcW w:w="1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(188,424)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3"/>
              </w:rPr>
              <w:t>(194,266)</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(467,909)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67"/>
        </w:trPr>
        <w:tc>
          <w:tcPr>
            <w:tcW w:w="5320" w:type="dxa"/>
            <w:vAlign w:val="bottom"/>
            <w:gridSpan w:val="2"/>
          </w:tcPr>
          <w:p>
            <w:pPr>
              <w:spacing w:after="0"/>
              <w:rPr>
                <w:sz w:val="20"/>
                <w:szCs w:val="20"/>
                <w:color w:val="auto"/>
              </w:rPr>
            </w:pPr>
            <w:r>
              <w:rPr>
                <w:rFonts w:ascii="Arial" w:cs="Arial" w:eastAsia="Arial" w:hAnsi="Arial"/>
                <w:sz w:val="18"/>
                <w:szCs w:val="18"/>
                <w:color w:val="auto"/>
                <w:w w:val="91"/>
              </w:rPr>
              <w:t>Foreign currency denominated certificates of deposit and cash accounts: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13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8"/>
                <w:szCs w:val="18"/>
                <w:b w:val="1"/>
                <w:bCs w:val="1"/>
                <w:color w:val="auto"/>
                <w:w w:val="91"/>
              </w:rPr>
              <w:t>January 31, 2016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93"/>
              </w:rPr>
              <w:t>April 30, 2015</w:t>
            </w:r>
          </w:p>
        </w:tc>
        <w:tc>
          <w:tcPr>
            <w:tcW w:w="480" w:type="dxa"/>
            <w:vAlign w:val="bottom"/>
            <w:gridSpan w:val="3"/>
          </w:tcPr>
          <w:p>
            <w:pPr>
              <w:spacing w:after="0"/>
              <w:rPr>
                <w:sz w:val="24"/>
                <w:szCs w:val="24"/>
                <w:color w:val="auto"/>
              </w:rPr>
            </w:pPr>
          </w:p>
        </w:tc>
      </w:tr>
      <w:tr>
        <w:trPr>
          <w:trHeight w:val="210"/>
        </w:trPr>
        <w:tc>
          <w:tcPr>
            <w:tcW w:w="13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3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Restricted</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2"/>
              </w:rPr>
              <w:t>302,101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338,561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Unrestricted</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1,037,590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1,100,371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30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1,339,691</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1,438,932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cash balances, overnight repurchase accounts, bank certificates of deposit and trade receivables. The Company invests its excess cash in highly liquid investments (typically, short-term bank deposits, Treasury bills, Treasury notes and money market funds) and does not believe that it is exposed to any significant risks related to its cash accounts, money market funds or certificates of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200" w:lineRule="exact"/>
        <w:rPr>
          <w:sz w:val="20"/>
          <w:szCs w:val="20"/>
          <w:color w:val="auto"/>
        </w:rPr>
      </w:pP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92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1"/>
              </w:rPr>
              <w:t>Three months ended January 31,</w:t>
            </w:r>
          </w:p>
        </w:tc>
        <w:tc>
          <w:tcPr>
            <w:tcW w:w="28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2"/>
              </w:rPr>
              <w:t>Nine months ended January 31,</w:t>
            </w:r>
          </w:p>
        </w:tc>
      </w:tr>
      <w:tr>
        <w:trPr>
          <w:trHeight w:val="183"/>
        </w:trPr>
        <w:tc>
          <w:tcPr>
            <w:tcW w:w="45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7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European Union (WavePort project)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760" w:type="dxa"/>
            <w:vAlign w:val="bottom"/>
            <w:shd w:val="clear" w:color="auto" w:fill="CCEEFF"/>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restricted stock, were excluded from the diluted loss per share calculation due to their anti-dilutive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154,537 for the three and nine months ended January 31, 2016, and 193,701 for the three and nine months ended January 31, 2015, were excluded from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 new revenue recognition standard entitled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The objective of the standard is to establish the principles that an entity shall apply to report useful information to users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nature, amount, timing, and uncertainty of revenue and cash flows from a contract with a customer. The standard is effective for annual reporting periods beginning after December 15, 2017. Earlier application as of the original date is optional; however, the Company will adopt the standard beginning May 1, 2018. The standard allows for either “full retrospective” adoption, meaning the standard is applied to all periods presented, or “modified retrospective” adoption, meaning the standard is applied only to the most current period presented in the financial statements. The Company is currently assessing which method it will choose for adoption, and is evaluating the impact of the adoption of this new accounting standard on its consolidated results of operations and financial position.</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is evaluating the effect ASU 2014-15 will have on its consolidated financial statements and disclosures and has not yet determined the effect of the standard on its ongoing financial reporting at this time.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intends to simplify the presentation of debt issuance costs. This ASU is effective for public business entities for fiscal years beginning after December 15, 2015, and interim periods within those fiscal years. Currently, ASU 2015-03, would not have an effect on the Company’s consolidated financial statements and disclosures. The Company will evaluate the effect of ASU 2015-03 for future periods, as applicable.</w:t>
      </w:r>
    </w:p>
    <w:p>
      <w:pPr>
        <w:spacing w:after="0" w:line="18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In November 2015, the FASB issued ASU 2015-17, </w:t>
      </w:r>
      <w:r>
        <w:rPr>
          <w:rFonts w:ascii="Arial" w:cs="Arial" w:eastAsia="Arial" w:hAnsi="Arial"/>
          <w:sz w:val="16"/>
          <w:szCs w:val="16"/>
          <w:i w:val="1"/>
          <w:iCs w:val="1"/>
          <w:color w:val="auto"/>
        </w:rPr>
        <w:t>Income Taxes (ASC 740): Balance Sheet Classification of Deferred Taxes</w:t>
      </w:r>
      <w:r>
        <w:rPr>
          <w:rFonts w:ascii="Arial" w:cs="Arial" w:eastAsia="Arial" w:hAnsi="Arial"/>
          <w:sz w:val="16"/>
          <w:szCs w:val="16"/>
          <w:color w:val="auto"/>
        </w:rPr>
        <w:t>, which requires that all deferred taxes are presented as non-current in a classified statement of financial position. The standard may be adopted on a retrospective or prospective basis. The standard is effective for annual periods beginning after December 15, 2015. Early adoption is available. The Company is currently assessing which method it will choose for adoption, and is evaluating the effect the new standard will have on its consolidated financial statements and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that the standard will have on the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January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Certificate of Deposit and US Treasury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87"/>
              </w:rPr>
              <w:t>50,000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4360" w:type="dxa"/>
            <w:vAlign w:val="bottom"/>
            <w:gridSpan w:val="3"/>
          </w:tcPr>
          <w:p>
            <w:pPr>
              <w:ind w:left="60"/>
              <w:spacing w:after="0"/>
              <w:rPr>
                <w:sz w:val="20"/>
                <w:szCs w:val="20"/>
                <w:color w:val="auto"/>
              </w:rPr>
            </w:pPr>
            <w:r>
              <w:rPr>
                <w:rFonts w:ascii="Arial" w:cs="Arial" w:eastAsia="Arial" w:hAnsi="Arial"/>
                <w:sz w:val="18"/>
                <w:szCs w:val="18"/>
                <w:b w:val="1"/>
                <w:bCs w:val="1"/>
                <w:color w:val="auto"/>
              </w:rPr>
              <w:t>Balance Sheet Detail</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8"/>
              </w:rPr>
              <w:t>January 31, 2016</w:t>
            </w:r>
          </w:p>
        </w:tc>
        <w:tc>
          <w:tcPr>
            <w:tcW w:w="180" w:type="dxa"/>
            <w:vAlign w:val="bottom"/>
          </w:tcPr>
          <w:p>
            <w:pPr>
              <w:spacing w:after="0"/>
              <w:rPr>
                <w:sz w:val="24"/>
                <w:szCs w:val="24"/>
                <w:color w:val="auto"/>
              </w:rPr>
            </w:pPr>
          </w:p>
        </w:tc>
        <w:tc>
          <w:tcPr>
            <w:tcW w:w="154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8"/>
              </w:rPr>
              <w:t>April 30, 2015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Project costs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1,121,267</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867,771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Contract loss reserve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198,819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198,819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Employee incentive payments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245,569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529,274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Accrued salary and benefits</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498,465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468,366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Legal and accounting fees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384,618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274,656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269,780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2,718,518</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2,507,119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43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Related Party Transactions</w:t>
            </w: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80" w:type="dxa"/>
            <w:vAlign w:val="bottom"/>
            <w:vMerge w:val="continue"/>
          </w:tcPr>
          <w:p>
            <w:pPr>
              <w:spacing w:after="0"/>
              <w:rPr>
                <w:sz w:val="24"/>
                <w:szCs w:val="24"/>
                <w:color w:val="auto"/>
              </w:rPr>
            </w:pPr>
          </w:p>
        </w:tc>
        <w:tc>
          <w:tcPr>
            <w:tcW w:w="436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800" w:type="dxa"/>
            <w:vAlign w:val="bottom"/>
            <w:gridSpan w:val="8"/>
          </w:tcPr>
          <w:p>
            <w:pPr>
              <w:ind w:left="60"/>
              <w:spacing w:after="0"/>
              <w:rPr>
                <w:sz w:val="20"/>
                <w:szCs w:val="20"/>
                <w:color w:val="auto"/>
              </w:rPr>
            </w:pPr>
            <w:r>
              <w:rPr>
                <w:rFonts w:ascii="Arial" w:cs="Arial" w:eastAsia="Arial" w:hAnsi="Arial"/>
                <w:sz w:val="18"/>
                <w:szCs w:val="18"/>
                <w:b w:val="1"/>
                <w:bCs w:val="1"/>
                <w:color w:val="auto"/>
                <w:w w:val="96"/>
              </w:rPr>
              <w:t>Three Months Ended January 31,</w:t>
            </w:r>
          </w:p>
        </w:tc>
        <w:tc>
          <w:tcPr>
            <w:tcW w:w="120" w:type="dxa"/>
            <w:vAlign w:val="bottom"/>
          </w:tcPr>
          <w:p>
            <w:pPr>
              <w:spacing w:after="0"/>
              <w:rPr>
                <w:sz w:val="24"/>
                <w:szCs w:val="24"/>
                <w:color w:val="auto"/>
              </w:rPr>
            </w:pPr>
          </w:p>
        </w:tc>
        <w:tc>
          <w:tcPr>
            <w:tcW w:w="2640" w:type="dxa"/>
            <w:vAlign w:val="bottom"/>
            <w:gridSpan w:val="11"/>
          </w:tcPr>
          <w:p>
            <w:pPr>
              <w:jc w:val="right"/>
              <w:ind w:right="80"/>
              <w:spacing w:after="0"/>
              <w:rPr>
                <w:sz w:val="20"/>
                <w:szCs w:val="20"/>
                <w:color w:val="auto"/>
              </w:rPr>
            </w:pPr>
            <w:r>
              <w:rPr>
                <w:rFonts w:ascii="Arial" w:cs="Arial" w:eastAsia="Arial" w:hAnsi="Arial"/>
                <w:sz w:val="18"/>
                <w:szCs w:val="18"/>
                <w:b w:val="1"/>
                <w:bCs w:val="1"/>
                <w:color w:val="auto"/>
                <w:w w:val="93"/>
              </w:rPr>
              <w:t>Nine Months Ended January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Related party consulting expense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3"/>
            <w:shd w:val="clear" w:color="auto" w:fill="CCEEFF"/>
          </w:tcPr>
          <w:p>
            <w:pPr>
              <w:ind w:left="400"/>
              <w:spacing w:after="0"/>
              <w:rPr>
                <w:sz w:val="20"/>
                <w:szCs w:val="20"/>
                <w:color w:val="auto"/>
              </w:rPr>
            </w:pPr>
            <w:r>
              <w:rPr>
                <w:rFonts w:ascii="Arial" w:cs="Arial" w:eastAsia="Arial" w:hAnsi="Arial"/>
                <w:sz w:val="18"/>
                <w:szCs w:val="18"/>
                <w:color w:val="auto"/>
                <w:w w:val="86"/>
              </w:rPr>
              <w:t>168,500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4"/>
            <w:shd w:val="clear" w:color="auto" w:fill="CCEEFF"/>
          </w:tcPr>
          <w:p>
            <w:pPr>
              <w:jc w:val="center"/>
              <w:ind w:left="490"/>
              <w:spacing w:after="0"/>
              <w:rPr>
                <w:sz w:val="20"/>
                <w:szCs w:val="20"/>
                <w:color w:val="auto"/>
              </w:rPr>
            </w:pPr>
            <w:r>
              <w:rPr>
                <w:rFonts w:ascii="Arial" w:cs="Arial" w:eastAsia="Arial" w:hAnsi="Arial"/>
                <w:sz w:val="18"/>
                <w:szCs w:val="18"/>
                <w:color w:val="auto"/>
                <w:w w:val="90"/>
              </w:rPr>
              <w:t>52,667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434,188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2014, the Company entered into an Executive Transition Agreement with George W. Taylor, who was formerly employed by the Company as Executive Vice Chairman and served on the Company’s Board of Directors prior to that date. Under this agreement, Dr. Taylor received 15 months of consulting fees at a monthly rate of $20,000 (this period terminated on July 18, 2015). For the three and nine months ended January 31, 2016, the Company recorded $0 and $52,667 in expense relating to this agreement. For the three and nine months ended January 31, 2015, the Company recorded $60,000 and $180,000, respectively in expense relating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2014, the Company entered into an agreement with David L. Keller, a non-executive director of the Company, under which Mr. Keller served as our Interim Chief Executive Officer effective as of the June 9, 2014 termination of our former Chief Executive Officer, Charles F. Dunleavy, through January 20, 2015. Under this agreement, Mr. Keller received a consulting fee of $1,500 per day of services provided to the Company. Effective January 20, 2015, Mr. George H. Kirby was appointed our President, Chief Executive Officer and a Director of the Company and Mr. Keller resigned as Interim CEO. Mr. Keller continued to serve as a non-executive director of the Company until October 22, 2015. For the three and nine months ended January 31, 2016, the Company recorded $0 in expense relating to Mr. Keller’s agreement. For the three and nine months ended January 31, 2015, the Company recorded $108,500 and $254,188, respectively in expense relating to this agreement.</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awarded a recoverable grant totaling $500,000 between April 2009 and June 2010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2(f).</w:t>
      </w:r>
    </w:p>
    <w:p>
      <w:pPr>
        <w:spacing w:after="0" w:line="183"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January 31, 2015</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April 30, 2015</w:t>
            </w:r>
          </w:p>
        </w:tc>
        <w:tc>
          <w:tcPr>
            <w:tcW w:w="80" w:type="dxa"/>
            <w:vAlign w:val="bottom"/>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150,000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r>
        <w:trPr>
          <w:trHeight w:val="250"/>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January 31, 2016, the Company has not generated any emissions credits eligible for purchase under the agreement. The $600,000 has been classified as a noncurrent liability as of January 31, 2016.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stock-based compensation expense related to all stock-based transactions recorded in the consolidated statements of operations was approximately $298,000 and $239,000 for the nine months ended January 31, 2016 and 2015, respectively. The nine months ended January 31, 2015, reflected lower stock-based compensation costs primarily because of the termination for cause of Charles F. Dunleavy, Chief Executive Officer, on June 9, 2014. In accordance with the Company’s 2001 Stock Plan and the 2006 Stock Incentive Plan, all vested and unvested equity compensation grants were forfeited by Mr. Dunleavy because of his termination for cause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Nine Months Ended January 31, 2016 and 2015</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fair value of each stock option granted, for both service-based and performance-based vesting requirements, during the nine months ended January 31, 2016,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Expected volatility was based on the Company’s historical volatility for the nine months ended January 31, 2016.</w:t>
      </w:r>
    </w:p>
    <w:p>
      <w:pPr>
        <w:spacing w:after="0" w:line="208"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Nine Months Ended January 31,</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gridSpan w:val="2"/>
          </w:tcPr>
          <w:p>
            <w:pPr>
              <w:spacing w:after="0"/>
              <w:rPr>
                <w:sz w:val="18"/>
                <w:szCs w:val="18"/>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85.74%</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85.49%</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$4.05 and $7.20 for stock options granted during the nine months ended January 31, 2016 and 2015,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w w:val="98"/>
              </w:rPr>
              <w:t>A summary of stock options under our stock incentive plans is as follows:</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Weighted</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Average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140" w:type="dxa"/>
            <w:vAlign w:val="bottom"/>
          </w:tcPr>
          <w:p>
            <w:pPr>
              <w:jc w:val="center"/>
              <w:ind w:left="330"/>
              <w:spacing w:after="0"/>
              <w:rPr>
                <w:sz w:val="20"/>
                <w:szCs w:val="20"/>
                <w:color w:val="auto"/>
              </w:rPr>
            </w:pPr>
            <w:r>
              <w:rPr>
                <w:rFonts w:ascii="Arial" w:cs="Arial" w:eastAsia="Arial" w:hAnsi="Arial"/>
                <w:sz w:val="18"/>
                <w:szCs w:val="18"/>
                <w:b w:val="1"/>
                <w:bCs w:val="1"/>
                <w:color w:val="auto"/>
                <w:w w:val="86"/>
              </w:rPr>
              <w:t>Exercise</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14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Price</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2015</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108,376</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43.20</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5.7</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(12,363)</w:t>
            </w:r>
          </w:p>
        </w:tc>
        <w:tc>
          <w:tcPr>
            <w:tcW w:w="1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48.16</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31, 2016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40.69</w:t>
            </w:r>
          </w:p>
        </w:tc>
        <w:tc>
          <w:tcPr>
            <w:tcW w:w="16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4.5</w:t>
            </w:r>
          </w:p>
        </w:tc>
      </w:tr>
      <w:tr>
        <w:trPr>
          <w:trHeight w:val="197"/>
        </w:trPr>
        <w:tc>
          <w:tcPr>
            <w:tcW w:w="580" w:type="dxa"/>
            <w:vAlign w:val="bottom"/>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Exercisable as of January 31, 2016</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86,725</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w w:val="88"/>
              </w:rPr>
              <w:t>45.58</w:t>
            </w:r>
          </w:p>
        </w:tc>
        <w:tc>
          <w:tcPr>
            <w:tcW w:w="1620" w:type="dxa"/>
            <w:vAlign w:val="bottom"/>
            <w:gridSpan w:val="2"/>
          </w:tcPr>
          <w:p>
            <w:pPr>
              <w:ind w:left="1300"/>
              <w:spacing w:after="0" w:line="196" w:lineRule="exact"/>
              <w:rPr>
                <w:sz w:val="20"/>
                <w:szCs w:val="20"/>
                <w:color w:val="auto"/>
              </w:rPr>
            </w:pPr>
            <w:r>
              <w:rPr>
                <w:rFonts w:ascii="Arial" w:cs="Arial" w:eastAsia="Arial" w:hAnsi="Arial"/>
                <w:sz w:val="18"/>
                <w:szCs w:val="18"/>
                <w:color w:val="auto"/>
              </w:rPr>
              <w:t>4.0</w:t>
            </w:r>
          </w:p>
        </w:tc>
      </w:tr>
      <w:tr>
        <w:trPr>
          <w:trHeight w:val="20"/>
        </w:trPr>
        <w:tc>
          <w:tcPr>
            <w:tcW w:w="5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31, 2016, the total intrinsic value of outstanding and exercisable options was $0. As of January 31, 2016, approximately 14,000 additional options are expected to vest in the future, which options had no intrinsic value and a weighted average remaining contractual term of 8.0 years. There was approximately $127,000 and $130,000 of total recognized compensation cost related to stock options for the nine months ended January 31, 2016 and 2015, respectively. As of January 31, 2016, there was approximately $62,000 of total unrecognized compensation cost related to non-vested stock options granted under the plans. This cost is expected to be recognized over a weighted-average period of 1.8 years. The Company normally issues new shares to satisfy option exercises under these plans. Stock options outstanding, as of January 31, 2016, included 10,078 stock options subject to performance-based vesting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Compensation expense for unvested restricted stock is generally recorded based on the market value of the restricted stock on the date of grant and recognized ratably over the associated service and performance period. Of the 44,191 unvested shares of restricted stock, there are different vesting criteria and compensation expense methods. There are 32,191 unvested restricted shares that vest based on service criteria. The compensation expense is recorded based on the market value on the date of grant and is recognized ratably over the associated service period. As of January 31, 2016, there are 12,000 unvested restricted shares where the achievement of vesting requirement for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designated funds’ group. However, additional opportunities to vest some or all of a portion of the shares in a subsequent period may occur. Compensation expense for these awards with market-based vesting is calculated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492125</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estimated fair value as of the grant date utilizing a Monte Carlo simulation model and is recognized over the service period on a straight-line basis.</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January 2016, the Board of Directors authorized a modification to certain outstanding restricted stock grants, which converted certain grants with performance based vesting criteria and the achievement of vesting requirement for performance-based grants to service based grants. The modification of the restricted stock grants did not have a material impact on the Company’s statement of operations for the three months ended January 31, 2015.</w:t>
      </w:r>
    </w:p>
    <w:p>
      <w:pPr>
        <w:sectPr>
          <w:pgSz w:w="11900" w:h="16838" w:orient="portrait"/>
          <w:cols w:equalWidth="0" w:num="1">
            <w:col w:w="11420"/>
          </w:cols>
          <w:pgMar w:left="240" w:top="580"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Issued and unvested at 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68776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7768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687768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Issued and unvested at January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7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w:t>
            </w:r>
          </w:p>
        </w:tc>
        <w:tc>
          <w:tcPr>
            <w:tcW w:w="1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Average Price per</w:t>
            </w:r>
          </w:p>
        </w:tc>
      </w:tr>
      <w:tr>
        <w:trPr>
          <w:trHeight w:val="234"/>
        </w:trPr>
        <w:tc>
          <w:tcPr>
            <w:tcW w:w="17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of Shares</w:t>
            </w:r>
          </w:p>
        </w:tc>
        <w:tc>
          <w:tcPr>
            <w:tcW w:w="24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r>
      <w:tr>
        <w:trPr>
          <w:trHeight w:val="411"/>
        </w:trPr>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84,062</w:t>
            </w:r>
          </w:p>
        </w:tc>
        <w:tc>
          <w:tcPr>
            <w:tcW w:w="22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16"/>
        </w:trPr>
        <w:tc>
          <w:tcPr>
            <w:tcW w:w="1500" w:type="dxa"/>
            <w:vAlign w:val="bottom"/>
          </w:tcPr>
          <w:p>
            <w:pPr>
              <w:jc w:val="right"/>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(12,130)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30"/>
        </w:trPr>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(31,041)</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580" w:right="239" w:bottom="1440" w:gutter="0" w:footer="0" w:header="0"/>
          <w:type w:val="continuous"/>
        </w:sectPr>
      </w:pP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$171,000 and $109,000 of total recognized compensation cost related to restricted stock for the nine months ended January 31, 2016 and 2015, respectively. As of January 31, 2016, there was approximately $138,000 of total unrecognized compensation cost related to unvested restricted stock granted under our plans. This cost is expected to be recognized over a weighted average period of 1.2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January 31, 2016 and 2015, 1,839 and 80 shares, respectively, of common stock were purchased by the Company from employees to pay taxes related to the vesting of restricted stock.</w:t>
      </w:r>
    </w:p>
    <w:p>
      <w:pPr>
        <w:spacing w:after="0" w:line="17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225" w:lineRule="exact"/>
        <w:rPr>
          <w:rFonts w:ascii="Arial" w:cs="Arial" w:eastAsia="Arial" w:hAnsi="Arial"/>
          <w:sz w:val="18"/>
          <w:szCs w:val="18"/>
          <w:b w:val="1"/>
          <w:bCs w:val="1"/>
          <w:i w:val="1"/>
          <w:iCs w:val="1"/>
          <w:color w:val="auto"/>
        </w:rPr>
      </w:pPr>
    </w:p>
    <w:p>
      <w:pPr>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its former Chief Executive Officer Charles Dunleavy are defendants in consolidated securities class action lawsuits, and pending in the United States District Court for the District of New Jersey captioned In Re: Ocean Power Technologies, Inc. Securities Litigation, Civil Action No. 14-3799 (FLW) (LHG). The consolidated actions are Roby v. Ocean Power Technologies, Inc., et al., Case No. 3:14-cv-03799-FLW-LHG (filed June 13, 2014); Chew, et al. v. Ocean Power Technologies, Inc. et. al., Case No 3:14-cv-03815 (filed June 13, 2014); Konstantinidis v. Ocean Power Technologies, Inc., et al., Case No. 3:14-cv-04015 (filed June 23, 2014); and Turner v. Ocean Power Technologies, Inc., et al., Case No. 3:14-cv-04592 (filed July 22, 2014). On March 17, 2015, the court entered an order appointing Five More Special Situation Fund Ltd. as the lead plaintiff.</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the Company’s technology and a now terminated agreement between Victorian Wave Partners Pty. Ltd. (VWP) and the Australian Renewable Energy Agency (ARENA) for the development of a wave power station (the "VWP Project"). The third amended class action complaint seeks unspecified monetary damages and other relief. On November 5, 2015, defendants filed a motion to dismiss the third amended class action complaint. The lead plaintiff filed a brief in opposition to the motion on December 7, 2015, and defendants filed a reply in support of the motion on December 21, 2015. The Court has not yet ruled on the motion.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w:t>
      </w:r>
    </w:p>
    <w:p>
      <w:pPr>
        <w:jc w:val="both"/>
        <w:spacing w:after="0" w:line="280" w:lineRule="auto"/>
        <w:rPr>
          <w:sz w:val="20"/>
          <w:szCs w:val="20"/>
          <w:color w:val="auto"/>
        </w:rPr>
      </w:pPr>
      <w:r>
        <w:rPr>
          <w:rFonts w:ascii="Arial" w:cs="Arial" w:eastAsia="Arial" w:hAnsi="Arial"/>
          <w:sz w:val="18"/>
          <w:szCs w:val="18"/>
          <w:color w:val="auto"/>
        </w:rPr>
        <w:t xml:space="preserve">and management relating to the VWP Project. The Company invited the attorney to participate in the Section 220 </w:t>
      </w:r>
      <w:r>
        <w:rPr>
          <w:rFonts w:ascii="Arial" w:cs="Arial" w:eastAsia="Arial" w:hAnsi="Arial"/>
          <w:sz w:val="21"/>
          <w:szCs w:val="21"/>
          <w:color w:val="auto"/>
        </w:rPr>
        <w:t>Demand process discussed below.</w:t>
      </w:r>
      <w:r>
        <w:rPr>
          <w:rFonts w:ascii="Arial" w:cs="Arial" w:eastAsia="Arial" w:hAnsi="Arial"/>
          <w:sz w:val="18"/>
          <w:szCs w:val="18"/>
          <w:color w:val="auto"/>
        </w:rPr>
        <w:t xml:space="preserve"> </w:t>
      </w:r>
      <w:r>
        <w:rPr>
          <w:rFonts w:ascii="Arial" w:cs="Arial" w:eastAsia="Arial" w:hAnsi="Arial"/>
          <w:sz w:val="21"/>
          <w:szCs w:val="21"/>
          <w:color w:val="auto"/>
        </w:rPr>
        <w:t>On February 6, 2015, the Company produced documents to the attorney pursuant to a confidentiality agreement in connection with the Section 220 Demand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10, 2015, a second derivative lawsuit, captioned Rywolt v. Dunleavy</w:t>
      </w:r>
      <w:r>
        <w:rPr>
          <w:rFonts w:ascii="Arial" w:cs="Arial" w:eastAsia="Arial" w:hAnsi="Arial"/>
          <w:sz w:val="17"/>
          <w:szCs w:val="17"/>
          <w:i w:val="1"/>
          <w:iCs w:val="1"/>
          <w:color w:val="auto"/>
        </w:rPr>
        <w:t>,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September 2, 2015, the plaintiff and all the defendants agreed to stay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derivative lawsuits filed an unopposed motion to consolidate the two actions. On February 8, 2016, the Court entered an order (i)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(ii) appointing Labare and Rywolt as co-lead plaintiffs; (iii) appointing The Rosen Law Firm P.C. as lead counsel; and (iv) directing the co-lead plaintiffs to file a consolidated amended complaint within 30 days of the order.</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and its current directors are defendants in a lawsuit filed by an alleged shareholder in the Superior Court of New Jersey, Mercer County Chancery Division on January 25, 2016, captioned </w:t>
      </w:r>
      <w:r>
        <w:rPr>
          <w:rFonts w:ascii="Arial" w:cs="Arial" w:eastAsia="Arial" w:hAnsi="Arial"/>
          <w:sz w:val="17"/>
          <w:szCs w:val="17"/>
          <w:i w:val="1"/>
          <w:iCs w:val="1"/>
          <w:color w:val="auto"/>
        </w:rPr>
        <w:t>Stern v. Ocean Power Technologies, Inc., et al.</w:t>
      </w:r>
      <w:r>
        <w:rPr>
          <w:rFonts w:ascii="Arial" w:cs="Arial" w:eastAsia="Arial" w:hAnsi="Arial"/>
          <w:sz w:val="17"/>
          <w:szCs w:val="17"/>
          <w:color w:val="auto"/>
        </w:rPr>
        <w:t>, Civil Action No. C-5-16. The complaint alleges that certain provisions of the Company’s Articles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Defendants have not yet responded to the Complaint.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2015, the Company received a subpoena from the Securities and Exchange Commission (“SEC”) requesting information related to the VWP Project.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in the amount of €278,828 ($301,915) at the request of the Spanish tax authorities. This is a customary request during the inquiry period. In November 2014, March 2015 and September 2015, the Company received partial refunds of the amount under dispute and continues to expect that this matter will be resolved in the Company’s favor.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nine months ended January 31, 2016, the Company recorded an income tax benefit of $1,674,862, representing the proceeds from the sale of $19,705,000 of New Jersey net operating loss carryforwards and research and development tax credits. During the three and nine months ended January 31, 2015, the Company recorded an income tax benefit of $1,137,872, representing the proceeds from the sale of $14,004,000 of New Jersey net operating loss carryforwards and research and development tax credits.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as a result of the sale of New Jersey net operating loss carryforwards, the Company did not recognize any consolidated income tax benefit (expense) for the three and nine month periods ended January 31, 2016 and 2015.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January 31, 2016, the Company had no material changes in uncertain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Geographic information is as follows: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Asia and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January 31, 2016</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North America</w:t>
            </w:r>
          </w:p>
        </w:tc>
        <w:tc>
          <w:tcPr>
            <w:tcW w:w="20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Australia</w:t>
            </w:r>
          </w:p>
        </w:tc>
        <w:tc>
          <w:tcPr>
            <w:tcW w:w="2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28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(3,359,582)</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(62,450)</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(20,389)</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(3,442,421)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January 31, 2015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328,511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(2,784,095)</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(258,636)</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(47,194)</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(3,089,925)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January 31, 2016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605,281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605,281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(10,456,460)</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(228,432)</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(146,911)</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(10,831,803)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January 31, 2015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3,616,827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3,616,827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(8,981,672)</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(993,308)</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(768,151)</w:t>
            </w:r>
          </w:p>
        </w:tc>
        <w:tc>
          <w:tcPr>
            <w:tcW w:w="2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(10,743,131)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January 31, 2016</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206,580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206,580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9,786,752</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438,283</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384,643</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10,609,678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April 30, 2015</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262,985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263,898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17,899,273</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597,796</w:t>
            </w:r>
          </w:p>
        </w:tc>
        <w:tc>
          <w:tcPr>
            <w:tcW w:w="1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373,817</w:t>
            </w:r>
          </w:p>
        </w:tc>
        <w:tc>
          <w:tcPr>
            <w:tcW w:w="2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18,870,886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6"/>
        </w:trPr>
        <w:tc>
          <w:tcPr>
            <w:tcW w:w="3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00" w:type="dxa"/>
            <w:vAlign w:val="bottom"/>
            <w:shd w:val="clear" w:color="auto" w:fill="808080"/>
          </w:tcPr>
          <w:p>
            <w:pPr>
              <w:spacing w:after="0"/>
              <w:rPr>
                <w:sz w:val="5"/>
                <w:szCs w:val="5"/>
                <w:color w:val="auto"/>
              </w:rPr>
            </w:pPr>
          </w:p>
        </w:tc>
        <w:tc>
          <w:tcPr>
            <w:tcW w:w="5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1" w:name="page22"/>
    <w:bookmarkEnd w:id="21"/>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(“MD&amp;A”)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fiscal 2015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2015 refers to the year ended April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Since fiscal 2002, government agencies have accounted for a significant portion of our revenues, which were largely for the support of our product development efforts. Our goal is to increase the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products and services.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plan to market our autonomous PowerBuoy, which is designed to generate power for use independent of the power grid, to customers that require electricity in remote locations. We believe there are a variety of potential applications for our autonomous PowerBuoy, including ocean observing, offshore wind, defense and security, oil and gas, communications and ocean aquaculture, which we refer to collectively as autonomous application markets.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conversion technology.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from contracts with Lockheed Martin Corporation (“Lockheed Martin”), in fiscal 2003, and in fiscal 2004 we entered into our first development and construction contract with Lockheed Martin for the development and construction of a prototype autonomous PowerBuoy. Subsequently, we received a contract from the US Navy to test our autonomous PowerBuoy as an alternate power source for the Navy’s Deep Water Active Detection System (“DWADS”). In fiscal 2012, an autonomous PowerBuoy was deployed for ocean trials off the coast of New Jersey under a contract from the US Navy under its Littoral Expeditionary Autonomous PowerBuoy (“LEAP”) contract. The LEAP PowerBuoy, or APB350, incorporates a unique power take-off (“PTO”) and on-board energy storage system (“ESS”), and is significantly smaller and more compact than those of our previous PowerBuoy designs. It is designed to provide persistent, grid-independent clean energy in remote ocean locations for a wide variety of maritime security, monitoring and other commercial as well as defense applications. Also, in fiscal 2012, ocean trials of our PB150B1 PowerBuoy were conducted off the northeast coast of Scotland. Our larger-scale PB150B1 PowerBuoy structure and mooring system achieved independent certification from Lloyd’s Register in December 2010. This certification confirmed that the PB150B1 PowerBuoy design complied with the requirements of Lloyd’s 1999 Rules and Regulations for the Classification of Floating Offshore Installations at Fixed Locations.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fiscal 2012 through fiscal 2015, we worked on projects with partners including Mitsui Engineering &amp; Shipbuilding (“MES”) and the US Department of Energy (“DOE”) as well as on our WavePort project in Spain and a project in Oregon. We also continued development of our PowerBuoy technology as well as our next generation PowerBuoy technology. We are continuing to develop, test and refine our technology and our products, but we do not yet have a final commercial product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67" w:lineRule="auto"/>
        <w:rPr>
          <w:sz w:val="20"/>
          <w:szCs w:val="20"/>
          <w:color w:val="auto"/>
        </w:rPr>
      </w:pPr>
      <w:r>
        <w:rPr>
          <w:rFonts w:ascii="Arial" w:cs="Arial" w:eastAsia="Arial" w:hAnsi="Arial"/>
          <w:sz w:val="17"/>
          <w:szCs w:val="17"/>
          <w:color w:val="auto"/>
        </w:rPr>
        <w:t>During the nine months ended January 31, 2016, we continued work under our contract with the DOE and continued to seek to implement the strategic pivot in our business plan initiated in fiscal 2015, focusing on the autonomous applications markets. Our contract with the DOE was for development efforts that focused on further optimization of our modular PTO technology. In March 2015, we successfully completed a stage gate review during which the DOE reviewed advancements related to PTO design aspects such as reliability, cost take out, manufacturability and scalability. We completed the final stage of the contract during the quarter ended January 31, 2016. We also deployed the PB40 PowerBuoy off the coast of the New Jersey in late July 2015 and subsequently retrieved it approximately three weeks later. We were permitted to operate the PB40 at this location for a period of up to one year. Although the PB40 produced power throughout its deployment period, it began reporting unexpected performance data. This performance data indicated likely failures of components associated with the float braking system which would be activated during severe storm periods in order to prevent damage to the float. As a result, we decided to proactively retrieve the PB40 earlier than anticipated in order to avoid potential physical damage to the buoy structure in the event of a severe storm. During the limited deployment period, we were able to obtain performance data, which we will use to further understand the PB40’s system performance and power generation in varying wave states. In addition, we were also able to use the deployment and retrieval of the PB40, 30 miles off of the coast of New Jersey, to validate our logistical processes associated with permitting, staging, towing and installation of the PB40 at its moored location. Because the PB40 is a legacy prototype device, we do not consider it to be a critical part of our strategic pivot initiated in fiscal 2015 focusing on the autonomous applications market. Based on the limited information we have received to date, we currently believe that the failed components are unique to the PB40, and therefore, we do not believe that these component failures will materially impact the functionality of any of our other autonomous PowerBuoys currently under development. Costs associated with the retrieval of the PB40 were reflected in our product development expenses in our quarterly results for the quarter ending October 31, 2015. We do not plan to redeploy the PB40; however, we do plan to investigate, analyze and asses the component failures of the PB40.</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also deployed our APB350 A1 PowerBuoy off the coast of New Jersey in late August 2015. The APB350 A1 contains an improved PTO system compared to the APB350 that was deployed in 2011 in connection with the U.S. Navy's LEAP Program and then redeployed in 2013 in conjunction with the U.S. Department of Homeland Security. The APB350 A1 features an advanced PTO design with a focus on reliability, manufacturability, cost and efficiency improvement. In its final configuration, the APB350 uses a modular energy storage system (ESS) to provide continuous power to the payload even when the Powerbuoy is not generating new power due to calm sea states. In a calm sea state (i.e., no waves to generate power), we believe the ESS will have enough storage capacity to provide up to 7 days of continuous power to the majority of ocean sensors when starting from a fully charged state. When the APB350 is deployed in the ocean, real-time performance and weather data is collected and transmitted to the Company’s monitoring and analysis center at its corporate headquarters in Pennington, NJ. Subsequent to its initial August deployment, the APB350 A1 was retrieved for maintenance and repairs and redeployed in October 2015. In January 2016, we again retrieved the APB350 for additional maintenance and repair. We intend to redeploy it to continue its sea trials after further inspection, maintenance, and repair. Costs associated with the October 2015 retrieval and redeployment of the APB350 are reflected in our quarterly results for the quarter ending October 31, 2015, and costs associated with the January APB350 retrieval are reflected in our results for the quarter ending January 31, 2016.</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are continuing to work to develop solutions seeking to improve our products’ durability and reliability and to reduce cost. For example, the original APB350 utilized a rack and pinion PTO and successfully powered US Navy and US Homeland Security equipment off the coast of New Jersey for nearly three months. The redesigned APB350 leverages our knowledge base from that design to incorporate new design features which we believe will improve its reliability and efficiency, including a redesigned PTO and a higher efficiency and higher voltage ESS.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2013, we filed the 2013 Form S-3 Shelf. The 2013 Form S-3 Shelf was declared effective in February 2013. Under the 2013 Form S-3 Shelf we established an ATM Facility with Ascendiant via an ATM Agreement in June 2013. Under that ATM Agreement, we offered and sold shares of our Common Stock from time to time through the Ascendiant, acting as sales agent, in ordinary brokerage transactions at prevailing market prices. Under the ATM Facility, during fiscal 2014, we issued 330,633 shares of our Common Stock at an average price to the public of $30.20 per share, receiving net proceeds from the ATM Facility of approximately $9,698,000.</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the Public Offering of an aggregate of 380,000 shares of our common stock at a price of $31.00 per share (the “Public Offering”) under the 2013 Form S-3 Shelf. The Underwriting Agreement contained customary representations, warranties and agreements by us, customary conditions to closing, indemnification obligations, and a 90 day lock-up period that limited transactions in our Common Stock by us. Net proceeds from the Public Offering, which was completed in early April 2014, were approximately $10,828,000.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we did not sell any securities under or receive any proceeds from the sale of securities under the 2013 Form S-3 Shelf.</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2015, the Company entered into the Offering Agreement with the Manager under which the Company may offer and sell shares of our Common Stock having an aggregate offering price of up to $2,906,836 from time to time through or to the Manager, acting as sales agent and/or principal, in reliance on and subject to the limitations of General Instruction I.B.6 of Form S-3 and other applicable laws and regulations. Under the Offering Agreement, during the quarter ended January 31, 2016, we sold 95,024 shares of Common Stock at an average price of $2.13 per share, for net proceeds to the Company of approximately $199,000 and we paid the Manager a sales commission of approximately $3,000 related to those shares. The Company has no obligation to sell shares of Common Stock under the Offering Agreement and may at any time upon notice terminate the Offering Agreement.</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Form S-3 limits the aggregate market value of securities that we are permitted to offer in any 12-month period under our 2013 S-3 Shelf, whether under the ATM Agreement, the Underwriting Agreement or otherwise, to one third of our public float. In 2014, we fully utilized our available transaction capacity to sell securities using the 2013 Form S-3 Shelf in the ATM offering. However, we regained the ability to utilize Form S-3 as we entered fiscal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72" w:lineRule="auto"/>
        <w:rPr>
          <w:sz w:val="20"/>
          <w:szCs w:val="20"/>
          <w:color w:val="auto"/>
        </w:rPr>
      </w:pPr>
      <w:r>
        <w:rPr>
          <w:rFonts w:ascii="Arial" w:cs="Arial" w:eastAsia="Arial" w:hAnsi="Arial"/>
          <w:sz w:val="17"/>
          <w:szCs w:val="17"/>
          <w:color w:val="auto"/>
        </w:rPr>
        <w:t>Under the SEC’s regulations, the securities registered under our 2013 Form S-3 Shelf may only be offered and sold if not more than three years have elapsed from the initial effective date of the Form S-3, except that if a new shelf registration statement is filed then we are permitted to continue to offer and sell securities under the Form S-3 until the earlier of the effective date of the new shelf registration statement or 180 days after the third anniversary of the initial effective date. On February 12, 2016, we filed a new Form S-3 shelf registration statement to register the offering and sale of up to $15 million in securities. The 2016 Form S-3 registration statement has not yet been declared effective by the SEC. Subject to compliance with applicable laws and regulations, we may continue to offer and sell shares of our Common Stock in the 2015 ATM offering with the Manager under the Offering Agreement until the earlier of August 10, 2016 or the date on which the SEC declares effective the 2016 Form S-3.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Offering Agreement with the Manager, we may offer and sell up to $2,906,836 of our Common Stock in the 2015 ATM Offering. However, pursuant to General Instruction I.B.6 of Form S-3, at the time of filing the 2016 Form S-3, we were able to offer and sell only $1,597,102 of our Common Stock under the 2016 Form S-3, and, as of the date of that filing, we had already offered and sold $251,603 in value of our Common Stock under the Offering Agreement. Thus, under the 2016 Form S-3, we are seeking to register the offering and sale of up to $1,345,499 in value of our Common Stock for sale in the 2015 ATM Offering pursuant to the Offering Agreement, which securities are included in the $15 million of securities we are seeking to register for offer and sale on the 2016 Form S-3.</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current projects, and/or our planned product development and marketing efforts, which could materially and adversely affect our financial condition and operating results.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January 31, 2016, our total negotiated backlog was $0.7 million compared with $0.9 million at April 30, 2015. Some of our backlog at January 31, 2016 and April 30, 2015 consisted of cost-sharing contracts as described in the Financial Operations Overview section of the MD&amp;A in this Quarterly Report on Form 10-Q.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DOE for which funding has not been appropriated. If any of our contracts were to be terminated, our backlog would be reduced by the expected value of the remaining terms of such contracts. Currently, we expect that our backlog will continue to decline in the near term; however, we continue to focus on obtaining new contracts and customers to fund our further development of our technology. Our backlog was fully funded at January 31, 2016 and April 30, 2015.</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also seeking to develop strategic alliances with other companies that have developed or are developing in-ocean applications requiring a persistent source of power to address identified needs of potential customers. As announced in late October, we signed a Memorandum of Understanding (“MOU”) with Gardline Environmental, Ltd. to jointly investigate innovative metocean monitoring and maritime security systems for prospective customers using both companies’ technologies. The MOU can be terminated by either party, and each party will bear its own respective costs associated with the MOU.</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Currently, our contract with MES is undergoing a stage-gate review process and activity has been suspended until we receive further notification from MES. Stage-gate reviews are used in product development to gather key information needed to advance the project to the next gate or decision point. This process is a generally accepted industry practice and has been utilized by other customers such as the DOE. MES has indicated that work under this contract could resume upon passing the stage-gate review. We billed and have been paid for all eligible costs incurred under the contract in fiscal 2015. Our revenues recorded reflect the total amount paid on the contract. In addition, depending on the outcome of the stage-gate review, the scope of the project may be decreased or increased and other terms, including schedule, of the project may change. A significant reduction in the remaining scope of the project could have a material adverse effect on our future revenue and backlog. We cannot predict whether MES will resume work under this contract, or, if any such work is resumed, when that will occur. Under the terms of the contract, MES has the right to terminate the contract assuming the Japanese Government prime contractor (“NEDO”) concurrence or to continue OPT’s activity until the next scheduled review. In March 2016, we entered into a letter of intent (LOI) with MES to conduct funded pre-work tasks and negotiate a definitive agreement that would also include the lease and deployment of the APB350 and the associated application engineering support.</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months ended January 31, 2016, we generated revenues of approximately $5,000 and incurred a net loss attributable to Ocean Power Technologies, Inc. of $1.9 million, and for the three months ended January 31, 2015, we generated revenues of $0.3 million and incurred a net loss attributable to Ocean Power Technologies, Inc. of $2.2 million. As of January 31, 2016, our accumulated deficit was $173.9 million. We have not been profitable since inception, and we do not know whether or when we will become profitable because of the significant uncertainties with respect to our ability to successfully commercialize our PowerBuoys in the autonomous (grid independent) applications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As part of our strategic pivot in business operations initiated in fiscal 2015, we are focused on developing the PowerBuoy technology for use in the autonomous applications markets. Such applications require open ocean power sources that operate independently of the utility grid by supplying electric power to payloads that are integrated directly in the PowerBuoy and/or located in its vicinity. Based on market research and available public data, we believe considerable business opportunity exists in six markets that could have a direct need for our autonomous PowerBuoys: ocean observing, offshore wind, defense and security, oil and gas, communications, and ocean aquaculture. Based on power needs, sensor types and other considerations, we believe our APB350 could have the ability to satisfy several application requirements within these six markets. It is designed to offer a substantial amount of persistent power while also providing a simple and stable integration platform that is deployable using readily available vessels and skills.</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APB350 is currently undergoing a design iteration focusing on improving its commercial viability, reliability and endurance. The APB350 A1 prototype has undergone significant in-ocean and accelerated life testing and we currently project that in calendar year 2016, the APB350 will achieve a maturity level that will allow us to proceed with a commercial launch of that product for use by early adopters. We anticipate that the APB350 will generate and store sufficient power to address applications needs in markets such as metrological data collection for oil and gas and ocean observing, wind and environmental data collection, and sensors and communications for homeland defense. With additional power available, we believe new applications also will be enabled through the combining of existing sensors, and the development of new sensors and hardware that were not feasible or financially viable with incumbent power sources such as fossil-fueled generators, solar, wind and battery based sources; however, we have only begun to explore opportunities in these markets, and though we believe many more could exist, we have not yet developed any integrated solutions and resulting product offerings in these areas.</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OPT is partnering with the National Data Buoy Center under a Cooperative Research and Development Agreement (“CRADA”) to conduct ocean demonstrations of its innovative Self-Contained Ocean Observing Payload (“SCOOP”) monitoring system integrated into OPT’s APB350 PowerBuoy®.</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2008, we announced a Joint Development Agreement with Leighton Contractors Pty. Ltd. (“Leighton”) for the development of wave power projects off the coast of Australia. In 2009, Leighton formed VWP, a special purpose company for the development of a wave power project off the coast of Victoria, Australia. In 2010, VWP and the Commonwealth of Australia entered into an Energy Demonstration Program Funding Deed (“Funding Deed”), wherein VWP was awarded an A$66.5 million (approximately US$62 million) grant for the wave power project; however, receipt of funds under the grant was subject to certain terms, including achievement of future significant external funding milestones. The grant was expected to be used towards the A$232 million proposed cost of building and deploying a wave power station off the coast of Australia (the “Project”). In March 2012, our Australian subsidiary Ocean Power Technologies (Australasia) Pty. Ltd acquired 100% ownership of VWP from Leighton. In January 2014, VWP signed a Deed of Variation with ARENA that amended the Funding Deed, and, in March 2014, received the initial portion of the grant from ARENA in the amount of approximately A$5.6 million (approximately US$5.2 million) (the “Initial Funding”). The Initial Funding was subject to claw-back provisions if certain contractual requirements, including performance criteria, were not satisfied. In light of the claw-back provisions, the Company determined to classify the Initial Funding as an advance payment, hold the funds as restricted cash and defer recognition of the funds as revenue. In July 2014, the VWP Board of Directors determined that the project contemplated by the Funding Deed was no longer commercially viable and terminated the Funding Deed and returned the Initial Funding to ARENA.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Some revenue contracts may contain complex criteria or uncertainty surrounding the terms of performance and customer acceptance. These contracts are subject to interpretation, and management may make a judgment as to the amount of revenue earned and recorded. Because we have a small number of contracts, revisions to the percentage-of-completion determination, management interpretation or delays in meeting performance and contractual criteria or in completing projects may have a significant effect on our revenue for the periods involved. Upon anticipating a loss on a contract, we recognize the full amount of the anticipated loss in the current period.</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Generally, our contracts are either cost-plus or fixed-price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fixed-price contracts, firm-fixed price and cost-sharing. Under firm fixed-price contracts, we receive an agreed-upon amount for providing product development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Some of our revenue for the three and nine months ended January 31, 2016 and 2015 was from cost-sharing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nine months ended January 31, 2016 and 2015:</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800" w:type="dxa"/>
            <w:vAlign w:val="bottom"/>
            <w:gridSpan w:val="6"/>
          </w:tcPr>
          <w:p>
            <w:pPr>
              <w:spacing w:after="0"/>
              <w:rPr>
                <w:sz w:val="20"/>
                <w:szCs w:val="20"/>
                <w:color w:val="auto"/>
              </w:rPr>
            </w:pPr>
            <w:r>
              <w:rPr>
                <w:rFonts w:ascii="Arial" w:cs="Arial" w:eastAsia="Arial" w:hAnsi="Arial"/>
                <w:sz w:val="18"/>
                <w:szCs w:val="18"/>
                <w:b w:val="1"/>
                <w:bCs w:val="1"/>
                <w:color w:val="auto"/>
                <w:w w:val="98"/>
              </w:rPr>
              <w:t>Three Months Ended January 31,</w:t>
            </w:r>
          </w:p>
        </w:tc>
        <w:tc>
          <w:tcPr>
            <w:tcW w:w="270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3"/>
              </w:rPr>
              <w:t>Nine Months Ended January 31,</w:t>
            </w:r>
          </w:p>
        </w:tc>
      </w:tr>
      <w:tr>
        <w:trPr>
          <w:trHeight w:val="191"/>
        </w:trPr>
        <w:tc>
          <w:tcPr>
            <w:tcW w:w="53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ind w:left="60"/>
              <w:spacing w:after="0" w:line="191" w:lineRule="exact"/>
              <w:rPr>
                <w:sz w:val="20"/>
                <w:szCs w:val="20"/>
                <w:color w:val="auto"/>
              </w:rPr>
            </w:pPr>
            <w:r>
              <w:rPr>
                <w:rFonts w:ascii="Arial" w:cs="Arial" w:eastAsia="Arial" w:hAnsi="Arial"/>
                <w:sz w:val="18"/>
                <w:szCs w:val="18"/>
                <w:color w:val="auto"/>
                <w:w w:val="98"/>
              </w:rPr>
              <w:t>($ millions)</w:t>
            </w: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jc w:val="right"/>
              <w:spacing w:after="0" w:line="191" w:lineRule="exact"/>
              <w:rPr>
                <w:sz w:val="20"/>
                <w:szCs w:val="20"/>
                <w:color w:val="auto"/>
              </w:rPr>
            </w:pPr>
            <w:r>
              <w:rPr>
                <w:rFonts w:ascii="Arial" w:cs="Arial" w:eastAsia="Arial" w:hAnsi="Arial"/>
                <w:sz w:val="18"/>
                <w:szCs w:val="18"/>
                <w:color w:val="auto"/>
              </w:rPr>
              <w:t>($ millions)</w:t>
            </w: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32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European Union (WavePort project</w:t>
            </w:r>
          </w:p>
        </w:tc>
        <w:tc>
          <w:tcPr>
            <w:tcW w:w="82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5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r>
      <w:tr>
        <w:trPr>
          <w:trHeight w:val="20"/>
        </w:trPr>
        <w:tc>
          <w:tcPr>
            <w:tcW w:w="5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the nine months ended January 31, 2016 and 2015:</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Nine months ended January 31,</w:t>
            </w:r>
          </w:p>
        </w:tc>
        <w:tc>
          <w:tcPr>
            <w:tcW w:w="0" w:type="dxa"/>
            <w:vAlign w:val="bottom"/>
          </w:tcPr>
          <w:p>
            <w:pPr>
              <w:spacing w:after="0"/>
              <w:rPr>
                <w:sz w:val="1"/>
                <w:szCs w:val="1"/>
                <w:color w:val="auto"/>
              </w:rPr>
            </w:pPr>
          </w:p>
        </w:tc>
      </w:tr>
      <w:tr>
        <w:trPr>
          <w:trHeight w:val="183"/>
        </w:trPr>
        <w:tc>
          <w:tcPr>
            <w:tcW w:w="56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54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16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4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revenue recorded for the nine months ended January 31, 2016 and 2015 was generated from cost-sharing contracts, which result in zero gross profit. In the nine months ended January 31, 2015, our fixed-price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of our PowerBuoy systems, the nature of our contracts generating revenues to fund our product development efforts, and our ability to manage costs incurred on fixed price commercial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development of new products, product applications and complementary technologies. We expense all of our product development costs as incurred. Over the next several years, it is our intent to fund the majority of our product development efforts with sources from commercial relationships, including cost-sharing arrangements. If we are unable to obtain commercial relationships or cost-sharing arrangements, we may curtail our development expenses and scope as necessary. We recently narrowed our development focus to the APB350 to drive toward commercialization of that product. We may continue development of the PB10 if we determine that future relationships warrant incurring the costs associated with such product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and interest expense paid on certain obligations to third parties. Total cash, cash equivalents, restricted cash, and marketable securities were $9.8 million as of January 31, 2016, compared to $20.5 million as of January 31, 2015.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interest income reported in fiscal 2016 will continue to be lower than the comparable periods of the prior fiscal year as a result of the decrease in invested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$1.3 million as of January 31, 2016 and $1.2 million as of January 31, 2015, compared to our total cash, cash equivalents, restricted cash, and marketable securities balances of $9.8 million as of January 31, 2016, and $20.5 million as of January 31, 2015. These foreign currency balances are translated at each month end to our functional currency, the US dollar, and any resulting gain or loss is recognized in our results of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nine months ended January 31, 2016 and 2015, were recorded in Euros.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nine months ended January 31, 2016 and 2015, we sold New Jersey net operating tax loss carryforwards and research and development credits resulting in income tax benefits of $1.7 million and $1.1 million, respectively. Previously, these carryforward amounts were subject to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2016 Compared to Three Months Ended January 31, 2015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January 31, 2016 and 2015:</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900" w:type="dxa"/>
            <w:vAlign w:val="bottom"/>
            <w:gridSpan w:val="6"/>
            <w:vMerge w:val="restart"/>
          </w:tcPr>
          <w:p>
            <w:pPr>
              <w:jc w:val="right"/>
              <w:ind w:right="280"/>
              <w:spacing w:after="0"/>
              <w:rPr>
                <w:sz w:val="20"/>
                <w:szCs w:val="20"/>
                <w:color w:val="auto"/>
              </w:rPr>
            </w:pPr>
            <w:r>
              <w:rPr>
                <w:rFonts w:ascii="Arial" w:cs="Arial" w:eastAsia="Arial" w:hAnsi="Arial"/>
                <w:sz w:val="18"/>
                <w:szCs w:val="18"/>
                <w:b w:val="1"/>
                <w:bCs w:val="1"/>
                <w:color w:val="auto"/>
                <w:w w:val="92"/>
              </w:rPr>
              <w:t>Three Months ended January 31,</w:t>
            </w:r>
          </w:p>
        </w:tc>
        <w:tc>
          <w:tcPr>
            <w:tcW w:w="15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94"/>
              </w:rPr>
              <w:t>% Change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20" w:type="dxa"/>
            <w:vAlign w:val="bottom"/>
          </w:tcPr>
          <w:p>
            <w:pPr>
              <w:spacing w:after="0"/>
              <w:rPr>
                <w:sz w:val="19"/>
                <w:szCs w:val="19"/>
                <w:color w:val="auto"/>
              </w:rPr>
            </w:pPr>
          </w:p>
        </w:tc>
        <w:tc>
          <w:tcPr>
            <w:tcW w:w="2900" w:type="dxa"/>
            <w:vAlign w:val="bottom"/>
            <w:gridSpan w:val="6"/>
            <w:vMerge w:val="continue"/>
          </w:tcPr>
          <w:p>
            <w:pPr>
              <w:spacing w:after="0"/>
              <w:rPr>
                <w:sz w:val="19"/>
                <w:szCs w:val="19"/>
                <w:color w:val="auto"/>
              </w:rPr>
            </w:pPr>
          </w:p>
        </w:tc>
        <w:tc>
          <w:tcPr>
            <w:tcW w:w="15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9"/>
              </w:rPr>
              <w:t>2016 Period to</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520" w:type="dxa"/>
            <w:vAlign w:val="bottom"/>
            <w:gridSpan w:val="2"/>
          </w:tcPr>
          <w:p>
            <w:pPr>
              <w:jc w:val="center"/>
              <w:ind w:right="190"/>
              <w:spacing w:after="0"/>
              <w:rPr>
                <w:sz w:val="20"/>
                <w:szCs w:val="20"/>
                <w:color w:val="auto"/>
              </w:rPr>
            </w:pPr>
            <w:r>
              <w:rPr>
                <w:rFonts w:ascii="Arial" w:cs="Arial" w:eastAsia="Arial" w:hAnsi="Arial"/>
                <w:sz w:val="18"/>
                <w:szCs w:val="18"/>
                <w:b w:val="1"/>
                <w:bCs w:val="1"/>
                <w:color w:val="auto"/>
                <w:w w:val="90"/>
              </w:rPr>
              <w:t>2015 Period</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328,511</w:t>
            </w:r>
          </w:p>
        </w:tc>
        <w:tc>
          <w:tcPr>
            <w:tcW w:w="2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379,106</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(99)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373,903</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loss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(50,595)</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1,752,001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1,082,628</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62</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(669,373)</w:t>
            </w:r>
          </w:p>
        </w:tc>
        <w:tc>
          <w:tcPr>
            <w:tcW w:w="0" w:type="dxa"/>
            <w:vAlign w:val="bottom"/>
          </w:tcPr>
          <w:p>
            <w:pPr>
              <w:spacing w:after="0"/>
              <w:rPr>
                <w:sz w:val="1"/>
                <w:szCs w:val="1"/>
                <w:color w:val="auto"/>
              </w:rPr>
            </w:pPr>
          </w:p>
        </w:tc>
      </w:tr>
      <w:tr>
        <w:trPr>
          <w:trHeight w:val="216"/>
        </w:trPr>
        <w:tc>
          <w:tcPr>
            <w:tcW w:w="452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1,690,420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1,956,702</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266,282</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3,442,421</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3,039,330</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13</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(403,091)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(3,442,421)</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(3,089,925)</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352,496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6,793</w:t>
            </w:r>
          </w:p>
        </w:tc>
        <w:tc>
          <w:tcPr>
            <w:tcW w:w="1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(3,114)</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(188,424)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(246,002)</w:t>
            </w:r>
          </w:p>
        </w:tc>
        <w:tc>
          <w:tcPr>
            <w:tcW w:w="1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(57,578)</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(3,632,831)</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(3,329,134)</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303,697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1,137,872</w:t>
            </w:r>
          </w:p>
        </w:tc>
        <w:tc>
          <w:tcPr>
            <w:tcW w:w="1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(536,990)</w:t>
            </w:r>
          </w:p>
        </w:tc>
        <w:tc>
          <w:tcPr>
            <w:tcW w:w="0" w:type="dxa"/>
            <w:vAlign w:val="bottom"/>
          </w:tcPr>
          <w:p>
            <w:pPr>
              <w:spacing w:after="0"/>
              <w:rPr>
                <w:sz w:val="1"/>
                <w:szCs w:val="1"/>
                <w:color w:val="auto"/>
              </w:rPr>
            </w:pPr>
          </w:p>
        </w:tc>
      </w:tr>
      <w:tr>
        <w:trPr>
          <w:trHeight w:val="20"/>
        </w:trPr>
        <w:tc>
          <w:tcPr>
            <w:tcW w:w="4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(1,957,969)</w:t>
            </w: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(2,191,262)</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(233,293)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(gain) loss attributable to</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20"/>
              <w:spacing w:after="0"/>
              <w:rPr>
                <w:sz w:val="20"/>
                <w:szCs w:val="20"/>
                <w:color w:val="auto"/>
              </w:rPr>
            </w:pPr>
            <w:r>
              <w:rPr>
                <w:rFonts w:ascii="Arial" w:cs="Arial" w:eastAsia="Arial" w:hAnsi="Arial"/>
                <w:sz w:val="18"/>
                <w:szCs w:val="18"/>
                <w:color w:val="auto"/>
              </w:rPr>
              <w:t>the noncontrolling interest in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Ocean Power Technologies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20"/>
              <w:spacing w:after="0"/>
              <w:rPr>
                <w:sz w:val="20"/>
                <w:szCs w:val="20"/>
                <w:color w:val="auto"/>
              </w:rPr>
            </w:pPr>
            <w:r>
              <w:rPr>
                <w:rFonts w:ascii="Arial" w:cs="Arial" w:eastAsia="Arial" w:hAnsi="Arial"/>
                <w:sz w:val="18"/>
                <w:szCs w:val="18"/>
                <w:color w:val="auto"/>
              </w:rPr>
              <w:t>(Australasia) Pty Ltd</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5,291</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(1,957,969)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(2,185,971)</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Revenues decreased by $0.3 million, or 98%, to $5,000 in the three months ended January 31, 2016, as compared to $0.3 million in the three months ended January 31, 2015. The decrease in revenue is the result of the completion of the billable work on contracts under which we performed in the 2015 period with no associated billable work in the 2016 period and a decrease in billable work under the current phase of our project with MES in the 2015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revenues decreased by $0.3 million, or 99%, to $5,000 in the three months ended January 31, 2016, as compared to $0.3 million in the three months ended January 31, 2015. The decrease in cost of revenues is the result of the completion of billable work under certain contracts under which we performed in the 2015 period and the decrease in billable work under the current phase of our project with MES.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of our projects in the three month periods ended January 31, 2016 and 2015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generating revenues through sales of our PowerBuoy systems, the nature of contracts relating for our development efforts, and on our ability to manage costs incurred on our fixed price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development costs were $1.8 million and $1.1 million in the three months ended January 31, 2016 and 2015, respectively. Product development costs for the three months ended January 31, 2016, increased principally as a result of the inclusion of the costs associated with the deployment, retrieval and continued sea trials of the APB350 A1 PowerBuoy during the 2016 period, in addition to the continued application development costs associated with the investigation of the use of our PowerBuoys in the autonomous applications markets. Over the next several years, it is our goal to fund the majority of our research and development expenses, including cost-sharing arrangements, with sources of external funding. If we are unable to obtain commercial relationships or cost-sharing arrangements, we may curtail our development expenses and scope as necessary. We recently narrowed our focus to the APB350 to drive toward commercialization. We may continue development of the PB10 if we determine that future relationships warrant incurring the costs associated with such product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decreased by approximately $0.3 million, or 14%, to $1.7 million for the three months ended January 31, 2016 as compared to $2.0 million for the three months ended January 31, 2015. The decrease was related to decreased patent amortization costs, lower third party consultant fees and certain employee related costs, offset by an increase of legal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(expense) net decreased to $1,000 for the three months ended January 31, 2016, as compared to $7,000 in the three months ended January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was $188,000 for the three months ended January 31, 2016, compared to a foreign exchange loss of $246,000 for the three months ended January 31, 2015. The difference was attributable primarily to the relative change in value of the British pound sterling, Euro and Australian dollar compared to the US dollar during the two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three months ended January 31, 2016 and 2015, we sold New Jersey net operating tax loss carryforwards and research and development credits resulting in income tax benefits of $1.7 million and $1.1 million, respectively. Previously, these amounts were subject to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460375</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Nine Months Ended January 31, 2016 Compared to Nine Months Ended January 31, 2015</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nine months ended January 31,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5"/>
            <w:vMerge w:val="restart"/>
          </w:tcPr>
          <w:p>
            <w:pPr>
              <w:jc w:val="right"/>
              <w:ind w:right="620"/>
              <w:spacing w:after="0"/>
              <w:rPr>
                <w:sz w:val="20"/>
                <w:szCs w:val="20"/>
                <w:color w:val="auto"/>
              </w:rPr>
            </w:pPr>
            <w:r>
              <w:rPr>
                <w:rFonts w:ascii="Arial" w:cs="Arial" w:eastAsia="Arial" w:hAnsi="Arial"/>
                <w:sz w:val="18"/>
                <w:szCs w:val="18"/>
                <w:b w:val="1"/>
                <w:bCs w:val="1"/>
                <w:color w:val="auto"/>
                <w:w w:val="96"/>
              </w:rPr>
              <w:t>Nine Months ended January 31,</w:t>
            </w:r>
          </w:p>
        </w:tc>
        <w:tc>
          <w:tcPr>
            <w:tcW w:w="17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4"/>
              </w:rPr>
              <w:t>% Change</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40" w:type="dxa"/>
            <w:vAlign w:val="bottom"/>
            <w:gridSpan w:val="5"/>
            <w:vMerge w:val="continue"/>
          </w:tcPr>
          <w:p>
            <w:pPr>
              <w:spacing w:after="0"/>
              <w:rPr>
                <w:sz w:val="19"/>
                <w:szCs w:val="19"/>
                <w:color w:val="auto"/>
              </w:rPr>
            </w:pPr>
          </w:p>
        </w:tc>
        <w:tc>
          <w:tcPr>
            <w:tcW w:w="17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2016 Period to</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74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0"/>
              </w:rPr>
              <w:t>2015 Period</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605,281</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3,616,827</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605,281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4,344,346</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loss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(727,519)</w:t>
            </w: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5,412,445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2,227,060</w:t>
            </w:r>
          </w:p>
        </w:tc>
        <w:tc>
          <w:tcPr>
            <w:tcW w:w="1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5,419,358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7,788,552</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10,831,803</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10,015,612</w:t>
            </w:r>
          </w:p>
        </w:tc>
        <w:tc>
          <w:tcPr>
            <w:tcW w:w="2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Operating loss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(10,831,803)</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(10,743,131)</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(48,403)</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239,813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(194,266)</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(467,909)</w:t>
            </w:r>
          </w:p>
        </w:tc>
        <w:tc>
          <w:tcPr>
            <w:tcW w:w="1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(10,776,293)</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(11,074,443)</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1,674,862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1,137,872</w:t>
            </w:r>
          </w:p>
        </w:tc>
        <w:tc>
          <w:tcPr>
            <w:tcW w:w="17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(9,101,431)</w:t>
            </w: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(9,936,571)</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Net (gain) loss attributable to</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the noncontrolling interest in</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Ocean Power Technologies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00" w:type="dxa"/>
            <w:vAlign w:val="bottom"/>
          </w:tcPr>
          <w:p>
            <w:pPr>
              <w:ind w:left="320"/>
              <w:spacing w:after="0"/>
              <w:rPr>
                <w:sz w:val="20"/>
                <w:szCs w:val="20"/>
                <w:color w:val="auto"/>
              </w:rPr>
            </w:pPr>
            <w:r>
              <w:rPr>
                <w:rFonts w:ascii="Arial" w:cs="Arial" w:eastAsia="Arial" w:hAnsi="Arial"/>
                <w:sz w:val="18"/>
                <w:szCs w:val="18"/>
                <w:color w:val="auto"/>
              </w:rPr>
              <w:t>(Australasia) Pty Ltd</w:t>
            </w:r>
          </w:p>
        </w:tc>
        <w:tc>
          <w:tcPr>
            <w:tcW w:w="2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(45,340)</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98,154</w:t>
            </w:r>
          </w:p>
        </w:tc>
        <w:tc>
          <w:tcPr>
            <w:tcW w:w="1740" w:type="dxa"/>
            <w:vAlign w:val="bottom"/>
            <w:gridSpan w:val="2"/>
          </w:tcPr>
          <w:p>
            <w:pPr>
              <w:jc w:val="right"/>
              <w:ind w:right="70"/>
              <w:spacing w:after="0"/>
              <w:rPr>
                <w:sz w:val="20"/>
                <w:szCs w:val="20"/>
                <w:color w:val="auto"/>
              </w:rPr>
            </w:pPr>
            <w:r>
              <w:rPr>
                <w:rFonts w:ascii="Arial" w:cs="Arial" w:eastAsia="Arial" w:hAnsi="Arial"/>
                <w:sz w:val="18"/>
                <w:szCs w:val="18"/>
                <w:color w:val="auto"/>
              </w:rPr>
              <w:t>(146)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Ocean Power Technologies, Inc</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(9,146,771)</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(9,838,417)</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spacing w:after="0" w:line="210" w:lineRule="exact"/>
              <w:rPr>
                <w:sz w:val="20"/>
                <w:szCs w:val="20"/>
                <w:color w:val="auto"/>
              </w:rPr>
            </w:pPr>
            <w:r>
              <w:rPr>
                <w:rFonts w:ascii="Arial" w:cs="Arial" w:eastAsia="Arial" w:hAnsi="Arial"/>
                <w:sz w:val="24"/>
                <w:szCs w:val="24"/>
                <w:color w:val="auto"/>
                <w:vertAlign w:val="subscript"/>
              </w:rPr>
              <w:t>(7</w:t>
            </w: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1"/>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50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decreased by $3.0 million, or 83%, to $0.6 million in the nine months ended January 31, 2016, as compared to $3.6 million in the nine months ended January 31, 2015. The decrease in revenue is related to decreased revenue as a result of the completion of billable work on contracts under which we performed in the prior year with no associated work in the current year, decreased billable work related to the completion of our WavePort contract with the EU in fiscal 2015 and the decrease in billable work under the current phase of our project with MES. This is discussed more fully in the Overview section of the MD&amp;A.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revenues decreased by $3.7 million, or 86%, to $0.6 million in the nine months ended January 31, 2016, as compared to $4.3 million in the nine months ended January 31, 2015. The decrease in cost of revenue is related to decreased revenue as a result of the billable work on contracts under which we performed in the 2015 period with no corresponding work performed in the 2016 period, decreased billable work related to the completion of our WavePort contract with the EU in fiscal 2015 and the decrease in billable work under the project with MES. This is discussed more fully in the Overview section of the MD&amp;A. During the nine months ended January 31, 2015, our firm-fixed price contract with MES recorded under the percentage-of-completion method had an increase in estimated total costs of the project. This increase in estimated project costs resulted in a gross loss and we recorded an accrual for the future anticipated loss on the contract.</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Some of our projects in the nine-month periods ended January 31, 2016 and 2015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generating revenues through sales of our PowerBuoy systems, the nature of contracts relating to our development efforts and on our ability to manage costs incurred on our fixed price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development costs increased by $3.2 million, or 143%, to $5.4 million in the nine months ended January 31, 2016, as compared to $2.2 million in the nine months ended January 31, 2015. The increase in product development costs was related primarily to increased costs associated with the deployment and retrieval costs of our legacy PB40 and APB350 A1 PowerBuoys, in addition to the continued application development costs associated with the investigation of the use of our PowerBuoys in autonomous market applications. Over the next several years, it is our intent to fund the majority of our product development efforts with sources from commercial relationships, including cost-sharing arrangements. If we are unable to obtain commercial relationships or cost-sharing arrangements, we may curtail our development expenses and scope as necessary. We recently narrowed our focus to the APB350 to drive toward commercialization. We may continue development of the PB10 if we determine that future relationships warrant incurring the costs associated with such product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decreased by approximately $2.4 million, or 30%, to $5.4 million for the nine months ended January 31, 2016 as compared to $7.8 million for the nine months ended January 31, 2015. The decrease was related to site development expenses related to our project in Australia which was terminated in the 2015 period, and we incurred lower patent amortization costs and third party consultant fees in the 2016 period. These decreases were partially offset by increased employee related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(expense),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(expense), net increased to $10,000 for the nine months ended January 31, 2016, as compared to interest expense, net of $(48,403) in the nine months ended January 31, 2015. During the nine months ended January 31, 2015, we recorded interest expense related to the repayment of funds received in March 2014 from ARENA of $5.2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loss was $194,000 for the nine months ended January 31, 2016, compared to a foreign exchange loss of $468,000 for the nine months ended January 31, 2015. The difference was attributable primarily to the relative change in value of the British pound sterling, Euro and Australian dollar compared to the US dollar during the two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nine months ended January 31, 2016, we received a refund of $240,000 related to research and development expenditures in Australia. During the nine months ended January 31, 2015, we reached a favorable settlement with a vendor regarding a disputed transaction, in the amount of $185,000.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January 31, 2016 and 2015, we sold New Jersey net operating tax loss carryforwards and research and development credits resulting in income tax benefits of $1.7 million and $1.1 million, respectively. Previously, these amounts were subject to valuation allowances.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developing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Since fiscal 2002, government agencies have accounted for a significant portion of our revenues, which were largely for the support of our product development efforts. Our goal is that an increased portion of our revenues will be from the sale of products and maintenance services, as compared to revenue from grants to support our product development efforts. As we continue to advance our proprietary technologies, we expect to have a net use of cash in operating activities unless or until we achieve positive cash flow from the planned commercialization of products and services.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2015, our net losses were $24.4 million and our net cash used in operating activities was $23.7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Cash flows for the nine months ended January 31, 2016 and 2015 were as follows: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7"/>
              </w:rPr>
              <w:t>Nine Months Ended January 31,</w:t>
            </w: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(9,101,431)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(9,936,571)</w:t>
            </w: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576,309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1,437,525</w:t>
            </w:r>
          </w:p>
        </w:tc>
      </w:tr>
      <w:tr>
        <w:trPr>
          <w:trHeight w:val="210"/>
        </w:trPr>
        <w:tc>
          <w:tcPr>
            <w:tcW w:w="580" w:type="dxa"/>
            <w:vAlign w:val="bottom"/>
          </w:tcPr>
          <w:p>
            <w:pPr>
              <w:spacing w:after="0"/>
              <w:rPr>
                <w:sz w:val="18"/>
                <w:szCs w:val="18"/>
                <w:color w:val="auto"/>
              </w:rPr>
            </w:pPr>
          </w:p>
        </w:tc>
        <w:tc>
          <w:tcPr>
            <w:tcW w:w="68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(8,525,122)</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(8,499,046)</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449,101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(6,252,578)</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(8,076,021)</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(14,751,624)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112,936</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21,176,744</w:t>
            </w:r>
          </w:p>
        </w:tc>
      </w:tr>
      <w:tr>
        <w:trPr>
          <w:trHeight w:val="197"/>
        </w:trPr>
        <w:tc>
          <w:tcPr>
            <w:tcW w:w="58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580" w:type="dxa"/>
            <w:vAlign w:val="bottom"/>
          </w:tcPr>
          <w:p>
            <w:pPr>
              <w:spacing w:after="0"/>
              <w:rPr>
                <w:sz w:val="22"/>
                <w:szCs w:val="22"/>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126,001</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(75,659)</w:t>
            </w:r>
          </w:p>
        </w:tc>
      </w:tr>
      <w:tr>
        <w:trPr>
          <w:trHeight w:val="197"/>
        </w:trPr>
        <w:tc>
          <w:tcPr>
            <w:tcW w:w="580" w:type="dxa"/>
            <w:vAlign w:val="bottom"/>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(339,214)</w:t>
            </w:r>
          </w:p>
        </w:tc>
      </w:tr>
      <w:tr>
        <w:trPr>
          <w:trHeight w:val="20"/>
        </w:trPr>
        <w:tc>
          <w:tcPr>
            <w:tcW w:w="58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$8.1 million and $14.8 million for the nine months ended January 31, 2016 and 2015, respectively. The change was the result of a decrease in net loss of $0.8 million and the net change in operating assets and liabilities of $6.7 million, partially offset by a decrease in cash provided by noncash operating items of $0.9 million.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decrease in net loss for the nine months ended January 31, 2016 compared to the nine months ended January 31, 2015 reflects an increase in product development costs of $3.2 million relating primarily to multiple deployments and retrievals of PowerBuoys, offset by a decrease in SG&amp;A costs of $2.4 million relating primarily to decreased legal fees to address the shareholder litigation and related matters, decreased site development expenses related to our terminated project in Australia, a decrease in the net change of other income and foreign exchange loss of $0.3 million and an increase of $0.6 million in income tax benefits. In addition, the nine months ended January 31, 2015 reflects a gross loss of $0.7 million relating to our project with MES.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noncash operating items reflects a decrease in amortization expense for patents of $0.6 million and a decrease in foreign exchange loss of $0.3 million, offset by an increase in equity compensation of $0.1 million.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operating assets and liabilities reflects the advanced payment received from customers of $4.7 million and the change in unearned revenue of $1.0 million, the change in accrued expenses of $0.7 million, the change in unbilled receivables of $0.2 million, the change in other noncurrent assets of $0.2 million and the change in accounts payable of $0.4 million for the nine months ended January 31, 2015, offset by the change in accounts receivable of $0.2 million, and the change in other assets of $0.3 million during the nine months ended January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was $0.1 million and $21.2 million for the nine months ended January 31, 2016 and 2015, respectively. The change was primarily the result of a decrease in restricted cash of $0.1 million during the nine months ended January 31, 2016. The change for the nine months ended January 31, 2015 was primarily the result of a net increase of $11.9 million in maturities of marketable securities during the nine months ended January 31, 2015 and an increase from restricted cash of $7.6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(used in) financing activities was $126,000 and $(75,000), respectively, for the nine months ended January 31, 2016 and 2015. The net cash provided by financing activities in the nine months ended January 31, 2016 was primarily from the sale of our Common Stock in the 2016 ATM Offering of $205,000 offset by $75,000 of debt repayment and $4,000 of treasury stock purchases. During the nine months ended January 31, 2015, the net cash used was primarily for repayment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 decrease of $85,000 and $339,000 in the nine months ended January 31, 2016 and 2015, respectively.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w:t>
      </w:r>
    </w:p>
    <w:p>
      <w:pPr>
        <w:spacing w:after="0" w:line="178" w:lineRule="exact"/>
        <w:rPr>
          <w:sz w:val="20"/>
          <w:szCs w:val="20"/>
          <w:color w:val="auto"/>
        </w:rPr>
      </w:pPr>
    </w:p>
    <w:p>
      <w:pPr>
        <w:ind w:left="700" w:hanging="37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development efforts for our PowerBuoys;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success rate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37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right="1900" w:hanging="379"/>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 and</w:t>
      </w:r>
    </w:p>
    <w:p>
      <w:pPr>
        <w:spacing w:after="0" w:line="170" w:lineRule="exact"/>
        <w:rPr>
          <w:rFonts w:ascii="Arial" w:cs="Arial" w:eastAsia="Arial" w:hAnsi="Arial"/>
          <w:sz w:val="18"/>
          <w:szCs w:val="18"/>
          <w:color w:val="auto"/>
        </w:rPr>
      </w:pPr>
    </w:p>
    <w:p>
      <w:pPr>
        <w:ind w:left="700" w:hanging="37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shareholder and other litigation and regulatory inquiries.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incurred net losses and negative operating cash flows since inception. As of January 31, 2016, we had an accumulated deficit of $173.9 million. As of January 31, 2016, our cash and cash equivalents and marketable securities balance was approximately $9.5 million. Based upon our cash and cash equivalents and marketable securities balance as of January 31, 2016, we believe that we will be able to finance our capital requirements and operations into the quarter ending October 31, 2016. In addition, as of January 31, 2016, our restricted cash balance was approximately $0.4 million. We will require additional equity and/or debt financing to continue our operations as a going concern. If we are unable to raise additional funds when needed, our ability to operate and grow our business could be impaired. We do not know whether we will be able to secure additional funding when needed or at all, or, if funding is obtained, whether the terms will be favorable to us.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expect to continue to make investments in ongoing product development efforts in anticipation of future growth. Our future results of operations involve significant risks and uncertainties. Factors that could affect the Company’s future operating results and cause actual results to vary materially from our expectations include, but are not limited to, risks from insufficiencies of capital, technology development, scalability of technology and production, dependence on skills of key personnel, concentration of customers and suppliers, performance of our PowerBuoys, deployment risks and laws, regulations and permitting. In order to complete our future growth strategy, we will require additional equity and/or debt financing. There is no assurance that additional equity and/or debt financing will be available to us when needed. Historically, we have raised proceeds through public capital markets. If sufficient financing is not obtained, we may be required to further curtail or limit certain product development costs and product development activities, and/or selling, general and administrative activities in order to reduce our cash expenditures.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January 2013, we filed the 2013 Form S-3. The 2013 Form S-3 was declared effective in February 2013. Under the Form S-3 Shelf we established an ATM Facility with Ascendiant and offered and sold shares of our Common Stock from time to time through Ascendiant, acting as sales agent, in ordinary brokerage transactions at prevailing market prices. Under that ATM Facility, during fiscal 2014, we issued 330,633 shares of our common stock at an average price to the public of $30.20 per share, receiving net proceeds from the ATM Facility of approximately $9,698,000.</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Also in fiscal 2014, we entered into an Underwriting Agreement with Roth Capital Partners, LLC on April 4, 2014, with respect to the issuance and sale in an underwritten Public Offering of an aggregate of 380,000 shares of our Common Stock at a price of $30.10 per share under the 2013 Form S-3. The Underwriting Agreement contained customary representations, warranties and agreements by us, customary conditions to closing, indemnification obligations, and a 90 day lock-up period that limited transactions in our common stock by us. Net proceeds from that Public Offering, which was completed in early April 2014, were approximately $10,828,000.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During fiscal 2015, we did not sell any securities under or receive any proceeds from the sale of securities under the Form S-3 Shelf.</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October 2015, the Company entered into the Offering Agreement with the Manager under which the Company may offer and sell shares of our Common Stock, having an aggregate offering price of up to $2,906,836 from time to time through or to the Manager, acting as sales agent and/or principal, in reliance on and subject to the limitations of General Instruction I.B.6 of Form S-3 and other applicable laws and regulations. Under the Offering Agreement, during the quarter ended January 31, 2016, we sold 95,024 shares of Common Stock at an average price of $2.13 per share, for net proceeds to the Company of approximately $199,000 and we paid the Manager a sales commission of approximately $3,000 related to those shares. The Company has no obligation to sell shares of Common Stock under the Offering Agreement and may at any time upon notice terminate the Offering Agreement.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Form S-3 limits the aggregate market value of securities that we are permitted to offer in any 12-month period under our 2013 S-3 Shelf, whether under the ATM Agreement, the Underwriting Agreement or otherwise, to one third of our public float. In 2014, we fully utilized our available transaction capacity to sell securities using the 2013 Form S-3 Shelf in the ATM offering. However, we regained the ability to utilize Form S-3 as we entered fiscal 2016. Under the SEC’s regulations, the securities registered under our 2013 Form S-3 Shelf may only be offered and sold if not more than three years have elapsed from the initial effective date of the Form S-3, except that if a new shelf registration statement is filed then we are permitted to continue to offer and sell securities under the Form S-3 until the earlier of the effective date of the new shelf registration statement or 180 days after the third anniversary of the initial effective date. On February 12, 2016, we filed a new Form S-3 shelf registration statement to register the offering and sale of up to $15 million in securities. The 2016 Form S-3 registration statement has not yet been declared effective by the SEC. Subject to compliance with applicable laws and regulations, we may continue to offer and sell shares of our Common Stock in the 2015 ATM offering with the Manager under the Offering Agreement until the earlier of August 10, 2016 or the date on which the SEC declares effective the 2016 Form S-3.</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Offering Agreement with the Manager, we may offer and sell up to $2,906,836 of our Common Stock in the 2015 ATM Offering. However, pursuant to General Instruction I.B.6 of Form S-3, at the time of filing the 2016 Form S-3, we were able to offer and sell only $1,597,102 of our Common Stock under the 2016 Form S-3, and, as of the date of that filing, we had already offered and sold $251,603 in value of our Common Stock under the Offering Agreement. Thus, under the 2016 Form S-3, we are seeking to register the offering and sale of up to $1,345,499 in value of our Common Stock for sale in the 2015 ATM Offering, which securities are included in the $15 million of securities we are seeking to register for offer and sale on the 2016 Form S-3.</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current projects, and our planned product development and marketing efforts, which could materially and adversely affect our financial condition and operating results.</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fiscal 2015, the Company returned the initial grant funding received of AU$5,595,723 (US$5,179,960) and interest of AU$109,051 (US$102,061) to ARENA. This was related to the VWP Board of Directors’ determination that the project contemplated by the grant was no longer commercially viable.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under the supervision and with the participation of our Chief Executive Officer and Chief Financial Officer, evaluated the effectiveness of the design and operation of our disclosure controls and procedures as of January 31, 2016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January 31, 2016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454"/>
        <w:spacing w:after="0" w:line="276" w:lineRule="auto"/>
        <w:rPr>
          <w:sz w:val="20"/>
          <w:szCs w:val="20"/>
          <w:color w:val="auto"/>
        </w:rPr>
      </w:pPr>
      <w:r>
        <w:rPr>
          <w:rFonts w:ascii="Arial" w:cs="Arial" w:eastAsia="Arial" w:hAnsi="Arial"/>
          <w:sz w:val="17"/>
          <w:szCs w:val="17"/>
          <w:color w:val="auto"/>
        </w:rPr>
        <w:t>As required by Rule 13a-15(d) of the Exchange Act, our management, including our principal executive officer and principal financial officer, conducted an evaluation of the internal control over financial reporting to determine whether any changes occurred during the quarter ended January 31, 2016 that have materially affected, or are reasonably likely to materially affect, our internal control over financial reporting. During the third quarter of fiscal 2016, our controller resigned, and we do not currently intend to fill that position with a full-time employee. We have reassigned the controller’s duties to other individuals in the organization. There were no other changes during the quarter ended January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its former Chief Executive Officer Charles Dunleavy are defendants in consolidated securities class action lawsuits filed, and pending in the United States District Court for the District of New Jersey captioned In Re: Ocean Power Technologies, Inc. Securities Litigation, Civil Action No. 14-3799 (FLW) (LHG). The consolidated actions are Roby v. Ocean Power Technologies, Inc., et al., Case No. 3:14-cv-03799-FLW-LHG (filed June 13, 2014); Chew, et al. v. Ocean Power Technologies, Inc. et. al., Case No 3:14-cv-03815 (filed June 13, 2014); Konstantinidis v. Ocean Power Technologies, Inc., et al., Case No. 3:14-cv-04015 (filed June 23, 2014); and Turner v. Ocean Power Technologies, Inc., et al., Case No. 3:14-cv-04592 filed (July 22, 2014). On March 17, 2015, the court entered an order appointing Five More Special Situation Fund Ltd. as the lead plaintiff.</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9, 2015, the lead plaintiff filed a third amended class action complaint which alleges claims for violations of sections 12(a) (2) and 15 of the Securities Act of 1933 and for violations of §10(b) and §20(a) of the Securities Exchange Act of 1934 arising out of public statements relating to the Company’s technology and a now terminated agreement between Victorian Wave Partners Pty. Ltd. (VWP) and the Australian Renewable Energy Agency (ARENA) for the development of a wave power station (the "VWP Project"). The third amended class action complaint seeks unspecified monetary damages and other relief. On November 5, 2015, the Company filed a motion to dismiss the third amended class action complaint. The Lead plaintiff filed a brief in opposition to the motion on December 7, 2015, and defendants filed a reply in support of the motion on December 21, 2015. The Court has not yet ruled on the motion.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10, 2014, the Company received a demand letter ("Demand Letter") from an attorney claiming to represent a shareholder demanding that the Company's Board of Directors establish an independent committee to investigate and remedy alleged breaches of fiduciary duties by the Board of Directors and management relating to the VWP Project. The Company invited the attorney to participate in the Section 220 Demand process discussed below. On February 6, 2015, the Company produced documents to the attorney pursuant to a confidentiality agreement in connection with the Section 220 Demand process.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also received a letter, dated August 19, 2014, (the "Section 220 Demand") from another attorney claiming to represent a shareholder demanding, pursuant to 8 Del. C. §220, to inspect certain books and records of the Company relating to the VWP Project and the termination of Charles Dunleavy as the Company's Chief Executive Officer. The Company has received two additional Section 220 Demands relating to the same subject matter from attorneys claiming to represent two different shareholders. The Company has responded in writing to the three Section 220 Demands and on February 6, 2015 produced documents to each of the attorneys pursuant to confidentiality agreements.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and certain of its current and former directors and officers are defendants in a derivative lawsuit filed on March 18, 2015 in the United States District Court for the District of New Jersey captioned Labare v. Dunleavy, et. al., Case No. 3:15-cv-01980-FLW-LHG. The derivative complaint alleges claims for breach of fiduciary duty, abuse of control, gross mismanagement and unjust enrichment relating to the now terminated agreement between VWP and ARENA referred to above. The derivative complaint seeks unspecified monetary damages and other relief. On May 18, 2015, the plaintiff and all the defendants agreed to stay the derivative lawsuit pending action in the consolidated class action securities litigation discussed above (namely, a court order denying any motions to dismiss the commencement of discovery, a joint request to lift the stay, or further order of the court).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10, 2015, a second derivative lawsuit, captioned Rywolt v. Dunleavy</w:t>
      </w:r>
      <w:r>
        <w:rPr>
          <w:rFonts w:ascii="Arial" w:cs="Arial" w:eastAsia="Arial" w:hAnsi="Arial"/>
          <w:sz w:val="17"/>
          <w:szCs w:val="17"/>
          <w:i w:val="1"/>
          <w:iCs w:val="1"/>
          <w:color w:val="auto"/>
        </w:rPr>
        <w:t>,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September 2, 2015, the plaintiff and all the defendants agreed to stay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derivative lawsuit pending action in the consolidated class action securities litigation discussed above (namely, a court order denying any motions to dismiss the commencement of discovery, a joint request to lift the stay, or further order of the court). In addition, on September 2, 2015, the plaintiffs in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derivative lawsuits filed an unopposed motion to consolidate the two actions. On February 8, 2016, the Court entered an order (i)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(ii) appointing Labare and Rywolt as co-lead plaintiffs; (iii) appointing The Rosen Law Firm P.C. as lead counsel; and (iv) directing the co-lead plaintiffs to file a consolidated amended complaint within 30 days of the order.</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and its current directors are defendants in a lawsuit filed by an alleged shareholder in the Superior Court of New Jersey, Mercer County Chancery Division on January 25, 2016, captioned </w:t>
      </w:r>
      <w:r>
        <w:rPr>
          <w:rFonts w:ascii="Arial" w:cs="Arial" w:eastAsia="Arial" w:hAnsi="Arial"/>
          <w:sz w:val="17"/>
          <w:szCs w:val="17"/>
          <w:i w:val="1"/>
          <w:iCs w:val="1"/>
          <w:color w:val="auto"/>
        </w:rPr>
        <w:t>Stern v. Ocean Power Technologies, Inc., et al.</w:t>
      </w:r>
      <w:r>
        <w:rPr>
          <w:rFonts w:ascii="Arial" w:cs="Arial" w:eastAsia="Arial" w:hAnsi="Arial"/>
          <w:sz w:val="17"/>
          <w:szCs w:val="17"/>
          <w:color w:val="auto"/>
        </w:rPr>
        <w:t>, Civil Action No. C-5-16. The complaint alleges that certain provisions of the Company’s Articles of Incorporation and Bylaws providing that the Company’s directors may be removed only for cause and only by an affirmative vote of at least 75% of the votes which all the stockholders would be entitled to cast in any annual election of directors are invalid under Section 141(k) of the Delaware General Corporation Law. The Complaint asserts a breach of fiduciary claim against the director defendants and a declaratory judgment claim against all defendants seeking, among other things, to invalidate the current provisions and declare that the Company’s directors may be removed and replaced without cause and by a simple majority vote. The Complaint seeks declaratory and injunctive relief as well as unspecified costs and attorneys’ fees. Defendants have not yet responded to the 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480695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Employment Litigation</w:t>
      </w:r>
      <w:r>
        <w:rPr>
          <w:rFonts w:ascii="Arial" w:cs="Arial" w:eastAsia="Arial" w:hAnsi="Arial"/>
          <w:sz w:val="18"/>
          <w:szCs w:val="18"/>
          <w:b w:val="1"/>
          <w:bCs w:val="1"/>
          <w:color w:val="auto"/>
        </w:rPr>
        <w: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10, 2014, the Company announced that it had terminated Charles Dunleavy as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Subpoena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4, 2015, the Company received a subpoena from the Securities and Exchange Commission (“SEC”) requesting information related to the VWP Project.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i w:val="1"/>
          <w:i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should be read together with the risk factors contained in Item 1A of our Annual Report on Form 10-K for the year ended April 30, 2015and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6, 2015, except for the addition of the following: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future, if permitted pursuant to General Instruction I.B.6 of Form S-3, we may offer and sell additional shares of our Common Stock up to the $2,906,836 in value (of which we have already sold approximately $251,603 in value)in the 2015 ATM offering under the Sales Agreement. In addition, historically, we have financed our operations principally from public sales of our Common Stock and we have filed the 2016 Form S-3 seeking to register the offering and sale of up to $15 million in securities. The 2016 Form S-3 has not been declared effective by the SEC. The sale of a substantial number of shares of our Common Stock, or securities convertible or exchangeable for our Common Stock, or the perception that such sales may occur, could cause the trading price of our Common Stock to decline and it could decline materially and adversely.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experience substantial dilution in the value of their investment or their ownership interest if we issue additional shares of our capital stock in the future.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currently authorizes us to issue up to 50,000,000 shares of our common stock and to issue and designate the rights of, without stockholder approval, up to 5,000,000 shares of preferred stock. In the future, in order to raise additional capital, we may offer additional shares of our Common Stock or other securities convertible into or exchangeable for our Common Stock at prices that may not be the same as the price per share paid by other investors, and dilution to our stockholders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other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ind w:right="920"/>
        <w:spacing w:after="0" w:line="277" w:lineRule="auto"/>
        <w:rPr>
          <w:sz w:val="20"/>
          <w:szCs w:val="20"/>
          <w:color w:val="auto"/>
        </w:rPr>
      </w:pPr>
      <w:r>
        <w:rPr>
          <w:rFonts w:ascii="Arial" w:cs="Arial" w:eastAsia="Arial" w:hAnsi="Arial"/>
          <w:sz w:val="18"/>
          <w:szCs w:val="18"/>
          <w:b w:val="1"/>
          <w:bCs w:val="1"/>
          <w:i w:val="1"/>
          <w:iCs w:val="1"/>
          <w:color w:val="auto"/>
        </w:rPr>
        <w:t>We may issue debt and equity securities or securities convertible into equity securities, any of which may be senior to our Common Stock as to distributions and in liquidation, which could negatively affect the value of our Common Stock.</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future, we may attempt to increase our capital resources by entering into debt or debt-like financing that is unsecured or secured by some or all of our assets, or by issuing additional debt or equity securities, which could include issuances of secured or unsecured commercial paper, medium-term notes, senior notes, subordinated notes, guarantees, preferred stock, hybrid securities, or securities convertible into or exchangeable for equity securities, any of which may rank senior to our common stock. In the event of our liquidation, our lenders and holders of our debt and preferred securities would receive distributions of our available assets before distributions to the holders of our common stock. Because our decision to incur debt and issue securities in future offerings may be influenced by market conditions and other factors beyond our control, we cannot predict or estimate the amount, timing or nature of our future offerings or debt financings. Further, market conditions could require us to accept less favorable terms for the issuance of our securities in the future.</w:t>
      </w:r>
    </w:p>
    <w:p>
      <w:pPr>
        <w:spacing w:after="0" w:line="16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We have a pending SEC investigation that has caused us to incur significant costs and expenses and has diverted our management time, and could have a material adverse effect on our business, financial condition, results of operations, cash flow and our ability to raise capital in the future.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received a subpoena from the SEC arising out of public disclosures related to a now-terminated agreement between Victorian Wave Partners Pty. Ltd. (VWP), a second tier Australian subsidiary of the Company, and the Australian Renewable Energy Agency (ARENA), for the development of a wave power station. The Company has provided information to the SEC in response to that subpoena, and the Company continues to cooperate with the SEC in this investigation. We have incurred and expect to continue to incur significant professional fees and other costs related to the SEC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 If the SEC were to conclude that enforcement action is appropriate, we could be required to pay civil penalties and fines, and the SEC could impose other sanctions against us or against our current and former officers and directors. In addition, our Board of Directors, management and employees may expend a substantial amount of time on the SEC investigation, diverting resources and attention that would otherwise be directed toward our operations and implementation of our business strategy, all of which could materially adversely affect our business, financial condition, results of operations or cash flows.</w:t>
      </w:r>
    </w:p>
    <w:p>
      <w:pPr>
        <w:spacing w:after="0" w:line="39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We are the subject of pending and threatened securities and other litigation, which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the subject of certain pending and threatened litigation certain of which arises, in part, out of a securities offering that we conducted in April 2014 and other activities of the Company. This litigation is costly and time-consuming to defend and may distract our management from the daily operations of our business. We have received other requests for documents from other potential plaintiffs arising out of this securities offering, and we may be the subject of additional future securities litigation, which could adversely affect our company, our business and our liquidity. Although we maintain directors’ and officers’ insurance coverage, we cannot assure you that this insurance coverage will be sufficient to cover the substantial fees of lawyers and other professional advisors relating to this pending or any future litigation, our obligations to indemnify our officers and directors who may become parties to such pending and any future actions, or the amount of any judgments or settlements that we may be obligated to pay in connection with these lawsuits. In addition, these actions have caused our insurance premiums to increase, and we may be subject to additional increases in the future. Further, given the volatility of the market price of our common stock, we may be subject to future class action securities and other litigation. Accordingly, we have incurred and may continue to incur substantial legal expenses, judgments and/or settlements relating to pending, threatened and future litigation and our management time and attention may be diverted from the operation of our business, which could materially and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476885</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6900" w:type="dxa"/>
            <w:vAlign w:val="bottom"/>
            <w:gridSpan w:val="5"/>
          </w:tcPr>
          <w:p>
            <w:pPr>
              <w:spacing w:after="0"/>
              <w:rPr>
                <w:sz w:val="20"/>
                <w:szCs w:val="20"/>
                <w:color w:val="auto"/>
              </w:rPr>
            </w:pPr>
            <w:r>
              <w:rPr>
                <w:rFonts w:ascii="Arial" w:cs="Arial" w:eastAsia="Arial" w:hAnsi="Arial"/>
                <w:sz w:val="18"/>
                <w:szCs w:val="18"/>
                <w:b w:val="1"/>
                <w:bCs w:val="1"/>
                <w:color w:val="auto"/>
                <w:w w:val="97"/>
              </w:rPr>
              <w:t xml:space="preserve">Item 2. </w:t>
            </w:r>
            <w:r>
              <w:rPr>
                <w:rFonts w:ascii="Arial" w:cs="Arial" w:eastAsia="Arial" w:hAnsi="Arial"/>
                <w:sz w:val="18"/>
                <w:szCs w:val="18"/>
                <w:b w:val="1"/>
                <w:bCs w:val="1"/>
                <w:i w:val="1"/>
                <w:iCs w:val="1"/>
                <w:color w:val="auto"/>
                <w:w w:val="97"/>
              </w:rPr>
              <w:t>UNREGISTERED SALES OF EQUITY SECURITIES AND USE OF PROCEEDS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00" w:type="dxa"/>
            <w:vAlign w:val="bottom"/>
            <w:gridSpan w:val="5"/>
          </w:tcPr>
          <w:p>
            <w:pPr>
              <w:spacing w:after="0"/>
              <w:rPr>
                <w:sz w:val="20"/>
                <w:szCs w:val="20"/>
                <w:color w:val="auto"/>
              </w:rPr>
            </w:pPr>
            <w:r>
              <w:rPr>
                <w:rFonts w:ascii="Arial" w:cs="Arial" w:eastAsia="Arial" w:hAnsi="Arial"/>
                <w:sz w:val="18"/>
                <w:szCs w:val="18"/>
                <w:color w:val="auto"/>
              </w:rPr>
              <w:t>The following table details the Company’s share repurchases during the quarter:</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 as</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2"/>
              </w:rPr>
              <w:t>of</w:t>
            </w:r>
          </w:p>
        </w:tc>
        <w:tc>
          <w:tcPr>
            <w:tcW w:w="1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Part of Publicly</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Shares</w:t>
            </w:r>
          </w:p>
        </w:tc>
        <w:tc>
          <w:tcPr>
            <w:tcW w:w="1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Price Paid</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per Share</w:t>
            </w:r>
          </w:p>
        </w:tc>
        <w:tc>
          <w:tcPr>
            <w:tcW w:w="2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Plans</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Under the Plan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November 1-30, 2015</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December 1-31, 2015</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January 1-31, 2016</w:t>
            </w: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Represents shares delivered back to the Company by employees to pay taxes related to the vesting of restricted shares.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ind w:left="1000" w:right="660" w:hanging="665"/>
        <w:spacing w:after="0" w:line="277" w:lineRule="auto"/>
        <w:tabs>
          <w:tab w:leader="none" w:pos="9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Ocean Power Technologies, Inc. 2015 Omnibus Incentive Plan (incorporated by reference to Exhibit 10.1 to the Company’s registration statement on Form S-8 filed with the SEC on December 14, 2015)</w:t>
      </w:r>
    </w:p>
    <w:p>
      <w:pPr>
        <w:spacing w:after="0" w:line="170"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32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240"/>
        <w:spacing w:after="0"/>
        <w:tabs>
          <w:tab w:leader="none" w:pos="9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1000" w:hanging="627"/>
        <w:spacing w:after="0" w:line="255"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formatted in eXtensible Business Reporting Language (XBRL) from Ocean Power Technologies, Inc Quarterly Report on Form 10-Q for the quarter ended January 31, 2016, filed March 11, 2016: (i) Consolidated Balance Sheets – January 31, 2016 (unaudited) and April 30, 2015, (ii) Consolidated Statements of Operations (unaudited) – Three and Nine Months Ended January 31, 2016 and 2015, (iii) Consolidated Statements of Comprehensive Loss (unaudited) – Three and Nine Months Ended January 31, 2016 and 2015, (iv) Consolidated Statements of Cash Flows (unaudited) – Three and Nine Months Ended January 31, 2016 and 2015, (v) Consolidated Statements of Stockholders’ Equity (unaudited) – Three and Nine Months Ended January 31, 2016 and 2015 and (vi) Notes to Consolidated Financial Statements.</w:t>
      </w:r>
    </w:p>
    <w:p>
      <w:pPr>
        <w:spacing w:after="0" w:line="189" w:lineRule="exact"/>
        <w:rPr>
          <w:rFonts w:ascii="Arial" w:cs="Arial" w:eastAsia="Arial" w:hAnsi="Arial"/>
          <w:sz w:val="18"/>
          <w:szCs w:val="18"/>
          <w:color w:val="auto"/>
        </w:rPr>
      </w:pPr>
    </w:p>
    <w:p>
      <w:pPr>
        <w:ind w:left="1000" w:right="40"/>
        <w:spacing w:after="0" w:line="264" w:lineRule="auto"/>
        <w:rPr>
          <w:rFonts w:ascii="Arial" w:cs="Arial" w:eastAsia="Arial" w:hAnsi="Arial"/>
          <w:sz w:val="18"/>
          <w:szCs w:val="18"/>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and shall not be deemed “filed” for purposes of Section 18 of the Exchange Act or otherwise subject to the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654050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Ocean Power Technologies, Inc.</w:t>
            </w:r>
          </w:p>
        </w:tc>
      </w:tr>
      <w:tr>
        <w:trPr>
          <w:trHeight w:val="237"/>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0" w:type="dxa"/>
            <w:vAlign w:val="bottom"/>
            <w:tcBorders>
              <w:top w:val="single" w:sz="8" w:color="auto"/>
            </w:tcBorders>
          </w:tcPr>
          <w:p>
            <w:pPr>
              <w:ind w:left="960"/>
              <w:spacing w:after="0"/>
              <w:rPr>
                <w:sz w:val="20"/>
                <w:szCs w:val="20"/>
                <w:color w:val="auto"/>
              </w:rPr>
            </w:pPr>
            <w:r>
              <w:rPr>
                <w:rFonts w:ascii="Arial" w:cs="Arial" w:eastAsia="Arial" w:hAnsi="Arial"/>
                <w:sz w:val="18"/>
                <w:szCs w:val="18"/>
                <w:i w:val="1"/>
                <w:iCs w:val="1"/>
                <w:color w:val="auto"/>
              </w:rPr>
              <w:t>(Registrant)</w:t>
            </w:r>
          </w:p>
        </w:tc>
        <w:tc>
          <w:tcPr>
            <w:tcW w:w="158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March 11, 2016</w:t>
            </w:r>
          </w:p>
        </w:tc>
        <w:tc>
          <w:tcPr>
            <w:tcW w:w="6400" w:type="dxa"/>
            <w:vAlign w:val="bottom"/>
            <w:gridSpan w:val="4"/>
          </w:tcPr>
          <w:p>
            <w:pPr>
              <w:ind w:left="2060"/>
              <w:spacing w:after="0"/>
              <w:rPr>
                <w:sz w:val="20"/>
                <w:szCs w:val="20"/>
                <w:color w:val="auto"/>
              </w:rPr>
            </w:pPr>
            <w:r>
              <w:rPr>
                <w:rFonts w:ascii="Arial" w:cs="Arial" w:eastAsia="Arial" w:hAnsi="Arial"/>
                <w:sz w:val="18"/>
                <w:szCs w:val="18"/>
                <w:color w:val="auto"/>
              </w:rPr>
              <w:t>By: /s/ George H. Kirby III</w:t>
            </w:r>
          </w:p>
        </w:tc>
      </w:tr>
      <w:tr>
        <w:trPr>
          <w:trHeight w:val="195"/>
        </w:trPr>
        <w:tc>
          <w:tcPr>
            <w:tcW w:w="36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9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George H. Kirby III</w:t>
            </w:r>
          </w:p>
        </w:tc>
      </w:tr>
      <w:tr>
        <w:trPr>
          <w:trHeight w:val="230"/>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A. Featherstone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center"/>
        <w:ind w:right="180"/>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ind w:left="740" w:right="720" w:hanging="651"/>
        <w:spacing w:after="0" w:line="277" w:lineRule="auto"/>
        <w:tabs>
          <w:tab w:leader="none" w:pos="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Ocean Power Technologies, Inc. 2015 Omnibus Incentive Plan (incorporated by reference to Exhibit 10.1 to the Company’s registration statement on Form S-8 filed with the SEC on December 14, 2015)</w:t>
      </w:r>
    </w:p>
    <w:p>
      <w:pPr>
        <w:spacing w:after="0" w:line="170"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740" w:hanging="601"/>
        <w:spacing w:after="0" w:line="255"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materials formatted in eXtensible Business Reporting Language (XBRL) from Ocean Power Technologies, Inc Quarterly Report on Form 10-Q for the quarter ended January 31, 2016, filed March 11, 2016: (i) Consolidated Balance Sheets – January 31, 2016 (unaudited) and April 30, 2015, (ii) Consolidated Statements of Operations (unaudited) – Three and Nine Months Ended January 31, 2016 and 2015, (iii) Consolidated Statements of Comprehensive Loss (unaudited) – Three and Nine Months Ended January 31, 2016 and 2015, (iv) Consolidated Statements of Cash Flows (unaudited) – Three and Nine Months Ended January 31, 2016 and 2015, (v) Consolidated Statements of Stockholders’ Equity (unaudited) – Three and Nine Months Ended January 31, 2016 and 2015 and (vi) Notes to Consolidated Financial Statements.</w:t>
      </w:r>
    </w:p>
    <w:p>
      <w:pPr>
        <w:spacing w:after="0" w:line="189" w:lineRule="exact"/>
        <w:rPr>
          <w:rFonts w:ascii="Arial" w:cs="Arial" w:eastAsia="Arial" w:hAnsi="Arial"/>
          <w:sz w:val="18"/>
          <w:szCs w:val="18"/>
          <w:color w:val="auto"/>
        </w:rPr>
      </w:pPr>
    </w:p>
    <w:p>
      <w:pPr>
        <w:ind w:left="740" w:right="100"/>
        <w:spacing w:after="0" w:line="264" w:lineRule="auto"/>
        <w:rPr>
          <w:rFonts w:ascii="Arial" w:cs="Arial" w:eastAsia="Arial" w:hAnsi="Arial"/>
          <w:sz w:val="18"/>
          <w:szCs w:val="18"/>
          <w:color w:val="auto"/>
        </w:rPr>
      </w:pPr>
      <w:r>
        <w:rPr>
          <w:rFonts w:ascii="Arial" w:cs="Arial" w:eastAsia="Arial" w:hAnsi="Arial"/>
          <w:sz w:val="18"/>
          <w:szCs w:val="18"/>
          <w:color w:val="auto"/>
        </w:rPr>
        <w:t>* As provided in Item 601(b)(32)(ii) of Regulation S-K, this exhibit shall not be deemed to be “filed” or part of a registration statement or prospectus for purposes of Sections 11 or 12 of the Securities Act of and shall not be deemed “filed” for purposes of Section 18 of the Exchange Act or otherwise subject to the liability under those sections.</w:t>
      </w:r>
    </w:p>
    <w:p>
      <w:pPr>
        <w:sectPr>
          <w:pgSz w:w="11900" w:h="16838" w:orient="portrait"/>
          <w:cols w:equalWidth="0" w:num="1">
            <w:col w:w="11240"/>
          </w:cols>
          <w:pgMar w:left="42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Date: March 11, 2016</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37"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Featherstone,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2016</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A. Featherstone</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2016,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80" w:right="640" w:hanging="372"/>
        <w:spacing w:after="0" w:line="590"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11, 2016</w:t>
      </w:r>
    </w:p>
    <w:p>
      <w:pPr>
        <w:spacing w:after="0" w:line="11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January 31, 2016, as filed with the Securities and Exchange Commission on the date hereof (the "Report"), the undersigned, Mark A. Featherstone,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00" w:right="480" w:hanging="492"/>
        <w:spacing w:after="0" w:line="415"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11, 2016</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Mark A. Featherstone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Mark A. Featherstone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1"/>
    </w:lvl>
    <w:lvl w:ilvl="1">
      <w:lvlJc w:val="left"/>
      <w:lvlText w:val="(%2)"/>
      <w:numFmt w:val="decimal"/>
      <w:start w:val="1"/>
    </w:lvl>
  </w:abstractNum>
  <w:abstractNum w:abstractNumId="3">
    <w:nsid w:val="140E0F76"/>
    <w:multiLevelType w:val="hybridMultilevel"/>
    <w:lvl w:ilvl="0">
      <w:lvlJc w:val="left"/>
      <w:lvlText w:val="%1)"/>
      <w:numFmt w:val="lowerLetter"/>
      <w:start w:val="1"/>
    </w:lvl>
    <w:lvl w:ilvl="1">
      <w:lvlJc w:val="left"/>
      <w:lvlText w:val="%2"/>
      <w:numFmt w:val="decimal"/>
      <w:start w:val="1"/>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lowerLetter"/>
      <w:start w:val="1"/>
    </w:lvl>
    <w:lvl w:ilvl="1">
      <w:lvlJc w:val="left"/>
      <w:lvlText w:val="(%2)"/>
      <w:numFmt w:val="decimal"/>
      <w:start w:val="2"/>
    </w:lvl>
  </w:abstractNum>
  <w:abstractNum w:abstractNumId="6">
    <w:nsid w:val="DED7263"/>
    <w:multiLevelType w:val="hybridMultilevel"/>
    <w:lvl w:ilvl="0">
      <w:lvlJc w:val="left"/>
      <w:lvlText w:val="(%1)"/>
      <w:numFmt w:val="lowerLetter"/>
      <w:start w:val="1"/>
    </w:lvl>
    <w:lvl w:ilvl="1">
      <w:lvlJc w:val="left"/>
      <w:lvlText w:val="%2"/>
      <w:numFmt w:val="decimal"/>
      <w:start w:val="1"/>
    </w:lvl>
  </w:abstractNum>
  <w:abstractNum w:abstractNumId="7">
    <w:nsid w:val="7FDCC233"/>
    <w:multiLevelType w:val="hybridMultilevel"/>
    <w:lvl w:ilvl="0">
      <w:lvlJc w:val="left"/>
      <w:lvlText w:val="(%1)"/>
      <w:numFmt w:val="decimal"/>
      <w:start w:val="9"/>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01"/>
    </w:lvl>
    <w:lvl w:ilvl="1">
      <w:lvlJc w:val="left"/>
      <w:lvlText w:val="*"/>
      <w:numFmt w:val="bullet"/>
      <w:start w:val="1"/>
    </w:lvl>
  </w:abstractNum>
  <w:abstractNum w:abstractNumId="10">
    <w:nsid w:val="6B68079A"/>
    <w:multiLevelType w:val="hybridMultilevel"/>
    <w:lvl w:ilvl="0">
      <w:lvlJc w:val="left"/>
      <w:lvlText w:val="%1"/>
      <w:numFmt w:val="decimal"/>
      <w:start w:val="101"/>
    </w:lvl>
    <w:lvl w:ilvl="1">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2019-12-08T12:38:04Z</dcterms:created>
  <dcterms:modified xsi:type="dcterms:W3CDTF">2019-12-08T12:38:04Z</dcterms:modified>
</cp:coreProperties>
</file>