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left="340" w:right="212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0"/>
        <w:spacing w:after="0"/>
        <w:tabs>
          <w:tab w:leader="none" w:pos="3220" w:val="left"/>
          <w:tab w:leader="none" w:pos="4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237"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420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4200" w:type="dxa"/>
            <w:vAlign w:val="bottom"/>
          </w:tcPr>
          <w:p>
            <w:pPr>
              <w:jc w:val="center"/>
              <w:ind w:right="19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300" w:type="dxa"/>
            <w:vAlign w:val="bottom"/>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00" w:type="dxa"/>
            <w:vAlign w:val="bottom"/>
          </w:tcPr>
          <w:p>
            <w:pPr>
              <w:jc w:val="center"/>
              <w:ind w:right="189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MONROE TOWNSHIP, NJ 08831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730-0400</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OPTT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both"/>
        <w:ind w:right="1300"/>
        <w:spacing w:after="0" w:line="26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sectPr>
          <w:pgSz w:w="11900" w:h="16838" w:orient="portrait"/>
          <w:cols w:equalWidth="0" w:num="4">
            <w:col w:w="1880" w:space="720"/>
            <w:col w:w="1880" w:space="720"/>
            <w:col w:w="1860" w:space="720"/>
            <w:col w:w="3460"/>
          </w:cols>
          <w:pgMar w:left="320" w:top="740" w:right="339" w:bottom="0" w:gutter="0" w:footer="0" w:header="0"/>
          <w:type w:val="continuous"/>
        </w:sect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October 31, 2024, the last business day of the registrant’s most recently completed second fiscal quarter, was $18.7 million based on the closing sale price of the registrant’s common stock on that date as reported on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July 22, 2025 was 177,542,775.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6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4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00" w:type="dxa"/>
            <w:vAlign w:val="bottom"/>
            <w:gridSpan w:val="8"/>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45"/>
        </w:trPr>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6"/>
        </w:trPr>
        <w:tc>
          <w:tcPr>
            <w:tcW w:w="980" w:type="dxa"/>
            <w:vAlign w:val="bottom"/>
            <w:shd w:val="clear" w:color="auto" w:fill="CCEEFF"/>
          </w:tcPr>
          <w:p>
            <w:pPr>
              <w:spacing w:after="0"/>
              <w:rPr>
                <w:sz w:val="15"/>
                <w:szCs w:val="15"/>
                <w:color w:val="auto"/>
              </w:rPr>
            </w:pP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40" w:type="dxa"/>
            <w:vAlign w:val="bottom"/>
            <w:shd w:val="clear" w:color="auto" w:fill="CCEEFF"/>
          </w:tcPr>
          <w:p>
            <w:pPr>
              <w:spacing w:after="0"/>
              <w:rPr>
                <w:sz w:val="15"/>
                <w:szCs w:val="15"/>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896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Selected Financial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980" w:type="dxa"/>
            <w:vAlign w:val="bottom"/>
            <w:shd w:val="clear" w:color="auto" w:fill="CCEEFF"/>
          </w:tcPr>
          <w:p>
            <w:pPr>
              <w:spacing w:after="0"/>
              <w:rPr>
                <w:sz w:val="15"/>
                <w:szCs w:val="15"/>
                <w:color w:val="auto"/>
              </w:rPr>
            </w:pP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shd w:val="clear" w:color="auto" w:fill="CCEEFF"/>
          </w:tcPr>
          <w:p>
            <w:pPr>
              <w:spacing w:after="0"/>
              <w:rPr>
                <w:sz w:val="15"/>
                <w:szCs w:val="15"/>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1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rPr>
                <w:sz w:val="15"/>
                <w:szCs w:val="15"/>
                <w:color w:val="auto"/>
              </w:rPr>
            </w:pPr>
          </w:p>
        </w:tc>
        <w:tc>
          <w:tcPr>
            <w:tcW w:w="9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7"/>
          <w:szCs w:val="17"/>
          <w:color w:val="auto"/>
        </w:rPr>
        <w:t>PowerBuoy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PB-Vue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PowerTower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Making Waves in Power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Talk on Water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Merrows™, WAM-V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and the Ocean Power Technologies logo are trademarks of Ocean Power Technologies, Inc. All other@ trademarks appearing in this annual report are the property of their respective holders.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filing. We undertake no obligation to publicly update or revise any forward-looking statements to reflect new information or future events or otherwise.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fiscal year begins on May 1 and ends on April 30. When we refer to a particular fiscal year, we are referring to the fiscal year ending on April 30 of that year. References to fiscal 2025 are to the fiscal year ended April 30,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“Company,” “Ocean Power Technologies,” “OPT,” “we,” “our” or “us” as used herein refers to Ocean Power Technologies, Inc. and its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leases, service and maintenance contracts, and high-margin technology sales and leases.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other commercial interests. The common thread across these markets is the growing need for a persistent, autonomous, and sustainable offshore presence, a need we are well positioned to fulfill.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holds numerous patents, including our recently awarded System and Method for Vehicle Charging which protects OPT’s breakthrough system for an autonomous, floating marine charging solution, and leverages decades of research including control systems, energy storage, and marine integration. Our headquarters and assembly operations are located in New Jersey, and we maintain an additional manufacturing and robotics development facility in Richmond, CA.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Domain Awareness Solution (“MDAS”)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Maritime Domain Awareness refers to the effective understanding of anything associated with the maritime domain that could impact safety, security, economy, or the environment.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maritime domain” includes all areas and things on, under, related to, adjacent to, or bordering navigable waters, including the seafloor and airspace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MDAS provides a customizable, integrated surveillance solution designed for persistent, roaming, and real-time ocean monitoring. The system combines high-definition radar, optical and thermal imaging, and vessel Automatic Identification System (AIS) modules with edge processing, secure communications, and cloud-based analytics.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customers use and can apply our MDAS for:</w:t>
      </w:r>
    </w:p>
    <w:p>
      <w:pPr>
        <w:spacing w:after="0" w:line="221"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Security (U.S. and allies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Monitoring territorial waters, preventing smuggling, piracy, and terrorism.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Securing shipping lanes, port infrastructure, offshore energy assets, data gathering for permitting and more.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Detecting pollution, illegal fishing, marine mammal activity, and more.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MDAS hardware can be deployed on OPT platforms, including PowerBuoy® systems and WAM-V® autonomous vessels, and networked via satellite, Wi-Fi, and cellular links. Our architecture enables multi-platform surveillance, with command-and-control functionality enhanced through proprietary software and third-party system integrations. These networks can incorporate external data sources such as satellite imagery, drones, weather, and bathymetry to form a comprehensive operational picture.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MDAS is also designed to provide persistent situational awareness beneath the ocean surface, an area inaccessible to conventional technologies such as radar or the AIS. This capability plays a critical role in supporting national security objectives, enabling autonomous maritime operations, and protecting marine resources and infrastructure. Key system components include: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Sensing and Detection</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Acoustics: Identifies underwater sound signatures from sources such as submarines, divers, and marine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Sonar: Emits and receives sound pulses to locate and track underwater objects and terrain.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Magnetometers: Detects metallic anomalies, including submersibles and naval mines.</w:t>
      </w:r>
    </w:p>
    <w:p>
      <w:pPr>
        <w:spacing w:after="0" w:line="225" w:lineRule="exact"/>
        <w:rPr>
          <w:rFonts w:ascii="Times New Roman" w:cs="Times New Roman" w:eastAsia="Times New Roman" w:hAnsi="Times New Roman"/>
          <w:sz w:val="18"/>
          <w:szCs w:val="18"/>
          <w:color w:val="auto"/>
        </w:rPr>
      </w:pPr>
    </w:p>
    <w:p>
      <w:pPr>
        <w:ind w:right="1560" w:firstLine="332"/>
        <w:spacing w:after="0" w:line="500"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Seismic and Pressure Sensors: Monitors vibrations and pressure changes indicative of movement or underwater disturbances. Communications and Networking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Modems: Enable underwater data transmission between sensors and platforms over medium ranges.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 and Satellite Relay: Transmit compressed data from surface nodes to command centers via satellite or terrestrial links.</w:t>
      </w:r>
    </w:p>
    <w:p>
      <w:pPr>
        <w:spacing w:after="0" w:line="225" w:lineRule="exact"/>
        <w:rPr>
          <w:rFonts w:ascii="Times New Roman" w:cs="Times New Roman" w:eastAsia="Times New Roman" w:hAnsi="Times New Roman"/>
          <w:sz w:val="18"/>
          <w:szCs w:val="18"/>
          <w:color w:val="auto"/>
        </w:rPr>
      </w:pPr>
    </w:p>
    <w:p>
      <w:pPr>
        <w:ind w:right="640" w:firstLine="332"/>
        <w:spacing w:after="0" w:line="500"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 Processing: Utilizes onboard AI and machine learning to analyze data locally, prioritize key findings, and reduce transmission loads. Data Fusion and Analysis</w:t>
      </w:r>
    </w:p>
    <w:p>
      <w:pPr>
        <w:spacing w:after="0" w:line="1" w:lineRule="exact"/>
        <w:rPr>
          <w:rFonts w:ascii="Times New Roman" w:cs="Times New Roman" w:eastAsia="Times New Roman" w:hAnsi="Times New Roman"/>
          <w:sz w:val="18"/>
          <w:szCs w:val="18"/>
          <w:color w:val="auto"/>
        </w:rPr>
      </w:pPr>
    </w:p>
    <w:p>
      <w:pPr>
        <w:ind w:right="1220" w:firstLine="332"/>
        <w:spacing w:after="0" w:line="500"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Multi-Domain Correlation: Integrates inputs from undersea, surface, and aerial platforms to generate a unified operational picture. Command, Control, and Decision Support</w:t>
      </w:r>
    </w:p>
    <w:p>
      <w:pPr>
        <w:spacing w:after="0" w:line="1" w:lineRule="exact"/>
        <w:rPr>
          <w:rFonts w:ascii="Times New Roman" w:cs="Times New Roman" w:eastAsia="Times New Roman" w:hAnsi="Times New Roman"/>
          <w:sz w:val="18"/>
          <w:szCs w:val="18"/>
          <w:color w:val="auto"/>
        </w:rPr>
      </w:pPr>
    </w:p>
    <w:p>
      <w:pPr>
        <w:ind w:right="660" w:firstLine="332"/>
        <w:spacing w:after="0" w:line="500"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Alerts: Flags high-priority events, such as unauthorized intrusions, suspicious underwater activity, or infrastructure tampering. Representative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and Security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Submarine and Unmanned Underwater Vehicle (UUV) detection in contested maritime zones.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of strategic chokepoints and exclusive economic zones (EEZs).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undersea cables and energy infrastructure from sabotage.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Infrastructure Protection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for offshore oil and gas platforms, wind farms, desalination plants, and seaports.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Regulatory Compliance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life monitoring and conservation support.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of illegal fishing, dredging, or resource extraction.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Operations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situational awareness for offshore energy installations.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Navigation and mission support for autonomous subsea vehicles.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MDAS solution is a cornerstone of our broader DaaS strategy and reflects our leadership in scalable, autonomous maritime intelligence infrastructure.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as a Service (“DaaS”)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Data as a Service offering enables persistent, near real-time collection and transmission of maritime domain awareness and environmental intelligence data. Our DaaS platform leverages autonomous uncrewed surface vehicles (USVs), including the WAM-V® platform, and PowerBuoy® systems, both of which integrate a range of environmental and security-focused sensors.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258"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DaaS offering is used to support operational needs in several high-impact domains,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Border and Coastal Security: Monitoring unauthorized vessel activity, trafficking, and maritime incursions.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Asset Surveillance: Enhancing situational awareness around oil platforms, wind farms, and port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Unreported, and Unregulated (IUU) Fishing: Enabling remote detection and interdiction support.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Aquaculture and Environmental Monitoring: Gathering data to support aquaculture health, pollution tracking, and marine ecosystem compliance.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and Infrastructure Inspection: Supporting regulatory approvals through data-enabled insights on site 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WAM-V® USV platform supports modular payload integration and is engineered for operational stability in variable marine conditions. It has been deployed in a range of commercial and governmental missions, including high-resolution sonar surveys, subsea infrastructure assessments, berth clearance, dredging operations, and offshore renewable energy site characterization.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completed multiple DaaS deployments with both government agencies and commercial customers. These engagements have provided validation of our systems’ performance, interoperability, and mission relevance.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Robotics as a Service (“RaaS”)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Robotics as a Service offering provides customers with subscription-based access to our WAM-V® (Wave Adaptive Modular Vessel) autonomous surface vehicles. Under this model, customers lease WAM-V® units pursuant to time-bound agreements or based on a defined number of usage days. These agreements frequently include minimum usage thresholds and bundled operational support services. Oftentimes these agreements also include OPT providing the training and operations for the vehicle. As an AUVSI Trusted Operator, (AUVSI is the world’s largest nonprofit organization dedicated to advancing the use of autonomous systems and robotics across air, land, and sea domains). OPT’s RaaS “pilots” are well suited to deliver value for our customers.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the RaaS model, OPT retains ownership of the deployed assets and is responsible for all system maintenance, repairs, and upgrades. This arrangement offers customers a lower upfront capital expenditure compared to outright equipment purchase, while enabling scalable access to autonomous capabilities that can be aligned with peak mission windows or surge requirements.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RaaS contracts have been utilized by both government and commercial customers for applications including port security, maritime surveying, infrastructure inspection, and environmental monitoring. This model has allowed customers to accelerate access to autonomous maritime solutions while preserving operational flexibility.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RaaS model supports our strategic goals of increasing recurring revenue, improving asset utilization, broaden our customer base and expanding customer lifetime value. As RaaS involves OPT-owned systems deployed in customer-controlled environments, we evaluate associated risks related to asset recoverability, service delivery logistics, and liability exposure. Based on these assessments, we implement appropriate contractual protections, insurance coverage, and operational safeguards to mitigate such risks and ensure continuity of service and asset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Power as a Service (“PaaS”)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Power as a Service offering provides customers with subscription-based access to our PowerBuoy® systems. Under this model, customers lease PowerBuoy® platforms pursuant to time-bound agreements, enabling flexible deployment without the need for upfront capital investment. These leases are structured to accommodate both steady-state operations and surge requirements, offering a scalable energy solution for offshore missions.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PowerBuoy® delivers autonomous, renewable energy via OPT-managed infrastructure. This reduces the need for traditional power delivery methods such as subsea cabling, fuel-based generators, or periodic manual battery replacement. Our modular PowerBuoy® configurations can include solar-only systems, wave energy converters, and optional wind turbine integrations to support varying power loads across different marine environments.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PaaS offering is available for defense, offshore energy, and environmental monitoring applications. The PaaS model aligns with our broader strategy to offer end-to-end maritime infrastructure services, complementing our DaaS and RaaS offerings. This integrated approach is designed to support recurring revenue growth, enhance customer retention, and differentiate OPT from competitors that focus exclusively on hardware or one-time equipment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believe this model strengthens our customer relationships and operational resilience, there can be no assurance of continued customer uptake or contract renewals. We also evaluate ongoing risks associated with offshore service delivery, environmental exposure, and asset maintenance and implement mitigation strategies including enhanced monitoring protocols, environmental hardening of equipment, and service-level agreements with local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Autonomous Vehicles business centers around our patented WAM-V® (Wave Adaptive Modular Vessel) platform—a class of modular USVs engineered to support autonomous maritime operations in inshore, nearshore, and offshore environments. The WAM-V® platform is designed to enable scalable, real-time data acquisition and payload customization based on mission requirements.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WAM-V® vessels are manufactured in three standard sizes—8, 16, and 22 feet—and are built on a modular framework. This design allows interoperability across propulsion types (electric and/or liquid-fuel) and supports rapid integration of third-party sensors and mission systems. These features make the platform suitable for a wide range of operational use cases, including underwater. survey, scientific research, port security, subsea infrastructure inspection, and defense surveillance.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WAM-V® platforms have been deployed across the Middle East, Europe, Asia, Oceania, and the Americas. These deployments are conducted through both direct sales and our RaaS offering, which provides subscription-based access to WAM-V® units and associated operational support as described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Autonomous Vehicles segment complements our strategic focus on persistent maritime awareness and autonomy. In particular, WAM-V® systems are increasingly integrated with our Merrows™ MDA suite, enabling mobile MDA operations to consolidate surface, subsea, and environmental data in real time. This integration expands our service capabilities and supports recurring revenue growth from both government and commercial customers.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continued demand for WAM-V® platforms driven by factors including increased investment in autonomous marine systems, cost advantages over crewed vessels, global regulatory mandates for maritime monitoring, and defense modernization initiatives. However, actual adoption rates may be affected by procurement cycles, governemental budgetary constraints, and competitive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PowerBuoy®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PowerBuoy® is a renewable energy-powered autonomous offshore platform designed to deliver continuous electrical power and real-time data connectivity in remote maritime environments. The PowerBuoy® converts any combination of wave motion, solar, and wind into energy and includes onboard energy storage to maintain system availability during low-sea-state, cloudy, or still conditions. The platform enables persistent operations without reliance on liquid fuel-based power systems or crewed support vessels.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PowerBuoy® deployments reduce operational costs and carbon emissions by replacing diesel generators and minimizing vessel-based maintenance. The system is designed for compact deployment, rapid installation, and long-duration missions, with remote diagnostics and limited on-site service requirements. Depending on the mission profile, a single PowerBuoy® unit can operate autonomously for several months or longer. PowerBuoy® platforms support a variety of payloads, including surveillance cameras, acoustic and environmental sensors, weather stations, radar, AIS, and communication nodes. These features enable use cases in maritime security and intelligence, surveillance, and reconnaissance (“ISR”); offshore wind and oil infrastructure monitoring; and oceanographic data collection.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PowerBuoy® units have been integrated into operational deployments for both government and commercial customers.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PowerBuoy® represents a core technology component across multiple OPT offerings, including DaaS and PaaS).These integrated offerings are intended to support long-term growth in recurring revenue and platform utilization. We believe the PowerBuoy® is well suited to serve emerging demand for autonomous, low-emission offshore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Merrows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Merrows™ is our integrated user interface and C2 platform that consolidates and enhances the capabilities of our PowerBuoy®, WAM-V®, and sensor payload systems into a unified maritime surveillance and data processing solution. It is designed to address the operational complexity of MDA, which involves monitoring, detecting, and analyzing activity on, under, adjacent to, or bordering navigable waters.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Merrows™ architecture incorporates elements of Command, Control, Communications, Computers, Cyber, Intelligence, Surveillance, and Reconnaissance (C5ISR) into a flexible and modular system. It leverages both mobile (WAM-V®) and stationary (PowerBuoy®) platforms to enable persistent situational awareness across mission-critical maritime zones. As a result, Merrows™ is well-positioned to meet the operational needs of defense, intelligence, and homeland security customers seeking scalable, multi-mission capability. By embedding C5ISR, OPT moves beyond being a “vehicle provider” to offering full-spectrum mission solutions.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Merrows™ facilitates the collection, processing, and secure transmission of multi-modal sensor data—including radar, acoustic, visual, weather, and geospatial inputs. The platform supports real-time and historical data analysis and integrates artificial intelligence and machine learning to support operational decision-making, anomaly detection, and system automation.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Merrows™ has been deployed in multiple instances and is integrated within several OPT service offerings, including =DaaS= and =RaaS=.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Merrows™ is offered as part of comprehensive system deployments and is not currently marketed as a standalone product.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Merrows™ system enhances the value proposition of our broader portfolio by enabling cross-platform interoperability and improving the operational efficiency and data fidelity of autonomous maritime 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Technological Advancements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year 2025 and through the date of this filing, we achieved several notable milestones related to the continued development and operational deployment of our autonomous maritime systems. These developments reflect our investment in platform capability enhancement, strategic partnerships, and customer-oriented service infrastructure:</w:t>
      </w:r>
    </w:p>
    <w:p>
      <w:pPr>
        <w:spacing w:after="0" w:line="176"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AI-enabled Merrows™ PowerBuoy® Deployment: In May 2025, we delivered a PowerBuoy® platform integrated with AI-enabled Merrows™ software to a customer in the Middle East. This system combines wave energy generation with artificial intelligence to support real-time maritime domain awareness and sensor fusion applications. The deployment is part of a broader engagement in the region and remains subject to performance validation under operational conditions.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Extended-Duration Over the Horizon Autonomous WAM-V® Operations: In April 2025, we conducted a successful demonstration of multi-day over-the-horizon (OTH) WAM-V® (USV operations in the Indo-Pacific region. The exercise validated the WAM-V® platform’s endurance, autonomous navigation, and remote command-and-control capabilities over extended ranges and durations. Operating beyond line-of-sight with satellite and high-frequency communications, our team executed mission tasking, status monitoring, and data retrieval without the need for local support assets. This demonstration, observed by customer representatives and OPT engineering teams, confirms the WAM-V® system’s readiness for long-range survey and surveillance missions across dispersed maritime environments, further aligning our capabilities with the operational needs of defense, security, and offshore commercial stakeholders.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Navy Project Overmatch Participation: Project Overmatch exercises validate the Navy’s ability to deploy resilient, autonomous unmanned systems as a critical component of multi-domain operations, fostering interoperability with coalition forces and accelerating next-gen naval capabilities. In October 2024, we completed a phase of the U.S. Navy’s Project Overmatch initiative by participating in the Mission Autonomy Proving Grounds exercises. Multiple WAM-V® USVs were deployed to demonstrate autonomous behavior, interoperability with other systems, and mission execution under naval coordination. This participation supports our positioning for future federal procurement opportunities; however, no definitive contract awards have resulted from this activity to date.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Agreement with Teledyne Marine: In June 2024, we executed an Original Equipment Manufacturer (OEM) agreement with Teledyne Marine. This agreement enables integration of Teledyne’s sensor and subsea technology with OPT’s wave energy and autonomous platforms. We believe this partnership strengthens our technical offering, but the commercial impact will depend on customer adoption in future joint projects.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24/7 Service Support Infrastructure Launch: In June 2024, we launched a 24/7 global customer support capability for deployed platforms and service contracts. This capability is expected to improve service reliability and may contribute to growth in recurring revenue. However, the cost and staffing requirements of this initiative may impact near-term gross margins for service-related business lines.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developments are consistent with our strategic priorities of expanding platform capability, increasing global market reach, and enhancing customer value through integrated offerings. While we believe these achievements strengthen our market position, future revenue impact remains dependent on follow-on orders, contract conversions, and customer retention. See Item 1A, “Risk Factors,” for a discussion of operational and adoption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focused on delivering integrated, autonomous ocean infrastructure solutions. Our strategy centers on unifying renewable energy powered systems (PowerBuoy®), autonomous vehicles (WAM-V®), and data-driven command and control platforms (Merrows™) into a cohesive, interoperable ecosystem. This multi-domain architecture is designed to support operations across surface, subsea, and airborne environments, offering utility in both government and commercial missions.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Intelligence, Surveillance, and Reconnaissance (ISR) is a critical function in military and security operations that involves the collection, processing, and dissemination of information to support decision-making, targeting, and situational awareness. and is central to OPT’s strategic positioning as a provider of autonomous, intelligent, and scalable maritime mission systems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enabling it to serve both national security and commercial maritime markets through recurring services and full-stack platform offerings. ISR is a core enabler of our strategy, driving value across defense, homeland security, and international maritime markets. ISR capability is not only a product feature, but a strategic differentiator woven into OPT’s platform design, autonomy stack, and service delivery models.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platform-centric approach aligns OPT with three primary global trends: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Security Modernization: Continued investment by defense and security agencies in unmanned systems and ISR.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Sector Digitalization and Decarbonization: Expansion of remote, low-emission monitoring for wind, oil &amp; gas, and shipping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Ocean Data Infrastructure Growth: Rising demand for AI-enabled environmental and security intelligence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 and Tailwinds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Defense and Environmental Monitoring Demand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defense sector continues to prioritize autonomous systems for enhanced situational awareness and cost-efficiency. Regulatory initiatives and funding priorities within the U.S. Department of Defense and abroad, the Intelligence Community, and Department of Homeland Security are creating pathways for long-term procurement contracts. OPT is aligning its capabilities with these procurement trends and exploring engagement opportunities with defense prime contractors and allied foreign ministries.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the environmental monitoring market is expanding due to regulatory compliance pressures and increased investment in ocean science. Our solutions are engineered to address use cases such as coastal zone management, hydrographic surveying, and habitat monitoring.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Positioning and Global Demand</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rising global focus on unmanned maritime systems is expanding OPT’s addressable market across multiple sectors and geographies. Our platforms are being evaluated or deployed for use in:</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and Security Missions: In alignment with DHS’s Maritime Domain Awareness goals and the U.S. Coast Guard’s Unmanned Systems Strategic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Protection: Including remote surveillance of undersea cables, pipelines, and offshore installations.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Operations: Such as offshore wind development, subsea exploration, permit obtainment and port monitoring.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modular platforms—specifically the PowerBuoy® and WAM-V®—are designed to support autonomous missions with minimal human intervention, and offer value in shallow-water, nearshore, and offshore environments.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Priorities and Target Markets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OPT’s commercial and public-sector focus is directed toward high-value, mission-critical domains where autonomous maritime infrastructure delivers operational or strategic benefit. Our key markets include:</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Defense and Intelligence agencies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Allied foreign defense ministries (NATO, Indo-Pacific, Latin America, Middle East). These ministries seek advanced capabilities in surveillance, reconnaissance, and persistent maritime operations, aligned with U.S. defense cooperation and interoperability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and commercial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Focus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Autonomy Advancement (Level 3 and Beyond)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expanded our internal autonomy engineering team with the addition of full-time specialists in control systems and software integration. This investment supports the development of Level 3+ autonomous capabilities across OPT’s vehicle platforms, with a focus on reliable, adaptive, and scalable mission execution. Level 3 autonomy, meaning the platform can execute defined missions, such as navigating pre-set routes or collecting data, without real-time human control. While a human operator monitors performance and can intervene if necessary, the system is generally capable of making its own decisions under known conditions, including adjusting for environmental variables like waves, wind, or obstacles. This level of autonomy enhances operational efficiency while maintaining human oversight for safety and reliability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Docking and Charging Systems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OPT continues to refine and improve its at-sea docking and charging system that integrates a PowerBuoy® with a WAM-V® platform. This system is designed to extend the duration of autonomous missions by enabling unmanned surface vehicles to recharge autonomously in the field. Test data and user feedback informs subsequent design iterations and validation protocols.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initiatives support our objective of offering persistent, autonomous systems that reduce lifecycle cost and increase mission resilience in both government and commercial deployments.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Competition and Competitive Positioning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operate in the converging sectors of USVs, ocean sensing and surveillance platforms, and offshore renewable energy systems. Our competitors include companies that offer:</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Standalone USV systems for inshore, nearshore, or offshore environments;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MDA software and data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power infrastructure (e.g., subsea cabling, diesel generators);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surveillance and ocean infrastructure solutions, including manned systems, offered by divisions of large defense contractors or venture-backed maritime technology firms.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USV sector remains dynamic, with increasing competition as entrants focus on niche applications across varied marine environments. A significant development in this market occurred in June 2024, when the U.S. Navy awarded a $982 million multiple-award contract to 49 vendors, signaling a move toward large-scale collaboration and integrated systems development. This marks a departure from the historically fragmented USV market and could impact contracting and teaming dynamics in future procurements.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autonomous buoy segment remains comparatively early-stage and fragmented. It is generally divided between grid-connected solutions and smaller-scale autonomous systems. OPT remains focused on the non-grid segment. To our knowledge, few competitors currently offer fully commercialized, continuously deployed platforms with persistent, renewable power generation. This reflects the nascency of the market, which continues to evolve through research and development programs, demonstration projects, and limited initial deployments.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Differentiators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Despite the presence of larger industry participants, OPT seeks to differentiate through a combination of vertically integrated products, operational deployment history, and business model flexibility. Our competitive positioning is based on the following characteristics:</w:t>
      </w:r>
    </w:p>
    <w:p>
      <w:pPr>
        <w:spacing w:after="0" w:line="15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Integrated, Autonomous Maritime Infrastructure</w:t>
      </w:r>
    </w:p>
    <w:p>
      <w:pPr>
        <w:spacing w:after="0" w:line="22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 offers a suite of interoperable platforms—PowerBuoy®, WAM-V® USVs, and the Merrows™ data system—designed to function as a cohesive ocean intelligence network. This integration may reduce logistical complexity and improve system interoperability for customers compared to point-solution providers.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Renewable, Persistent Power Delivery</w:t>
      </w:r>
    </w:p>
    <w:p>
      <w:pPr>
        <w:spacing w:after="0" w:line="22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PowerBuoy® platform generates renewable energy from any combination of wave motion, solar, and wind and includes battery storage to enable continuous power for sensors, communications systems, and mission payloads in remote ocean areas. This reduces or eliminates reliance on fossil fuel-based power systems or vessel-based servicing, materially reducing customer costs.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Modular and Scalable Design</w:t>
      </w:r>
    </w:p>
    <w:p>
      <w:pPr>
        <w:spacing w:after="0" w:line="229"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WAM-V® and PowerBuoy® product lines are designed for payload modularity and field customization. This architecture supports multiple mission types and promotes asset reuse across use cases and customers.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Field-Proven Performance</w:t>
      </w:r>
    </w:p>
    <w:p>
      <w:pPr>
        <w:spacing w:after="0" w:line="22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2025, OPT has deployed over 80 WAM-V® platforms globally and completed multiple operational deployments of PowerBuoy® systems in varying marine conditions. These deployments contribute to our operational validation record, though additional deployments and independent assessments are ongoing.</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Lifecycle Cost Efficiency</w:t>
      </w:r>
    </w:p>
    <w:p>
      <w:pPr>
        <w:spacing w:after="0" w:line="22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OPT’s systems are intended to reduce lifecycle operating costs by minimizing the need for crewed vessels, fuel logistics, and routine on-site maintenance. Our service-based business models RaaS, Daas, and PaaS may further lower customer acquisition barriers and enhance revenue predictability.</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Alignment with National and Allied Security Priorities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solutions are designed to align with stated U.S. government objectives, including the Department of Homeland Security’s National MDA Plan and the U.S. Coast Guard’s Unmanned Systems Strategy. Areas of application include persistent surveillance, Exclusive Economic Zone (EEZ) enforcement, and offshore infrastructure monitoring.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Agility and Customer Responsiveness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OPT’s organizational structure and scale may provide an advantage in prototyping, iteration, and customer collaboration. Because OPT has an agile, lean organizational structure and smaller scale, it can more rapidly develop, test, and modify prototypes and incorporate customer feedback into new iterations. This speed is crucial when customers need a solution tailored to a specific mission, threat, or environment. In addition, this customer intimacy fosters trust and can lead to long-term relationships, especially in environments like NATO, UN, or U.S.-led coalitions where interoperability and mission alignment are key.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Contracts and Commercial Developments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fiscal 2025 and fiscal 2026 to date, OPT executed several commercial transactions that expanded our international presence and supported strategic positioning in defense and commercial maritime sectors:</w:t>
      </w:r>
    </w:p>
    <w:p>
      <w:pPr>
        <w:spacing w:after="0" w:line="158" w:lineRule="exact"/>
        <w:rPr>
          <w:sz w:val="20"/>
          <w:szCs w:val="20"/>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Facility Security Clearance Level (FL)</w:t>
      </w:r>
      <w:r>
        <w:rPr>
          <w:rFonts w:ascii="Times New Roman" w:cs="Times New Roman" w:eastAsia="Times New Roman" w:hAnsi="Times New Roman"/>
          <w:sz w:val="18"/>
          <w:szCs w:val="18"/>
          <w:color w:val="auto"/>
        </w:rPr>
        <w:t>: In fiscal 2025, our corporate headquarters and primary assembly facility in New Jersey was granted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Security Clearance Level (“FCL”) by the U.S. Department of Defense. The FCL authorizes OPT to support classified U.S. government programs at the Secret level, subject to compliance with national industrial security program requirements. The FCL increases our eligibility for classified defense contracts and affirms our compliance with personnel, physical, and cybersecurity standards.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Merrows™ PowerBuoy® Deployment</w:t>
      </w:r>
      <w:r>
        <w:rPr>
          <w:rFonts w:ascii="Times New Roman" w:cs="Times New Roman" w:eastAsia="Times New Roman" w:hAnsi="Times New Roman"/>
          <w:sz w:val="18"/>
          <w:szCs w:val="18"/>
          <w:color w:val="auto"/>
        </w:rPr>
        <w:t>: In May 2025, we shipped an AI-enabled Merrows™ PowerBuoy® to a customer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 East. This shipment followed a competitive procurement process in which OPT was selected as a preferred vendor for Merrows-equipped platforms.</w:t>
      </w:r>
      <w:r>
        <w:rPr>
          <w:rFonts w:ascii="Times New Roman" w:cs="Times New Roman" w:eastAsia="Times New Roman" w:hAnsi="Times New Roman"/>
          <w:sz w:val="18"/>
          <w:szCs w:val="18"/>
          <w:b w:val="1"/>
          <w:bCs w:val="1"/>
          <w:color w:val="auto"/>
        </w:rPr>
        <w:t>USV Contract</w:t>
      </w:r>
      <w:r>
        <w:rPr>
          <w:rFonts w:ascii="Times New Roman" w:cs="Times New Roman" w:eastAsia="Times New Roman" w:hAnsi="Times New Roman"/>
          <w:sz w:val="18"/>
          <w:szCs w:val="18"/>
          <w:color w:val="auto"/>
        </w:rPr>
        <w:t>: Also in May 2025, OPT entered into a contract with an international defense agency to supply multiple WAM-V® USVs. This transaction represents a material expansion of our footprint in allied defense markets and is expected to support future growth in our platform-based services.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Latin American Sales</w:t>
      </w:r>
      <w:r>
        <w:rPr>
          <w:rFonts w:ascii="Times New Roman" w:cs="Times New Roman" w:eastAsia="Times New Roman" w:hAnsi="Times New Roman"/>
          <w:sz w:val="18"/>
          <w:szCs w:val="18"/>
          <w:color w:val="auto"/>
        </w:rPr>
        <w:t>: Between December 2024 and January 2025, we received purchase orders totaling approximately $5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PowerBuoy® and WAM-V® platforms from customers in Latin America. These transactions include product sales and associated support services and will be fulfilled over multiple quarters.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Naval Postgraduate School Deployment</w:t>
      </w:r>
      <w:r>
        <w:rPr>
          <w:rFonts w:ascii="Times New Roman" w:cs="Times New Roman" w:eastAsia="Times New Roman" w:hAnsi="Times New Roman"/>
          <w:sz w:val="18"/>
          <w:szCs w:val="18"/>
          <w:color w:val="auto"/>
        </w:rPr>
        <w:t>: In September 2024, we were awarded a contract from the U.S. Naval Postgraduate School to deploy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PowerBuoy® equipped with the Merrows™ system in Monterey Bay, California. The contract supports testing of persistent maritime surveillance capabilities in an academic and operational context. This buoy was deployed in July 2025.</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OEM Agreement with Teledyne Marine</w:t>
      </w:r>
      <w:r>
        <w:rPr>
          <w:rFonts w:ascii="Times New Roman" w:cs="Times New Roman" w:eastAsia="Times New Roman" w:hAnsi="Times New Roman"/>
          <w:sz w:val="18"/>
          <w:szCs w:val="18"/>
          <w:color w:val="auto"/>
        </w:rPr>
        <w:t>: In June 2024, we executed an OEM agreement with Teledyne Marine. This agreement enables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integration of Teledyne’s sensor and subsea technology with OPT’s wave energy and autonomous platforms. We believe this partnership strengthens our technical offering, but the commercial impact will depend on customer adoption in future joint projects.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OEM Agreement with Teledyne Marine</w:t>
      </w:r>
      <w:r>
        <w:rPr>
          <w:rFonts w:ascii="Times New Roman" w:cs="Times New Roman" w:eastAsia="Times New Roman" w:hAnsi="Times New Roman"/>
          <w:sz w:val="18"/>
          <w:szCs w:val="18"/>
          <w:color w:val="auto"/>
        </w:rPr>
        <w:t>: In June 2024, we executed an Original Equipment Manufacturer (OEM) agreement with Teledyne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Marine. This agreement enables integration of Teledyne’s sensor and subsea technology with OPT’s wave energy and autonomous platforms. We believe this partnership strengthens our technical offering, but the commercial impact will depend on customer adoption in future joint projects.</w:t>
      </w:r>
    </w:p>
    <w:p>
      <w:pPr>
        <w:spacing w:after="0" w:line="17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 has established numerous strategic partnerships designed to capitalize on growing global demand, particularly in the middle east and Latin America:</w:t>
      </w:r>
    </w:p>
    <w:p>
      <w:pPr>
        <w:spacing w:after="0" w:line="157"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Remah International Group (“RIG”</w:t>
      </w:r>
      <w:r>
        <w:rPr>
          <w:rFonts w:ascii="Times New Roman" w:cs="Times New Roman" w:eastAsia="Times New Roman" w:hAnsi="Times New Roman"/>
          <w:sz w:val="18"/>
          <w:szCs w:val="18"/>
          <w:color w:val="auto"/>
        </w:rPr>
        <w:t>): In October 2024, OPT appointed RIG as its exclusive distributor for defense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within the United Arab Emirates. Under this agreement, RIG is responsible for promoting, distributing, selling, and servicing OPT’s suite of maritime technologies, including the WAM-V® USVs, the PowerBuoy®, and the AI-capable Merrows™ system.</w:t>
      </w:r>
    </w:p>
    <w:p>
      <w:pPr>
        <w:spacing w:after="0" w:line="197"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Unique Group</w:t>
      </w:r>
      <w:r>
        <w:rPr>
          <w:rFonts w:ascii="Times New Roman" w:cs="Times New Roman" w:eastAsia="Times New Roman" w:hAnsi="Times New Roman"/>
          <w:sz w:val="18"/>
          <w:szCs w:val="18"/>
          <w:color w:val="auto"/>
        </w:rPr>
        <w:t>: We have established a strategic partnership with Unique Group, a UAE-headquartered global innovator in subsea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and engineering. Announced in July 2024, this collaboration focuses on deploying OPT’s WAM-V® USVs across the United Arab Emirates and other Gulf Cooperation Council (GCC) countries for commercial customers primarily active in the offshore energy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left="1300" w:hanging="320"/>
        <w:spacing w:after="0" w:line="26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Elektron SAS</w:t>
      </w:r>
      <w:r>
        <w:rPr>
          <w:rFonts w:ascii="Times New Roman" w:cs="Times New Roman" w:eastAsia="Times New Roman" w:hAnsi="Times New Roman"/>
          <w:sz w:val="18"/>
          <w:szCs w:val="18"/>
          <w:color w:val="auto"/>
        </w:rPr>
        <w:t>: We have entered into a strategic partnership with Elektron SAS, a Colombia-based specialist in hydrographic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oceanographic instrumentation services. Announced in April 2025, this collaboration includes a $4 million purchase commitment for OPT’s suite of intelligent maritime technologies, encompassing the WAM-V® USVs, the PowerBuoy®, and the AI-powered Merrows™ platform.</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Ocean Wave Solutions (“OW</w:t>
      </w:r>
      <w:r>
        <w:rPr>
          <w:rFonts w:ascii="Times New Roman" w:cs="Times New Roman" w:eastAsia="Times New Roman" w:hAnsi="Times New Roman"/>
          <w:sz w:val="18"/>
          <w:szCs w:val="18"/>
          <w:color w:val="auto"/>
        </w:rPr>
        <w:t>S”): During the third quarter of fiscal 2025 we established a strategic partnership with Ocean Wave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Ltda (OWS)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Brazil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company, to serve as its authorized distributor in the Brazilian market. This collaboration is part of OPT’s broader initiative to expand its global footprint by leveraging local expertise and networks. This alliance aims to address the growing demand for autonomous and sustainable ocean technologies in Brazil, particularly in sectors such as offshore energy, environmental monitoring, and maritime security.</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 Cat Holdings</w:t>
      </w:r>
      <w:r>
        <w:rPr>
          <w:rFonts w:ascii="Times New Roman" w:cs="Times New Roman" w:eastAsia="Times New Roman" w:hAnsi="Times New Roman"/>
          <w:sz w:val="18"/>
          <w:szCs w:val="18"/>
          <w:color w:val="auto"/>
        </w:rPr>
        <w:t>: In April 2024, OPT entered a strategic alliance with Red Cat Holdings, Inc. (“Red Cat”), a U.S.-based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drone technologies for defense and commercial applications. The collaboration is focused on integrating Red Cat’s small unmanned aircraft systems (sUAS) with OPT’s autonomous maritime platforms, including the PowerBuoy® and WAM-V®. This integration is designed to deliver persistent, multi-domain situational awareness by combining Red Cat’s modular, night-vision-enabled drones with OPT’s ocean-powered infrastructure. The PowerBuoy® serves as a persistent power and communications node by harvesting wave energy, while the WAM-V® provides mobile, autonomous surface capabilities in a variety of sea states. The alliance advances OPT’s strategy to deliver interoperable, autonomous systems for defense, intelligence, and security missions, enhancing operational endurance, real-time intelligence, and force protection in maritime environments.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24/7 Global Service Support Launch</w:t>
      </w:r>
      <w:r>
        <w:rPr>
          <w:rFonts w:ascii="Times New Roman" w:cs="Times New Roman" w:eastAsia="Times New Roman" w:hAnsi="Times New Roman"/>
          <w:sz w:val="18"/>
          <w:szCs w:val="18"/>
          <w:color w:val="auto"/>
        </w:rPr>
        <w:t>: Also in June 2024, OPT launched a global 24/7 service support program to enhance customer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for deployed systems. This initiative supports our strategy to grow recurring service revenue and strengthen long-term customer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our contract backlog was approximately $12.5 million, compared to $4.9 million as of April 30, 2024. The backlog represents the value of unfulfilled, purchase orders and agreements with commercial and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Backlog figures do not necessarily reflect future revenue, as orders may be adjusted, delayed, or canceled, and our recognition of associated revenue is subject to the terms of the underlying agreements. The size of our backlog may also fluctuate materially based on the timing of new awards, contract renewals, or the conclusion of long-term engagements. Consequently, while we view backlog as a useful performance indicator, it should not be relied upon as a predictor of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Solution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 continues to prioritize the development and commercialization of modular, autonomous solutions for offshore energy, data acquisition, and maritime domain awareness. Our development strategy is informed by customer use cases, operational field data, and regulatory trends, and is focused on delivering scalable capabilities that support persistent and intelligent ocean infrastructure.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approach emphasizes disciplined capital allocation, with a focus on near-term commercial viability and alignment with long-term Company strategy and platform goals. As of April 30, 2025, our product development activities primarily support enhancements to existing systems. However, we expect to expand these efforts to include new platform capabilities, advanced autonomy features, and mission-specific configurations in response to evolving customer requirements and emerging market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In-Development Programs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WAM-V® Autonomy Stack</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 is advancing a proprietary autonomy framework for the WAM-V® USV vehicle platform. Features in development include edge-based navigation, adaptive mission planning, obstacle avoidance, and fleet coordination logic. These enhancements are designed to reduce operator workload and support persistent, autonomous operation across varied maritime environments.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Docking and Charging Infrastructure</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advancing new platform capabilities, enhanced autonomy features, and mission-specific configurations in response to evolving customer requirements and emerging market opportunities</w:t>
      </w:r>
    </w:p>
    <w:p>
      <w:pPr>
        <w:spacing w:after="0" w:line="161" w:lineRule="exact"/>
        <w:rPr>
          <w:rFonts w:ascii="Times New Roman" w:cs="Times New Roman" w:eastAsia="Times New Roman" w:hAnsi="Times New Roman"/>
          <w:sz w:val="18"/>
          <w:szCs w:val="18"/>
          <w:color w:val="auto"/>
        </w:rPr>
      </w:pPr>
    </w:p>
    <w:p>
      <w:pPr>
        <w:ind w:left="660" w:right="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These systems are designed to extend operational duration, reduce logistical support requirements, and facilitate closed-loop surveillance networks in remote or contested waters. A field demonstration has been completed, and refinement of hardware and software integration is ongoing.</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Maritime Resiliency Enhancement</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enhance the resiliency of our WAM-V platforms, further improving operational envelopes, in-situ servicing, and the ability to utilize a wide range of propulsion systems. These enhancements also include the ability to increase payloads and deploy a wide range of systems, from unmanned underwater and surface assets, to towing sonars (sound navigation and ranging (Sonar), a technology that uses sound waves to detect, locate, and characterize objects underwater) for seabed mapping and mine counter measures.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initiatives reflect OPT’s long-term focus on enabling persistent ocean operations through platform self-sufficiency, data continuity, and autonomous system interoperability. We expect these technologies to enhance the value proposition of our service models (e.g., RaaS, Raas and DaaS), though the timing and scale of commercial adoption will depend on customer demand, technical milestones, and system-level testing outcomes.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Innovation Focus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development roadmap is driven by three primary inputs:</w:t>
      </w:r>
    </w:p>
    <w:p>
      <w:pPr>
        <w:spacing w:after="0" w:line="2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Feedback and Operational Data</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Insights from deployments inform feature prioritization, systems hardening, and performance optimization.</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Technology Integration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opportunities to incorporate adjacent technologies, such as aerial drones, autonomous underwater vehicles (AUVs), and remote sensing modules, into our platform suite through partner collaboration and joint development efforts.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AI/ML and Data Strategy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part of our innovation roadmap, we are developing artificial intelligence and machine learning applications for mission automation, anomaly detection, and data prioritization. We are also assessing requirements for secure, cloud-enabled data environments to support multi-platform information sharing and operational analytics.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an intellectual property (IP) portfolio that supports our operations across autonomous maritime systems, wave energy conversion, and integrated ocean intelligence solutions. Our IP strategy is designed to protect proprietary technology, promote long-term product differentiation, and support commercial growth in both U.S. and international markets.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30, 2025, OPT held approximately 70 issued U.S. patents covering innovations in the following categories: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Buoy system architecture, including energy conversion, battery charging systems, power take-off mechanisms, and control circuitry;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 energy control systems and thermal/wave hybrid power conversion;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Mooring and anchoring systems, including subsea cabling and marine connectors;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Multi-unit wave energy farm network configurations;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charging interfaces for USVs;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WAM-V® platform technologies, including modular propulsion and control systems;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Buoy-based communications infrastructure using LTE, satellite, and mesh technologies.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patents have staggered expiration dates, extending through fiscal year 2041. No individual patent is considered material to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collective breadth and interconnectivity of the portfolio provide meaningful protection for our core systems and solutions.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patents, we rely on trade secrets, proprietary engineering processes, and non-public technical documentation. Certain technologies were developed under government-funded programs and may be subject to U.S. federal government use rights under the Bayh-Dole Act and related provisions.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OPT also holds and maintains registered U.S. trademarks critical to brand identity and market differentiation, including PowerBuoy®, WAM-V®, and Merrows™.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intellectual property portfolio is reviewed periodically to assess enforceability, alignment with strategic product roadmaps, and licensing opportunities. We may pursue additional filings or commercial partnerships to expand our IP base and enter new applications or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OPT’s operations are subject to a range of domestic and international laws, regulations, and technical standards that affect product design, deployment, data handling, and defense-related contracting. Our ability to operate effectively in key markets depends in part on maintaining compliance across multiple regulatory regimes.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Security Clearance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 currently holds a Facility Security Clearance (FCL) from the U.S. Department of Defense, which allows our company to access and perform work on contracts involving classified information at the “Secret” level. This clearance supports our eligibility to participate in certain U.S. government programs, particularly in the defense and intelligence sectors.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maintain this clearance, OPT is required to comply with a range of ongoing security and operational requirements under the National Industrial Security Program (NISP). These requirements include:</w:t>
      </w:r>
    </w:p>
    <w:p>
      <w:pPr>
        <w:spacing w:after="0" w:line="162"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Screening: Key management personnel and employees who access classified information must hold active U.S. government security clearances.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Safeguards: Classified information must be stored, handled, and transmitted in secure areas using approved security systems and procedures.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Security Officer: We are required to designate a trained Facility Security Officer (FSO) who manages our industrial security program and coordinates with government agencies.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Threat Program: OPT must operate a formal insider threat detection and reporting program, including employee training and risk mitigation practices.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Foreign Ownership Compliance: If foreign ownership or influence is present, OPT must disclose this to the U.S. government and implement approved safeguards to mitigate potential risks.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Training: All cleared personnel must complete initial and annual security training, including awareness of insider threats and reporting obligations.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Oversight: The company is subject to periodic inspections and reviews by the Defense Counterintelligence and Security Agency (DCSA), which oversees compliance with federal security regulations.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requirements could result in the suspension or revocation of our security clearance, which may impact our ability to perform on classified contracts or bid on certain U.S. government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Control and Trade Compliance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U.S. export control laws, including the International Traffic in Arms Regulations (ITAR) and the Export Administration Regulations (EAR). Certain technologies, components, and technical data integrated into OPT systems may require U.S. government authorization for export, re-export, or third-party access. OPT maintains internal compliance protocols to support adherence to applicable export control requirements and customer-specific licensing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Maritime and Offshore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PowerBuoy® and WAM-V® platforms operate in offshore and nearshore environments and may be subject to regulation by the U.S. Coast Guard, Bureau of Ocean Energy Management, and other federal or local agencies. For international deployments, we work with country-specific maritime authorities to obtain operational approvals and ensure environmental and navigational compliance.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Telecommunications and Data Transmission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Several OPT platforms transmit real-time operational data via satellite, LTE/5G, or other secure communications channels. These activities are subject to domestic and international telecommunications regulation, including oversight by the Federal Communications Commission (FCC) and analogous bodies abroad. OPT maintains policies to ensure frequency band licensing, data privacy compliance, and secure communications protocols are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Contracting and Compliance</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As a contractor and supplier to U.S. government agencies—including the Department of Defense (DoD), Department of Energy (DOE), and National Oceanic and Atmospheric Administration (NOAA)—we are subject to the Federal Acquisition Regulation (FAR), Defense Federal Acquisition Regulation Supplement (DFARS), and other federal procurement standards. These frameworks govern cybersecurity, ethics, cost allowability, and reporting obligations. We are also subject to the terms of government funding agreements that may impose IP licensing restrictions or data rights limitations.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Safety Regulation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OPT systems are engineered to operate with low emissions and minimal environmental impact. However, we are subject to regulations governing offshore noise, emissions, marine habitat protection, and operational safety. Our compliance posture is evaluated on a jurisdiction-by-jurisdiction basis, and we continuously monitor evolving sustainability mandates across key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Assembly Facilities and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 conducts in-house assembly and integration activities at two primary U.S.-based locations: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Monroe Township, New Jersey: Our headquarters facility includes approximately 56,000 square feet of combined manufacturing, assembly, engineering, and administrative space. This site supports the production and integration of our PowerBuoy®, WAM-V®, and Merrows™ platform components and serves as our principal site for final system testing and quality assurance. The facility includes configurable production areas that can be scaled to accommodate increased manufacturing volumes.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Richmond, California: Our West Coast facility supports prototyping, on-water testing, final integration, and mission readiness activities for deployments in the Pacific region. This location also provides additional surge manufacturing capacity to support variable customer demand and lead-time-sensitive programs.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Together, these facilities support OPT’s ability to meet current production requirements, provide geographic flexibility for field operations, and maintain lead-time responsiveness for government and commercial projects.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existing facilities are adequate for our near production needs. We continuously monitor demand forecasts and contract volume to assess whether further investment or expansion will be required. If customer demand materially increases, we may consider expanding our footprint, increasing shifts, or utilizing contract manufacturing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that our workforce is central to our innovation, operational performance, and long-term business success. As of April 30, 2025, OPT employed 53 full-time employees, all located in the United States. We believe our ability to attract, develop, and retain a skilled workforce is critical to the execution of our strategic and technical objectives.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Workplace Culture and Inclusion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 is an equal opportunity employer. Employment decisions are made without regard to race, gender, age, disability, veteran status, or other characteristics protected by applicable law. We are committed to fostering an inclusive, respectful, and diverse work environment and continue to evaluate ways to improve equity across our workforce and talent pipeline.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Health, Safety, and Environmental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Quality, Health, Safety, and Environmental (QHSE) program designed to promote operational safety, risk mitigation, and compliance with applicable occupational health and safety regulations. Our primary manufacturing sites in Monroe Township, New Jersey and Richmond, California are ISO 45001 certified , the international occupational health and safety management standard.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QHSE program include:</w:t>
      </w:r>
    </w:p>
    <w:p>
      <w:pPr>
        <w:spacing w:after="0" w:line="225"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Stop-work authority and proactive hazard identification practices;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of leading and lagging safety indicators;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incident investigation and root cause analysis protocols;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safety training and employee engagement.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July 2025 we were awarded ISO 9001 certification. ISO 9001 is the world’s most recognized quality management standard, awarded to organizations that consistently provide products and services that meet customer and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Impact and Emissions Reductions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products are designed to reduce greenhouse gas emissions by replacing fossil fuel-based systems in offshore monitoring, security, and energy applications. The following Company estimates reflect modeled displacement of diesel-based maritime activity, based on representative deployments:</w:t>
      </w:r>
    </w:p>
    <w:p>
      <w:pPr>
        <w:spacing w:after="0" w:line="121" w:lineRule="exact"/>
        <w:rPr>
          <w:sz w:val="20"/>
          <w:szCs w:val="20"/>
          <w:color w:val="auto"/>
        </w:rPr>
      </w:pPr>
    </w:p>
    <w:p>
      <w:pPr>
        <w:ind w:left="660" w:right="20" w:hanging="328"/>
        <w:spacing w:after="0" w:line="245" w:lineRule="exact"/>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PowerBuoy® Units: Estimated to displace ~4 metric tons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annually per unit, equivalent to removing approximately two passenger vehicles from the road.</w:t>
      </w:r>
    </w:p>
    <w:p>
      <w:pPr>
        <w:spacing w:after="0" w:line="158" w:lineRule="exact"/>
        <w:rPr>
          <w:rFonts w:ascii="Times New Roman" w:cs="Times New Roman" w:eastAsia="Times New Roman" w:hAnsi="Times New Roman"/>
          <w:sz w:val="18"/>
          <w:szCs w:val="18"/>
          <w:color w:val="auto"/>
        </w:rPr>
      </w:pPr>
    </w:p>
    <w:p>
      <w:pPr>
        <w:ind w:left="660" w:hanging="328"/>
        <w:spacing w:after="0" w:line="245" w:lineRule="exact"/>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Merrows™ Maritime Domain Awareness Deployments: In scenarios where manned patrol vessels are replaced, estimated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displacement exceeds 300 metric tons per 10 vessel-days.</w:t>
      </w:r>
    </w:p>
    <w:p>
      <w:pPr>
        <w:spacing w:after="0" w:line="158" w:lineRule="exact"/>
        <w:rPr>
          <w:rFonts w:ascii="Times New Roman" w:cs="Times New Roman" w:eastAsia="Times New Roman" w:hAnsi="Times New Roman"/>
          <w:sz w:val="18"/>
          <w:szCs w:val="18"/>
          <w:color w:val="auto"/>
        </w:rPr>
      </w:pPr>
    </w:p>
    <w:p>
      <w:pPr>
        <w:ind w:left="660" w:hanging="328"/>
        <w:spacing w:after="0" w:line="245" w:lineRule="exact"/>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WAM-V® Survey Operations: Autonomous survey missions have demonstrated potential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reductions of ~14 metric tons per vessel-day, or up to 1,300 metric tons over a multi-week deployment.</w:t>
      </w:r>
    </w:p>
    <w:p>
      <w:pPr>
        <w:spacing w:after="0" w:line="1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in the process of building a carbon tracking database to support data verification and environmental performance reporting. These estimates are based on internal models and publicly available benchmarks and practice and may be refined as additional field data becomes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Development and Marine Protection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OPT’s mission is aligned with UN Sustainable Development Goal 14 (Life Below Water). Our technologies are used in applications that support: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and deterrence of IUU fishing;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oceanographic and climate-related data for scientific and regulatory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reliance on fuel-based vessels and infrastructure.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Sustainability and Product Risk Review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fiscal 2023, we completed a facility energy audit in collaboration with the New Jersey Clean Energy Program and conducted a corporate carbon footprint assessment. We offset 100% of calculated emissions from our headquarters and business travel. We also initiated a product-level environmental impact assessment for the PowerBuoy® platform. Based on external review and regulatory agency feedback (including from NOAA and the U.S. Army Corps of Engineers), PowerBuoy® platforms were determined to pose no material harm to marine ecosystems. Key safety features include:</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rare earth or toxic metals in batteries;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fire or explosion risk;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Remote energy discharge capability for emergency shutdown.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We are currently assessing the WAM-V® platform for materials safety and its impact on sensitive marine habitats.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all amendments to those reports are made available free of charge through the Investor Relations section of the Company’s website (www.oceanpowertechnologies.com) as soon as practicable after such material is electronically filed with, or furnished to, the SEC. Material contained on our website is not incorporated by reference in this report. Our executive offices are located at 28 Engelhard Drive, Suite B, Monroe Township, New Jersey, 08831, and our telephone number is (609) 730-0400. Since June 2021, our common stock has traded on the NYSE American exchange under the symbol “OPTT”, and previously, it traded on Nasdaq under the same symbol. The public may also read and copy any materials that we file with the Securities and Exchange Commission (“SEC”) at the SEC’s Public Reference Room at 100 F Street, NE, Washington, D.C. 20549. The public may obtain information on the operation of the Public Reference Room by calling the SEC at 1-800-SEC-0330. The SEC also maintains an Internet website that contains reports and other information regarding issuers that file electronically with the SEC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together with the other information contained in this Annual Report, and in prior periodic and current reports. If any of the following risks occur, they may materially harm our business and our financial condition and results of operations. In this event, the market price of our common stock could decline, and your investment could be lost.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$21.5 million and $27.5 million in fiscal 2025 and 2024, respectively. As of April 30, 2025, we had an accumulated deficit of $329.1 million. Our losses to date have resulted primarily from costs incurred in our research and development programs and from our selling, general and administrative costs. As we continue to develop our proprietary technologies, we expect to continue to have a net loss and use of cash from operating activities unless or until we achieve positive cash flow from the commercialization of our products and services.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services or whether we can achieve profitability. There is significant uncertainty about our ability to successfully commercialize our products in our targeted markets. Even if we do achieve commercialization of our products and services and become profitable, we may not be able to achieve or, if achieved, sustain profitability on a quarterly or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U.S. Government Security Clearances Could Harm Our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maintain a Facility Security Clearance (FCL) at the Secret level, which enables us to perform on U.S. government contracts that involve access to classified information. Our eligibility to maintain this clearance is subject to the requirements of the National Industrial Security Program, administered by the Defense Counterintelligence and Security Agency (DCSA). If we fail to comply with these requirements, such as through deficiencies in our security protocols, loss of cleared personnel and inability to replace these people in key roles, or failure to report material organizational changes, our FCL may be suspended or revoked. If FCL is suspended or revoked, OPT will no longer be able to participate or bid on . contracts that involve classified information.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foreign ownership, control, or influence (FOCI), whether through investment, merger, or acquisition, must be mitigated to DCSA’s satisfaction through an approved security agreement. Failure to properly mitigate FOCI or to obtain required pre-clearance from DCSA could jeopardize our clearance status. Loss of our FCL would prevent us from bidding on or performing contracts requiring classified access and could result in the termination of existing classified work, adversely impacting our financial performance and long-term strategic positioning in the defense and intelligence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raise sufficient capital to continue to operate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funded our business operations through sales of equity securities. We have raised approximately $23.4 million during fiscal 2025, and had an unrestricted cash balance of $6.7 million as of April 30, 2025. We do not know whether we will be able to secure additional funding if needed in the future or, if secured, whether the terms will be favorable to us or our investors. Our ability to obtain additional funding will be subject to several factors, including market conditions, our operating performance, litigation and investor sentiment. These factors may make additional funding unavailable, or the timing, dollar amount, and terms and conditions of additional funding unattractive.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securities to raise capital, our existing shareholders could experience dilution or may be subordinated to any rights, preferences or privileges granted to the new security holders. Any new securities issued could have rights senior to those associated with our common stock and could contain covenants that could restrict our operations. Should the financing we require to sustain our working capital needs be unavailable or prohibitively expensive when we require it, our business, operating results, financial condition and prospects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macroeconomic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conditions. Macroeconomic conditions, including inflation, slower growth or recession, changes to fiscal and monetary policy, tighter credit, higher interest rates, high unemployment and currency fluctuations can materially and adversely affect demand for the Company’s products and services. In addition, confidence and spending can be materially adversely affected in response to financial market volatility, negative financial news, declines in income or asset values, energy market dislocations and cost increases, labor and healthcare costs and other economic factors. An adverse impact on demand for the Company’s products, uncertainty about, or a decline in, global or regional economic conditions can have a significant impact on the Company’s suppliers and other partners. Potential effects include financial instability; inability to obtain credit to finance operations and purchases of the Company’s products; and insolvency. We cannot predict the timing or scale of these various macroeconomic conditions, but they could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U.S. tariff and import/export regulations may have a negative effect on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significant changes to United States trade policies, treaties and tariffs, and in the future there may be additional significant changes. These and any future developments, and continued uncertainty surrounding trade policies, treaties and tariffs, may have a material adverse effect on global economic conditions, inflation and the stability of global financial markets, and may significantly reduce global trade and, in particular, trade between the impacted nations and the United States. Any of these factors could depress economic activity and restrict our access to suppliers or customers, increase our supply-chain costs and expenses and could have material adverse effects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current or future indebtedness may limit our operations and our use of our cash flow, and any failure to comply with the covenants that apply to any indebtedness could adversely affect our liquidity and financial condition.</w:t>
      </w:r>
    </w:p>
    <w:p>
      <w:pPr>
        <w:spacing w:after="0" w:line="15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issued $10.0 million in convertible notes to investors and have the option to issue up to an additional $15.0 million in convertible notes under the same investment agreement. Our debt level and the need to meet related covenants can have negative consequences. We may incur more debt in the future, and there can be no assurance that our cost of funding will not substantially increase. The convertible notes also impose certain restrictions on us, including financial covenants and events of default. Upon an event of default, for example, the lenders can get an increased rate of return and force a redemption, which could adversely affect our liquidity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meet our debt obligations could damage our business.</w:t>
      </w:r>
    </w:p>
    <w:p>
      <w:pPr>
        <w:spacing w:after="0" w:line="2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ability to meet our obligations under our convertible notes will depend on market conditions and our future performance, which is subject to economic, financial, competitive, and other factors beyond our control. If we are unable to remain profitable, or if we use more cash than we generate in the future, our level of indebtedness at such time could adversely affect our operations by limiting or prohibiting our ability to obtain financing for additional capital expenditures, acquisitions and general corporate purposes. In addition, if we are unable to make payments as required under the convertible notes, we would be in default, which could seriously harm our business. If we incur more debt, this could intensify the risks described above.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maintain cash balances in accounts at U.S. financial institutions that we believe are high quality. These accounts are in non-interest-bearing and interest-bearing operating accounts and may, from time to time, exceed the Federal Deposit Insurance Corporation (“FDIC”) insurance limits. If such banking institutions were to fail, we could lose all or a portion of those amounts held more than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and transaction risk may adversely affect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reporting currency is the U.S. dollar, however sometimes we incur costs in the local currency of countries in which our customers and suppliers are located. As a result, we are subject to currency translation risk. A percentage of our revenue has historically been generated outside the U.S. and can be denominated in foreign currencies of our customers. Changes in exchange rates between foreign currencies and the U.S. dollar could affect our revenue and cost of revenue and could result in exchange losses. We cannot accurately predict the impact of future exchange rate fluctuations on the results of our operations. Currently, we do not engage in any exchange rate hedging activities and, as a result, any volatility in currency exchange rates may have an immediate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Growth of Our Business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demand for our solutions and services or new products does not develop or takes longer to develop than we anticipate, our revenue generation will be limited, and it is unlikely that we will be able to achieve and, if achieved, then sustain profitability.</w:t>
      </w:r>
    </w:p>
    <w:p>
      <w:pPr>
        <w:spacing w:after="0" w:line="15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7"/>
          <w:szCs w:val="17"/>
          <w:color w:val="auto"/>
        </w:rPr>
        <w:t>Even if wave energy and maritime domain awareness technology achieve broad commercial acceptance, our products, including our MDAS offering, NextGen PB and Legacy PB and WAM-V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autonomous surface vessels may not prove to be commercially viable technologies. We have invested a significant portion of our time and financial resources since our inception in the development of our PowerBuoys® but have not yet achieved successful large scale or profitable commercialization of our PowerBuoys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We have also added the WAM-V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 line, but we have not achieved profitability</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with this product line. As we seek to manufacture, market, sell and deploy our PowerBuoys® and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greater quantities, we may encounter unforeseen hurdles that would limit the commercial viability of these products, including unanticipated manufacturing, deployment, operating, maintenance and other costs. We may also encounter technical obstacles to deploying, operating and maintaining PowerBuoys®,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other products.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demand for our solutions and products fails to develop sufficiently, it is unlikely that we will be able to grow our business or generate sufficient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if we are not successful in commercializing our new solutions and products, or are significantly delayed in doing so, our business, financial condition and results of operations will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management and other qualified personnel, we may not be able to achieve our business objectives.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the skills, experience and efforts of our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Changes in senior management are inherently disruptive, and efforts to implement any new strategic or operating goals may not succeed in the absence of a long-term management team. Changes to strategic or operating goals stemming from the appointment of new executives may themselves prove to be disruptive. Periods of transition in senior management leadership are often difficult as new executives gain detailed knowledge of our operations. Cultural differences may also impact changes in strategy and style. Without consistent and experienced leadership, customers, employees, suppliers, creditors, shareholders and others may lose confidence in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be successful, we need to attract and retain key personnel. Qualified individuals, including engineers, software developers, project managers and sales leadership, are in high demand, and we may incur significant costs to attract and retain them. All our employees are at-will employees, which means they can terminate their employment relationship with us at any time, and their knowledge of our business and industry would be difficult to replace. If we lose key personnel, or do not hire or retain other personnel for key positions, this could have a material adverse effect on our business, financial condition, results of operations or cash flows.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non-U.S. sales and operations are subject to risks inherent in conducting business outside the U.S., many of which are beyond our control including</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right="20" w:firstLine="8"/>
        <w:spacing w:after="0" w:line="282" w:lineRule="auto"/>
        <w:tabs>
          <w:tab w:leader="none" w:pos="2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attitudes, laws, rules, regulations, and policies within countries that favor local companies over U.S. companies, including government-supported efforts to promote local competitors;</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1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expanded U.S. tariffs enacted in 2025 on imported components, particularly from China, have the potential to increase the cost of materials used in our PowerBuoy®, WAM-V®, and Merrows™ platforms. These tariffs may also lead to supply chain delays, reduced margins, and increased pricing pressure. If we cannot mitigate these impacts through sourcing alternatives or operational efficiencies, our business and financial performance could be adversely affected;</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systems and standards of trade which may not honor our intellectual property rights, and which may place us at a competitive disadvantage;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pressures from foreign customers and foreign governments for us to increase our operations in the foreign country, which may necessitate the sharing of sensitive information and intellectual property rights;</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governmental laws and regulations, including varying labor laws and tax regulations;</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1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various information systems and information technology to conduct our business, making us vulnerable to cyberattacks by third parties or breaches due to employee error, misuse, or other causes, that could result in business disruptions, loss of or damage to our intellectual property and confidential information (and that of our customers and other business partners), reputational harm, transaction errors, processing inefficiencies, or other adverse consequences;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1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or global economic downturns or recessions, varying foreign government support, unstable political environments, and other changes in foreign economic conditions;</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such as the COVID-19 pandemic, on employees, suppliers, customers and the global economy;</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global enterprise, including staffing, managing distributors and representatives, and repatriating cash;</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difficulties in collecting accounts receivable; and</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customs and ways of doing business.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our operations have not been materially adversely affected by global conflicts including Russia’s invasion of Ukraine, the current Israel/Palestine conflict, or the recent attacks on merchant ships in the Red Sea. However, further escalation of these or other conflicts could result in, among other negative consequences, a disruption to the global economy and supply chain leading to a shortage of parts, materials and services needed to manufacture and timely deliver our products. Any such shortages could negatively impact our suppliers’ ability to meet our demand requirements and, in turn, our ability to satisfy our customer demand. These challenges, together with other challenges associated with operating an international business, may adversely affect our ability to recognize revenue and our other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this could adversely affect our business and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scope of our operations to date has been limited, and we do not have experience operating on the scale that we believe may be necessary to achieve profitable operations. We added two acquisitions over the last three fiscal years (one of which was subsequently divested in November 2023), and now have operations in New Jersey and California, without significantly increasing our support staff. Our current personnel, facilities, systems and internal procedures and controls may not be adequate to support our future growth plans, which we expect to include organic growth as well as additional acquisitions and partnerships. This factor, when combined with the technical complexity of some of our development efforts, may result in our inability to meet certain customer expectations or deadlines and could result in an amendment to, or termination of, customer contracts or relationships. To realize our desired growth, we may need to add sales, marketing and engineering offices in our existing and/or additional locations nationally or internationally, which may result in additional organizational complexity and cost.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manage the expansion of our operations, we may be required to improve our operational and financial systems, procedures and controls, increase our manufacturing capacity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negotiate and enter into service contracts with our customers on terms that are acceptable to us, our ability to diversify our revenue stream will be impacted.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important element of our business strategy is to enter into service contracts with our customers under which we would be paid fees for services related to the maintenance and operation of our products purchased from us. In addition, we may offer to lease our products, sell power generated by our products or sell data gathered by sensors on our products. Even if customers purchase or lease our products, they may not enter into service contracts with us. We may not be able to negotiate services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our products could be impaired. Any one of these outcomes could have an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shareholders could be disruptive and costly and the possibility that activist shareholders may gain representation on or control of our board of directors could adversely affect our results of operations, financial condition, or share price.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strive to maintain constructive communications with our shareholders, we have been, and may in the future be, subject to actions initiated by activist shareholders,. While the Company has successfully defended against these lawsuits, these efforts resulted in significant expense and management distraction. Any activist campaign against OPT that contests, conflicts with, or seeks to change, our board composition, leadership, strategic direction, or business mix could have an adverse effect on us because: (i) responding to actions by activist shareholders could disrupt our operations, be costly or time-consuming, or divert the attention of our board of directors and senior management from their regular duties, which could adversely affect our results of operations or financial condition; (ii) perceived uncertainties, including as a result of possible changes to the composition of our board, as to our future direction may lead to the perception of a change in the direction of the business or lack of continuity, any of which may be exploited by our competitors, cause concern to our customers and/or employees and result in the loss of potential business opportunities, or make it more difficult to attract and retain qualified personnel and business partners, and may affect our relationships with vendors, customers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shareholders.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and expect to continue to be, highly dependent on third parties to supply or manufacture components for our products, including for pre-fabrication elements. If, for any reason, our third-party manufacturers or vendors are not willing or able to provide us with components or supplies in a timely fashion, or at all, our ability to manufacture and sell many of our products could be impaired. Specifically, we have concerns about the delivery of semiconductors and specialty metals, which are necessary to produce our products, as well as our ability to find vendors for pre-fabrication elements of our products. Other global supply chain issues have caused our vendors to delay orders, or to request increased pricing that we may not always be able to pass on to our customers.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Additionally, we may not be able to negotiate new arrangements with these third parties on acceptable terms,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third parties, under our oversight, for the deployment and mooring for products. We have utilized several different deployment methods, including towing our products to the deployment location and transporting our products to the deployment location by barge or offshore workboat. If these third parties do not properly deploy our systems, cannot effectively deploy the products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targeted markets are competitive and highly complex. We compete against incumbent solutions already being utilized by our customers and potential customers. If we are unable to compete effectively, we may be unable to increase our revenue and achieve or maintain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targeted markets include defense and security, offshore oil and gas, science and research, marine charter, and offshore wind. In our targeted markets, which are highly competitive, we compete against incumbent power and maritime domain awareness solutions already being utilized by our customers and potential customers. If we are unable to demonstrate to our customers and our potential customers that our products and services are competitive and reliable to alternative solutions, or if it takes us longer to do so than we anticipate, we may be unable to expand our business, maintain our competitive position, satisfy our contractual obligations, continue to commercialize our products, or become profitable. In addition, if the cost associated with these development efforts exceeds our projections, our results of operations could be materially and adversely affected.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competition may arise from other companies manufacturing similar products, developing different products that produce energy more efficiently than our products, or developing autonomous vehicles that perform better or have other characteristics that customers prefer, could make our products less attractive or render them obsolete. If we are not successful in manufacturing systems and solutions required for the application, we may not be able to respond effectively to competitive pressures from competing technologies or improvements to existing technologies. 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market and plan to market our services and products in multiple international regions. If we are unable to manage our international operations effectively, our business, financial condition and results of operations could be adversely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market and plan to market our services and products in multiple global regions, including parts of North and South America, Europe, Sub-Saharan Africa, Middle East, and Asia, and we are therefore subject to risks associated with having international operations. Revenue from customers who are based outside of the U.S. accounted for 60% of our revenue in fiscal 2025 and 4% of our revenue in fiscal 2024. Risks inherent in international operations include, but are not limited to, the following:</w:t>
      </w:r>
    </w:p>
    <w:p>
      <w:pPr>
        <w:spacing w:after="0" w:line="180" w:lineRule="exact"/>
        <w:rPr>
          <w:sz w:val="20"/>
          <w:szCs w:val="20"/>
          <w:color w:val="auto"/>
        </w:rPr>
      </w:pPr>
    </w:p>
    <w:p>
      <w:pPr>
        <w:ind w:left="5540" w:right="4060" w:hanging="5532"/>
        <w:spacing w:after="0" w:line="532" w:lineRule="auto"/>
        <w:tabs>
          <w:tab w:leader="none" w:pos="6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political conditions in the countries in which we operate;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660" w:right="2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adverse changes in foreign laws or regulatory requirements, including those with respect to renewable energy, environmental protection, permitting, export duties and quotas;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such as export requirements, tariffs, taxes and other restrictions and expenses, which could increase the prices of our products and make us less competitive in some countries;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that may affect demand for our products and may adversely affect our profitability in U.S. dollars to the extent the price of our products and cost of raw materials and labor are denominated in a foreign currency;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staffing and managing widespread operations, including managing the complexity of international labor laws as we send staff and hire consultants to support our international deployments;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and costs relating to compliance with, the different commercial and legal requirements of the overseas markets in which we offer and sell our products;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agreements in foreign legal systems.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may increase these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information systems or those of third parties or breaches of data security could cause significant harm to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systems and processes involve the storage and transmission of proprietary information and sensitive or confidential data, including personal information of employees, and possibly customers and others. In addition, we rely on information systems controlled by third parties. Information system failures, network disruptions, and system and data security breaches, manipulation, destruction, ransom, or leakage, whether intentional or accidental, could impair our ability to provide services to our customers or otherwise harm our ability to conduct our business., including delays in execution of classified work or revocation of our FCL Any such failures, disruptions or breaches could also impede the development, manufacture or shipment of products, interrupt or delay processing of transactions and reporting financial results, result in theft or misuse of our intellectual property or other assets, or result in the unintentional disclosure of personal, proprietary, sensitive, or confidential information of employees, customers, and others. Our development and use of our MDAS platforms, cloud-based offerings, as well as our evolution toward DaaS, PaaS and RaaS models, require us to host increasing amounts of our own data as well as customer data, and increases the risk that our and our customers’ data and financial and proprietary information could be more susceptible to such failures and data breaches.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breaches of our systems and information technology could adversely impact our ability to operate or meet contractual obligations.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utilize, develop, install and maintain a number of information technology systems. Various privacy and security laws require us to protect sensitive and confidential information from disclosure. In addition, we are bound by our customers and other contracts, as well as our own business practices, to protect confidential and proprietary information (whether it be ours or a third party’s information entrusted to us) from disclosure. Our computer systems, as well as those of our customers,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customers and other business partners. Industry-accepted security measures and technology to secure computer systems, and the information stored by cloud vendors on these systems are subject to threats. For example, as we plan to receive projects from the DoD and Department of Homeland Security (“DoHS”), we will have to meet their framework for establishing cyber security standards and best practices, what they call Cybersecurity Maturity Model Certification at various levels as we grow our business with DoD and DoHS. There can be no assurance that our efforts will prevent these threats, or that we will be able to secure appropriate certifications in this area. Further, as these security threats continue to evolve, we may be required to devote additional resources to protect, prevent, detect and respond against such threats. A party who circumvents our security measures, or those of our customers, contractors or other vendors, could misappropriate confidential or proprietary information, improperly manipulate data, or cause damage or interruptions to systems. If we are unable to protect sensitive information, our customers or governmental authorities could question the adequacy of our security processes and procedures and our compliance with applicable laws and regulations, including evolving government cyber security requirements for government contractors. Any of these events could damage our reputation, result in litigation and regulatory fines and penalties, or have a material adverse effect on our business, financial condition, results of operations or cash flows.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broader cyber defense strategy, we actively participate in the Federal Bureau of Investigation’s InfraGard program and related cyber threat intelligence initiatives. These programs enhance our access to real-time threat indicators and best practices for protecting critical infrastructure. While such participation underscores our commitment to proactive risk mitigation and national security collaboration, it may also elevate scrutiny of our cybersecurity protocols, increase compliance obligations, and expose us to additional reputational and regulatory risks in the event of a breach or lapse.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for U.S. federal income tax purposes may be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federal net operating loss (“NOL”) carryforwards that are available to offset future taxable income. We may recognize additional NOLs in the future. Section 382 of the Internal Revenue Code of 1986, as amended (the “Code”) imposes an annual limitation on the amount of taxable income that may be offset by a corporation’s NOLs if the corporation experiences an “ownership change” as defined in Section 382 of the Code. An ownership change occurs when our “five-percent shareholders” (as defined in Section 382 of the Code) collectively increase their ownership in OPT by more than 50 percentage points (by value) over a rolling three-year period. Additionally, various states have similar limitations on the use of state NOLs following an ownership change.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ownership change occurs, the amount of the taxable income for any post-change year that may be offset by a pre-change loss is subject to an annual limitation that is cumulative to the extent it is not all utilized in a year. This limitation is derived by multiplying the fair market value of our stock as of the ownership change by the applicable federal long-term tax-exempt rate. To the extent that a company has a net unrealized built-in gain at the time of an ownership change, which is realized or deemed recognized during the five-year period following the ownership change, there is an increase in the annual limitation for each of the first five-years that is cumulative to the extent it is not all utilized in a year. If an ownership change should occur in the future, our ability to use the NOLcarryforwards to offset future taxable income will be subject to an annual limitation and will depend on the amount of taxable income generated by us in future periods. There is no assurance that we will be able to fully utilize the NOL carryforwards and we may be required to record an additional valuation allowance related to the amount of the NOL that may not be realized, which could impact the results of our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we believe that these NOL carryforwards are a valuable asset for us. Consequently, we have a Section 382 Tax Benefits Preservation Plan in place, to protect our NOLs and NOL carryforwards during the effective period of the rights plan. Although the Tax Benefits Preservation Plan is intended to reduce the likelihood of an “ownership change” that could adversely affect us, there is no assurance that the restrictions on transferability in the rights plan will prevent all transfers that could result in such an “ownership change”. The Tax Benefits Preservation Plan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Tax Benefits Preservation Plan through the issuance of common stock or common stock equivalents to all shareholders other than the acquiring person. 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shareholders. Pursuant to the terms of the Tax Benefits Preservation Plan, the Board of Directors has authority to grant an exception to the 4.9% ownership threshold which could potentially limit the utilization of our NOL carryforwards.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Commercialization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only manufactured a limited number of PowerBuoys®, and to date, we have not produced these products in any significant quantity for commercial production. These products do not have a sufficient operating history to accurately predict how they will perform over their estimated useful life.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we have only manufactured a limited number of PowerBuoys®. As a result, our products may not have a sufficient operating history to confirm how they will perform over their estimated useful life. Our technology may not yet have demonstrated that our engineering and test results can be duplicated in volume or in commercial production. If our products are ultimately proven ineffective or unfeasible, we may not be able to expand the commercial production of our products or we may become liable to our customers for quantities we are obligated to produce but are unable to produce. If our products perform below expectations, we could lose customers and face substantial repair and replacement expenses which could in turn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possibility of a range of potential accident and safety risks and hazards, including hazards associated with extreme weather, wind and other environmental conditions, which are inherent in offshore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Portions of our operations are subject to hazards and risks inherent in the building, testing, deploying and maintenance of our products, particularly offshore operations. These hazards and risks could result in personal injuries or loss of life. The unintentional release of a PowerBuoy® product from its mooring, for example, due to extreme environmental conditions and related damage caused by its drifting could result in injury to persons, property damage (including to third-party vessels or infrastructure), environmental harm, and potential regulatory or legal liabilities, as well as reputational damage and increased insurance costs. Other damages may include damage to our properties, including our products, and the properties of others, or other consequential damages. Certain weather events could increase in frequency or severity requiring potential design changes or limiting the windows available for offshore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autonomous vessels could cause other types of damage, including collisions with other vessels, property of others, or even swimmers or other persons or property utilizing a body of water where the WAM-V® is operating. This could also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number of critical relationships with strategic partners, specifically our software development partners. Generally, these types of relationships obligate a party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 or sources of financing. If we are unable to reach agreements with additional suitable alliance partners, we may fail to meet our business objectives for the commercialization of our products.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can find, negotiate and enter these relationships, such arrangements may be conditional upon our receipt of additional funding. There can be no assurance that we will receive such additional funding. In addition, strategic relationships may not be successful, and we may be unable to sell and market our products to these companies, their affiliates and customers in the future, or growth opportunities may not materialize.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deployment and internal software development experience. If we are unable to increase our software development and manufacturing capacity in a cost-effective manner, our business may be materially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manufacture key components of our products, while outsourcing manufacturing for other components of our products. We have only manufactured our products in limited quantities for use in development and testing and have limited commercial manufacturing and deployment experience. Our future success depends on our ability to significantly increase both our manufacturing capacity and production, develop vendor alternatives and service throughput in a cost-effective and efficient manner, and to manage multiple vendors with several orders that have specific deadlines. In order to meet our growth objectives, we will need to increase our engineering, contract management, and manufacturing staff. There is intense competition for hiring qualified technical and engineering personnel. Therefore, we may not be able to hire a sufficient number of qualified personnel to allow us to meet our growth objectives.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unable to develop efficient, low-cost manufacturing capabilities and processes that enable us to meet the quality, price, engineering, design and production standards or production volumes necessary to successfully commercialize our products.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historically we have outsourced the majority of our software development activities. We may be unable to hire appropriate outsourced resources to enable us to meet the software development needs of our products and solutions. If we cannot do so, we may be unable to expand our business and become profitable or do so in time to meet the needs of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Problems with the quality or performance of our products would adversely affect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agreements with customers will generally include warranties with respect to the quality and performance of our products. Because of the limited operating history of our products, we have been required to make analytical assumptions regarding the durability, reliability and performance of the systems, and we may not be able to predict whether and to what extent we may be required to perform under the warranties that we expect to give our customers. Our assumptions could prove to be materially different from the actual performance of our products, causing us to incur substantial expense to repair or replace defective systems in the future. We could bear the risk of claims long after we have sold our products and recognized revenue. Moreover, any widespread product failures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continually improve existing services and products, design and sell new products and improve reliability in order to compete effectively.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markets for our services and products are characterized by rapid technological change, evolving industry standards and continuous improvements of products. Due to constant changes in our markets, our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 Our financial condition and results of operations may be materially and adversely affected if:</w:t>
      </w:r>
    </w:p>
    <w:p>
      <w:pPr>
        <w:spacing w:after="0" w:line="19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improvements are not completed on a timely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are not introduced on a timely basis or do not achieve sufficient market penetration;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experience reliability or quality problems, or otherwise do not meet customer preferences or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infringement, and we do not know what the cost to do so would be. Our pending and future patent applications may not be issued as patents or, if issued, may not be issued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processes and know-how, particularly with respect to our PowerBuoy® control and electricity generating systems and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Foreign laws may not afford us sufficient protections for our intellectual property, and we may not be able to obtain patent protection outside of the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Intellectual property rights protection continues to present significant challenges to U.S. companies operating around the world. The body of law is often relatively undeveloped compared to the commercial law in the U.S.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U.S. and abroad.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patent or trademark infringement claims, or in order to avoid potential claims, we may choose or be required to seek a license from a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may also limit when and how we can deploy our technology developed under those contracts. Foreign governments with which we contract to provide funding for our research and development may seek similar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all necessary regulatory permits and approvals, it is possible that we will not be able to implement our planned projects or business plan.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offshore deployment of our products is heavily regulated. Each of our deployments is subject to multiple permitting and approval requirements. We and our customers are dependent on state, federal and regional government agencies for such permits and approvals. Due to the unique nature of in-ocean power generation and the associated potential for environmental hazards stemming from deployment of our products, we expect our projects to receive a higher level of scrutiny by permitting agencies, approval authorities and the public, which could result in substantial delay in the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permitting process. New regulations surrounding the deployment of autonomous vessels could restrict or limit our ability to deploy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certain jurisdictions. Successful challenges by parties opposed to our deployments could result in increased costs, or in the denial of necessary permits and approvals.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our clients are unable to obtain necessary permits and approvals in connection with any or all our projects, those projects would not be implemented, and our business, financial condition and results of operations would be adversely affected. If we violate or fail to comply with these permits and approvals, we could be fined or otherwise sanctioned by regulators.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are unable to satisfy regulatory requirements relating to internal control over financial reporting, or if our internal controls are not effective, our business, reputation and financial results may suffer.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 of our business, including potential climate change regulation, could adversely impact us by increasing our production cost or restricting our ability to deliver products to our customers.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Climate change serves as a risk multiplier increasing both the frequency and severity of natural disasters that may affect our business operations. Moreover, there has been a broad range of proposed and promulgated state, national and international regulation aimed at reducing the effects of climate change. In the U.S., there is a significant possibility that some form of regulation will be enacted at the federal level to address the effects of climate change. Such regulation could take several forms that could result in additional costs in the form of taxes, consultant costs,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products we acquire from our suppliers are manufactured in foreign countries, making the price and availability of these products subject to international trade risks and other international conditions.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can purchase, could have a material adverse effect on our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manufacturing operations, particularly some of the activities undertaken by our third-party suppliers and manufacturers, involve the controlled use of hazardous materials. These include batteries, as well as various lubricants and oils. Accordingly, our third-party contractors and we are subject to foreign, federal, state and local laws governing the protection of the environment and human health and safety, including those relating to the use, handling and disposal of these materials. We cannot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Environmental laws and regulations are complex, change frequently and have tended to become more stringent over time. While we have planned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litigation is costly, and time consuming to defend and may distract our management from the daily operations of our business. We may be the subject of additional future litigation, which could have a material adverse effect on our business, financial condition, results of operations or cash flows. Although we maintain insurance coverage, we cannot assure you that this insurance coverage will be sufficient to cover the substantial fees of lawyers and other professional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prior judgements and settlements have caused our insurance premiums and retention amounts to increase, and we may be subject to additional increases in the future or be subjected to other changes in our insurance coverage.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the target of securities litigation, which is costly and time-consuming to defend.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companies that experienced significant volatility in the market price of their publicly 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14 “Commitments and Contingencies – Litigation with Paragon Technologies, Inc.” in the accompanying consolidated financial statements for the fiscal year ended April 30, 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issue additional shares of our equity securities in the future, our shareholders may experience substantial dilution in the value of their investment or their ownership interest.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currently authorizes us to issue up to 300,000,000 shares of our common stock and to issue and designate the rights of, without shareholder approval, up to 5,000,000 shares of preferred stock. In the future, if we were required to raise additional capital, we may offer additional shares of our common stock or other securities convertible into or exchangeable for our common stock at prices that may not be the same as the price per share paid by other investors, and dilution to our shareholders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shareholders.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restricted stock units outstanding. To the extent that outstanding stock options, warrants or restricted stock units have been or may be exercised or other shares issued, current shareholders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shareholders or result in downward pressure on the price of our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we issued $10 million in aggregate principal amount of convertible notes with a 24-month maturity to institutional investors. The convertible notes are convertible into shares of our common stock in accordance with the terms of the related Securities Purchase Agreement and Indenture. The conversion of these notes into equity may occur at times and underpricing mechanisms that could lead to a substantial number of shares being issued, potentially at prices below the prevailing market price.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shares upon conversion of the notes could dilute the ownership interests of existing stockholders, and the sales of such shares into the public market (or the perception that such sales may occur) could place significant downward pressure on the trading price of our common stock. If our share price declines, it may result in more shares being issued upon conversion of the notes, further diluting existing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volatile, and this is likely to continue; purchasers of our common stock could incur substantial losses as a result.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Also, the stock market, particularly microcap stocks, experiences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 the items identified within these Risk Factors and the other information included within this annual report. In addition, the interests of the convertible noteholders may not align with those of our common shareholders, particularly if the noteholders are primarily motivated to convert and sell shares quickly. This misalignment may result in pressure to make near-term decisions that are not accretive to long-term shareholder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delay or prevent attempts by our shareholders to change our management or our Board of Directors and hinder efforts to acquire a controlling interest in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our reincorporation in Delaware in April 2007, provisions of our certificate of incorporation and bylaws may discourage, delay or prevent a merger, acquisition or other change in control that shareholders may consider favorable, including transactions in which our shareholders might otherwise receive a premium for their shares. These provisions may also prevent or frustrate attempts by our shareholders to replace or remove our management. These provisions include:</w:t>
      </w:r>
    </w:p>
    <w:p>
      <w:pPr>
        <w:spacing w:after="0" w:line="180"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shareholder proposals and nominations;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shareholders to act by written consent or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shareholder approval, which could be used to institute a “poison pill” that would work to dilute the stock ownership of a potential hostile acquirer, effectively preventing acquisitions that have not been approved by our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2023, our Board of Directors adopted a Section 382 Tax Benefits Preservation Plan in an effort to diminish the risk that the Company’s ability to utilize its net operating loss carryovers to reduce potential future federal income tax obligations may become substantially limited. The Section 382 Tax Benefits Preservation Plan is also intended to act as a deterrent to any person or group acquiring beneficial ownership of 4.99% or more of the outstanding common stock without the approval of our Board of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shareholder, which is generally a person who together with its affiliates owns or within the last three years has owned 15% of our voting stock, for a period of three years after the date of the transaction in which the person became an interested shareholder, unless the business combination is approved in a prescribed manner. Accordingly, Section 203 may discourage, delay or prevent a change in control of our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Currently we do not have significant analyst coverage, however, the trading market for our common stock could be influenced by the research and reports that industry or securities analysts may publish about us, our business, or our industry from time to time. If no analyst covers us, or ultimately one or more of these analysts cease coverage or fail to publish reports on the Company regularly, we could lose visibility in the financial markets, which in turn could cause the price or trading volume of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on our common stock, and we do not anticipate paying any cash dividends in the foreseeable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Also, there can be no assurance that the Company will have the liquidity necessary to pay dividends in the future if we want to do so. As a result, prospective investors and shareholders should make or maintain an investment in our common stock solely on the basis that potential future capital appreciation, if any, of our common stock will be the only source of gain for our shareholders for the foreseeable future and there can be no assurance that any such future capital appreciation will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Cybersecurity risk is an important component of our overall enterprise risk management framework, given our reliance on digital systems for product development, operational control, communications, data management, and financial reporting. Our operations involve proprietary software and hardware systems integrated into offshore platforms, as well as sensitive information related to customer deployments, government contracts, and internal business processes.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employ a layered cybersecurity approach aligned with industry standards. Our strategy includes preventive and detective technical controls (e.g., endpoint protection, intrusion detection, access control, and network segmentation), employee training, vendor diligence, and third-party audits. We maintain a combination of on-premise and cloud-based infrastructure with multi-factor authentication and routine patch management.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work with managed cybersecurity service providers to support real-time threat monitoring and incident response capabilities. Penetration testing and vulnerability scanning are performed periodically, and findings are reviewed with senior leadership.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Cybersecurity risks are considered in connection with strategic planning, vendor selection, product development (particularly in embedded control systems), and compliance with regulatory obligations, including export control and data privacy laws.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not experienced any material cybersecurity incidents that have had a significant impact on our financial condition, results of operations, or reputation. However, we recognize that the threat landscape continues to evolve, and we remain vigilant in adapting our security posture to mitigate emerging risks.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oversight responsibility for cybersecurity risk as part of its broader enterprise risk oversight function. The Audit Committee receives periodic updates on cybersecurity threats, incidents, risk mitigation strategies, and program enhancements from senior management.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Incident Response Plan outlines steps to investigate, contain, report, and recover from cybersecurity events. We have established internal procedures to investigate, contain, report, and recover from cybersecurity incidents. These procedures are designed to enable a prompt and coordinated response to potential threats. In the event of an incident determined to be material under SEC guidelines, we are prepared to make timely disclosures through current reports (Form 8-K) as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years ended April 30, 2025 and 2024, we did not identify any cybersecurity incidents that had a material impact on our operations, liquidity, or financial condition. We did observe routine scanning, phishing attempts, and minor technical vulnerabilities, all of which were mitigated without operational disruption or data loss.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no material incidents have occurred, we cannot guarantee that future incidents will not materially affect our company, especially as we expand digital product features, enter new geographic markets, and integrate with third-party systems.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 information about cybersecurity risks we face is discussed in Item 1A of Part I, “Risk Factors,” under the headings “Failure of our information systems or those of third parties or breaches of data security could cause significant harm to our business” and “Cybersecurity breaches of our systems and information technology could adversely impact our ability to operate or meet contractual obligations,” which should be read in conjunction with the information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headquarters are currently located in Monroe Township, New Jersey, where we occupy approximately 56,000 square feet under a lease expiring on April 30, 2026. We use this facility for administration, research and development, as well as manufacturing, assembly and testing of our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have a property located in Richmond, California where we occupy approximately 11,500 square feet under a lease expiring on June 18, 2028. We have an additional property also located in Richmond, California where we occupy approximately 2,300 square feet under a lease which began on May 12, 2025 and expiring on May 31, 2027. We believe that our facilities are sufficient for our current needs and are in good condition in all material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Paragon Technologies, Inc.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10, 2023, Paragon Technologies, Inc. filed a complaint in the Court of Chancery of the State of 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fees and costs at that stage, which was material to fiscal year 2024.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On February 28, 2024, the Company successfully finalized its 2023 annual meeting of stockholders in spite of Paragon’s repeated attempts to contest the meeting. In an August 12, 2024 Press Release and its Form 10-Q report for the second quarter of 2024, Paragon announced that it was no longer pursuing litigation against the Company. Pursuant to a Court order dated January 9, 2025, Paragon was required “to file a status report within 30 days. Otherwise, the case will be dismissed under Rule 41(e).” Because Paragon did not file a status report by February 10, 2025, the Company anticipates that the Court will dismiss the case, with prejudice, due to Paragon’s failure to prosecute.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220 Demand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Company received a shareholder demand under Section 220 of the General Corporation Law of the State of Delaware for inspection of certain books and records relating to prior equity grants made to officers and directors under the 2015 Plan in January 2023, February 2024 and January 2025. The Company is reviewing and considering the demand and engaging with counsel for the shareholder. The Company has not recorded any liability for these matters as of April 30, 2025 as it cannot estimate the ultimate outcome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was listed on the Nasdaq Capital Market, under the symbol “OPTT” until June 2021 when the listing was transferred to the NYSE American under the same symbol. As of July 22, 2025, there were 135 holders of record for shares of our common stock. Since a portion of our common stock is held in “street” or nominee name, we are unable to determine the exact number of beneficial 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adopted a Section 382 Tax Benefits Preservation Plan on June 30, 2023 to diminish the risk we could experience an “ownership change” as defined in Section 382 of the Internal Revenue Code of 1986, as amended, which could substantially limit or permanently eliminate our ability to utilize its net operating loss carryovers to reduce potential future income tax obligations. Under this plan, a person who acquires, without the approval of our Board of Directors, beneficial ownership of 4.99% or more of the outstanding common stock could be subject to significant dilution. See Note 13 to the consolidated financial statements included herein for more.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anticipate declaring or paying cash dividends on our common stock in the foreseeable future. At this time, we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transfer agent is Computershare Trust Company, N.A. Computershare is located at 250 Royall Street, Canton, MA 02021-1011. Its contact information is: U.S. and Canada: (800) 662 - 7232, International (781) 575–4238, and its website is located at www.computershare.com.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purchases of equity securities by the Company for the year ended April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indicated information as of April 30, 2025, with respect to our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 to be</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20" w:type="dxa"/>
            <w:vAlign w:val="bottom"/>
          </w:tcPr>
          <w:p>
            <w:pPr>
              <w:spacing w:after="0"/>
              <w:rPr>
                <w:sz w:val="18"/>
                <w:szCs w:val="18"/>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(Excluding Shares</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2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Reflected in First</w:t>
            </w:r>
          </w:p>
        </w:tc>
      </w:tr>
      <w:tr>
        <w:trPr>
          <w:trHeight w:val="238"/>
        </w:trPr>
        <w:tc>
          <w:tcPr>
            <w:tcW w:w="46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Restricted Stock</w:t>
            </w:r>
          </w:p>
        </w:tc>
        <w:tc>
          <w:tcPr>
            <w:tcW w:w="120" w:type="dxa"/>
            <w:vAlign w:val="bottom"/>
          </w:tcPr>
          <w:p>
            <w:pPr>
              <w:spacing w:after="0"/>
              <w:rPr>
                <w:sz w:val="20"/>
                <w:szCs w:val="20"/>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Column)</w:t>
            </w:r>
          </w:p>
        </w:tc>
      </w:tr>
      <w:tr>
        <w:trPr>
          <w:trHeight w:val="210"/>
        </w:trPr>
        <w:tc>
          <w:tcPr>
            <w:tcW w:w="4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483,342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22,461,633</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161,487(2)</w:t>
            </w:r>
          </w:p>
        </w:tc>
      </w:tr>
    </w:tbl>
    <w:p>
      <w:pPr>
        <w:spacing w:after="0" w:line="198"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2015 Omnibus Incentive Plan.</w:t>
      </w:r>
    </w:p>
    <w:p>
      <w:pPr>
        <w:spacing w:after="0" w:line="225" w:lineRule="exact"/>
        <w:rPr>
          <w:rFonts w:ascii="Times New Roman" w:cs="Times New Roman" w:eastAsia="Times New Roman" w:hAnsi="Times New Roman"/>
          <w:sz w:val="18"/>
          <w:szCs w:val="18"/>
          <w:color w:val="auto"/>
        </w:rPr>
      </w:pPr>
    </w:p>
    <w:p>
      <w:pPr>
        <w:ind w:left="5540" w:right="2060" w:hanging="5532"/>
        <w:spacing w:after="0" w:line="532"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2018 Employee Inducement Incentive Award Plan.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compensation plans consist of a 2006 Stock Incentive Plan and a 2015 Omnibus Incentive Plan which were approved by our shareholders. Once the 2015 Omnibus Incentive Plan was approved by the shareholders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equity compensation plan that has not been approved by our shareholders is our 2018 Employee Inducement Incentive Award Plan,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w:t>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2024 are to the fiscal year ended April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commercial interests. The common thread across these markets is the growing need for persistent, autonomous, and sustainable offshore presence, a need we are uniquely positioned to fulfill.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 is committed to enabling a smarter, safer ocean economy through innovation in ocean intelligence and power. As we look forward, our strategic priorities include expanding our customer base and geographic footprint, accelerating technology adoption, enhancing recurring revenue, and driving margin growth through platform scalability and supply chain efficiencies.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Regarding Macroeconomic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year 2025, our macroeconomic business environment was affected by geopolitical instability, persistent inflationary pressures, global supply chain constraints, tightening monetary policy, and recent shifts in international trade and tariff regimes. While our long-term demand outlook remains strong, these conditions could present operational and financial challenges, particularly in procurement, logistics, and cost control.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federal election cycle in late 2024, followed by an extended period of political and administrative transition through late January 2025, resulted in a temporary standstill across multiple federal agencies, procurement offices, and budgeting authorities. This standstill delayed the finalization of fiscal year 2025 appropriations and temporarily paused decision-making within key federal entities, including those critical to our government-facing business lines such as the DoD, Department of Homeland Security (DHS), Department of Energy (DOE), and intelligence community customers.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we experienced delays in program funding visibility, new contract solicitations, and procurement-related communications from certain U.S. government customers during this transitional period. Although normal operations have largely resumed since late January 2025, the delayed award cycle may shift the timing of revenue recognition, contract execution, and cash collections associated with targeted government opportunities. While we remain confident in the long-term demand for our autonomous platforms and maritime intelligence solutions, the early portion of calendar year 2025 reflected an uncertain operating environment marked by deferred awards and extended federal acquisition timelines.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monitor federal budget developments, appropriations activity, and agency guidance to assess downstream effects on pipeline conversion and resource allocation. We believe our active positioning in mission-critical domains, including persistent maritime surveillance, energy resilience, and multi-domain autonomy, will allow us to capitalize on pent-up demand as deferred contract opportunities move forward in the second half of calendar year 2025. However, additional political disruptions or appropriations delays could further affect our operating results and cash flow.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Inflationary pressures may impact the cost of key inputs used in products. Although pricing volatility began to moderate in the latter half of fiscal 2025, we may experience elevated vendor pricing compared to pre-pandemic levels. To partially offset these pressures, we have implemented cost optimization measures, adjusted pricing on new contracts, and re-evaluated supplier agreements.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the U.S. government expanded tariffs under Section 301 of the Trade Act of 1974 on a variety of Chinese-origin components. OPT sources most of its products from U.S. based companies and sources very little from China, however, these changes could result in higher costs for certain imported materials used in our manufacturing process. In the near term, we expect these tariff changes to have a modest but measurable impact on the cost of goods sold.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Global monetary tightening, led by the Federal Reserve and other central banks, contributed to higher interest rates and constrained liquidity conditions across the capital markets. These conditions have increased the cost of capital for emerging growth companies like OPT and may impact customer funding timelines, particularly in our commercial segments.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Despite these headwinds, our diversified contract base including U.S. federal government agencies, strategic defense contractors, and energy developers—continues to support revenue visibility. We remain focused on cost discipline, capital efficiency, and maintaining operational flexibility as macroeconomic uncertainty persists into fiscal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Looking ahead, we are monitoring global trade developments, interest rate policy, and energy infrastructure spending trends closely, and will adjust our operating and capital planning assumptions accordingly. Our proactive supply chain and pricing strategies are designed to support margin preservation and competitive positioning in a shifting economic landscape.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year 2025 and subsequently, we undertook two significant capital raising activities to support our strategic initiatives and operational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21, 2024, the Company entered into an At-the-Market Offering Agreement with an aggregate offering price of up to $7.0 million (the “2023 ATM Facility”). On August 30, 2024 the aggregate offering price under the 2023 ATM Facility was increased to approximately $16.0 million. It was then reduced to approximately $2.9 million in September 2024 and increased again to approximately $60.0 million in December 2024. As of April 30, 2025, the Company had received proceeds of approximately $17.7 million under this facility and an additional $0.3 million between April 30, 2025 and June 16,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Fall 2024 Equity Financing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fall of 2024, we completed an equity financing round, issuing shares of our common stock to raise approximately $3.0 million in gross proceeds. This capital infusion was instrumental in funding our ongoing product development, expanding our sales and marketing efforts, and enhancing our working capital position. The equity raises also provided us with the financial flexibility to pursue new market opportunities and strategic partnerships.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2024 Convertible Debt Issuance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20, 2024, the Company entered into a securities purchase agreement (the “Securities Purchase Agreement”) with an institutional investor (the “Investor”) under which the Company agreed to issue and sell, in one or more registered public offerings by the Company directly to the Investor (the “Offering”), senior convertible notes for up to an aggregate principal amount of $54.0 million (the “Notes”) that will be convertible into shares of the Company’s common stock. On December 20, 2024 (the “Initial Closing Date”), the Company issued and sold to the Investor a Note in the original principal amount of $4.0 million (the “Initial Note”). Upon our filing of one or more additional prospectus supplements, and our satisfaction of certain other conditions, the Securities Purchase Agreement contemplates additional closings of up to $50 million in aggregate principal amount of additional Notes, upon mutual agreement of the Company and the Investor. The Securities Purchase Agreement contains customary representations, warranties and covenants. It also grants the Investor the right to participate in certain future equity and equity-linked transactions of the Company from the Initial Closing Date through the 3-year anniversary thereof, as well as certain anti-dilution rights applicable to the Notes. No Note may be converted to the extent that such conversion would cause the then holder of such Note to become the beneficial owner of more than 4.99%, or, at the option of such holder, 9.99% of the then outstanding common stock, after giving effect to such conversion (the “Beneficial Ownership Cap”).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2025 Convertible Debt Issuance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 from the December 2024 transaction noted above, in May 2025 we issued $10 million in aggregate principal amount of convertible notes with a 24-month maturity to new institutional investors with net proceeds of $9.7 million. The notes are convertible into shares of our common stock under specific terms outlined in the Securities Purchase Agreement and Indenture. This financing was aimed at bolstering our balance sheet, supporting the commercialization of our systems, and advancing our autonomous maritime solutions. The convertible debt structure offers the potential for conversion into equity, which may result in dilution to existing shareholders upon conversion.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capital raises have strengthened our financial position, enabling us to invest in key growth areas. We remain committed to prudent financial management and will continue to assess our capital needs in alignment with our strategic objectives.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incremental product development and marketing efforts, which could materially and adversely affect our financial condition and operating results. If we are unable to secure additional financing, we may be forced to cease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and 2024, the Company’s backlog was $12.5 million and $4.9 million, respectively. The backlog represents the value of unfulfilled, purchase orders and agreements with commercial and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Backlog figures do not necessarily reflect future revenue, as orders may be adjusted, delayed, or canceled, and our recognition of associated revenue is subject to the terms of the underlying agreements. The size of our backlog may also fluctuate materially based on the timing of new awards, contract renewals, or the conclusion of long-term engagements. Consequently, while we view backlog as a useful performance indicator, it should not be relied upon as a predictor of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policy requires significant judgment and estimates by us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April 30, 2025 or 2024. The Company presents shipping and handling costs, that occur after control of the promised goods or services transfer to the customer, as fulfilment costs in costs of revenues and regular shipping and handling activities charged to operating expenses.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fiscal year ended April 30, 2025 the Company recognized approximately $4.9 million in revenue related to performance obligations satisfied at a point in time and approximately $1.0 million in revenue related to performance obligations satisfied over time as compared to $3.6 million in revenue related to performance obligations satisfied at a point in time and $1.9 million in revenue related to performance obligations satisfied over time revenue for the fiscal year ended April 30, 2024.</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the fiscal years ended April 30, 2025 and 2024, the majority of the Company’s contracts were classified as firm fixed-price and the balance were cost-sharing.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both of which are presented in Revenues in the Consolidated Statement of Operations. The Company also enters into operating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PowerBuoy® or WAM-V® at some point during and/or at the end of the lease term.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years ended April 30, 2025 and 2024, the Company had three and four customers, respectively, whose revenue accounted for at least 10% of the Company’s consolidated revenue. These customers accounted for approximately 53% and 52% of the Company’s total revenue for the respective periods.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focus our sales efforts in key global markets in North America, South America, Europe and Asia. In fiscal 2025, we made significant progress in diversifying our customer and geographic base. Our strategic efforts to expand into defense, energy, and environmental monitoring markets in Europe, the Middle East, and Africa (EMEA) resulted in a substantial increase in EMEA-sourced revenue. This geographic expansion reflects the increasing global relevance of our autonomous maritime systems, particularly among government and industrial customers. It also demonstrates the early success of our international channel development initiatives, which we intend to further scale in fiscal 2026 through targeted partnerships, regional deployments, and export-driven offerings.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percentage of our revenue by geographical location of our customers for fiscal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r>
      <w:tr>
        <w:trPr>
          <w:trHeight w:val="223"/>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22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&amp; South America</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 consists primarily of subcontracts, incurred material, labor and manufacturing overhead expenses, such as engineering expense,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enhancement costs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OPT remains committed to expanding its international footprint and serving customers globally, the Company has also taken steps to streamline its legal and operational structure to improve efficiency and reduce administrative overhead. As part of this initiative, the Company completed the wind-down of its Australian subsidiary during fiscal 2024 and began the wind-down of its UK subsidiary during the same period. The wind-down of the UK entity was completed during fiscal 2025. These decisions were not reflective of a diminished international focus, but rather represent a strategic reallocation of resources toward regions and engagement models better aligned with current customer demand, strategic partnerships, and long-term growth potential. OPT’s international business development continues through:</w:t>
      </w:r>
    </w:p>
    <w:p>
      <w:pPr>
        <w:spacing w:after="0" w:line="18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contracting from the United States with allied government and commercial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strategic partners, resellers, and OEM collaborators;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deployment teams and project-specific operational hubs.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simplification of OPT’s legal entity structure reduces fixed costs and compliance complexity, enabling a more agile and scalable approach to international market entry and project execution. The unrealized gains or losses resulting from foreign currency translation associated with these entities are included in Accumulated Other Comprehensive Loss within Shareholders’ Equity. Foreign currency transaction gains and losses are recognized within the Company’s Consolidated Statements of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Outlook”.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April 30, 2025 and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Consolidated Statements of Operations information, which serves as the basis of the discussion of our results of operations for the fiscal years ended April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5,861</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5,525</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2,699</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23,346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32,229</w:t>
            </w:r>
          </w:p>
        </w:tc>
      </w:tr>
      <w:tr>
        <w:trPr>
          <w:trHeight w:val="209"/>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0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(expense)/income</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(loss)/gain</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w:t>
            </w:r>
          </w:p>
        </w:tc>
      </w:tr>
      <w:tr>
        <w:trPr>
          <w:trHeight w:val="22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for the fiscal years ended April 30, 2025 and 2024 were approximately $5.9 million and $5.5 million, respectively, representing an increase of approximately $0.4 million. The year-over-year increase primarily reflects higher levels of revenue stemming from the sales and leases of WAM-Vs.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fiscal years ended April 30, 2025 and 2024 were approximately $4.2 million and $2.7 million, respectively, representing an increase of approximately $1.5 million. The year-over-year increase is related to an increase in revenue and a change in product mix, and some current year product offerings at lower margin as a means to gain market share.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fiscal year ended April 30, 2025, and 2024 was zero and a gain of $0.1 million, respectively. The prior year amount was due to changes in actual and forecasted bookings relating to the WAM-V offerings.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expenses include both product development costs (substantially completed during fiscal year 2024) as well as administrative costs, including the costs of products, materials and outside services used in our product development and unfunded research activities. Also included are professional fees, salaries and other personnel-related costs for employees and consultants engaged in sales and marketing and costs for executive, accounting and administrative personnel, and other general corporate expenses. Operating expenses during the fiscal year ended April 30, 2025 were $23.3 million as compared to $32.2 million for fiscal year 2024. The decrease of approximately $8.9 million was primarily the result of the significant cost reduction activities we implemented at the end of fiscal 2024 including headcount optimization, material reductions in third party spend, and efforts to tightly control and contain costs.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cash, cash equivalents, and restricted cash was $6.9 million as of April 30, 2025, compared to $3.3 million as of April 30, 2024. Interest income, net was approximately $47,000 and $800,000 for fiscal 2025 and 2024, respectively, and reflects no short-term investments during fiscal 2025 and the decreased balance of our short-term investments throughout fiscal 2024. Short-term investments balance was higher throughout fiscal 2024 and yielded higher interest rates than cash held in bank accounts during fiscal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i w:val="1"/>
          <w:iCs w:val="1"/>
          <w:color w:val="auto"/>
        </w:rPr>
        <w:t>Other (expense)/income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(expense)/income for the fiscal year ended April 30, 2025 and 2024 was (23,000) and $2,000, respectively.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loss on extinguishment of debt of $0.8 million as of April 30, 2025 relates to convertible notes that were issued in December 2024 and were converted to common stock in December 2024 loss on disposition of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loss on disposition of assets of $0.2 million as of April 30, 2024 relates to the disposal of intangible and fixed assets related to the disposition of 3Dent Technology, LLC in November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gain/(loss)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Foreign exchange loss was $45,000 for fiscal year 2025 as compared to a foreign exchange gain of approximately $2,000 for fiscal year 2024. The difference was attributable to the relative change in value of the British pound sterling dollar compared to the U.S. dollar.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reflects the sale by the Company of New Jersey State net operating losses and research development credits under the New Jersey Economic Development Authority Tax Transfer programs, resulting in $1.0 million and $1.3 million of tax benefit related to the fiscal year ended April 30,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30, 2025, net cash flows used in operating activities was $18.6 million, a decrease of $11.1 million compared to net cash used in operating activities during the fiscal year ended April 30, 2024. This primarily reflects a decrease in the net loss of $5.4 million and increases in the current year on non-cash expenses, such as depreciation and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in/provided in 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approximately $0.5 million for fiscal year 2025 versus net cash provided by investing activities of approximately $25.5 million for fiscal year 2024. During fiscal 2025, the Company purchased $0.5 million in property and equipment, down from $2.6 million during fiscal 2024. The remainder of the difference relates to purchases and redemptions of short-term investments during fiscal 2024, which fully matured in fiscal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by/used by 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fiscal year ended April 30, 2025 was approximately $22.7 million compared to net cash used in financing activities during the fiscal year ended April 30, 2024 of $0.5 million. The increase in net cash provided by financing activities during the fiscal year ended April 30, 2025 was driven by the issuance of common stock under the Company’s At the Market Facility and proceeds from the issuance of stock and convertible debt, discussed under “Capital Raises”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exchange rates on cash and cash equivalents was not material during fiscal 2025 or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our operating cash flows have not been sufficient to fund our operations and provide the capital resources for our business. For the two-year period ended April 30, 2025 our aggregate revenue was $11.4 million, our aggregate net losses were $49.6 million and our aggregate net cash used in operating activities was $48.4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enhancement efforts for our products and to expand our sales, marketing and manufacturing programs associated with the continued commercialization of our products. Our future capital requirements will depend on several factors, including but not limited to:</w:t>
      </w:r>
    </w:p>
    <w:p>
      <w:pPr>
        <w:spacing w:after="0" w:line="176"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340" w:right="6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and other obligations under our convertible notes;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as a going concern;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short-term and possibly longer;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statutes and regulations;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tariffs, Russia’s invasion of Ukraine, the Israel/Palestine conflict and previous attacks on merchant ships in the Red Sea;</w:t>
      </w: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new foreign country tariffs may have on our ability (i) to source and procure necessary raw materials for the manufacture and provision of our products and services; and (ii) to deliver our products to such foreign countries;</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capital intensive, and through April 30, 2025, we have been funding our business principally through sales of our securities. As of April 30, 2025, our cash and cash equivalents and long-term restricted cash balance was $6.9 million and we expect to fund our business with this amount, future financings such as the May 2025 convertible debt issuance and, to a lesser extent, with our cash flow generated from operations. Management believes the Company’s current cash and cash equivalents, inclusive of the May 2025 convertible debt, and long-term restricted cash, and future financing will be sufficient to fund its planned expenditures through July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standards, if currently adopted, will have a material effect on the Company’s consolidated financial position, results of operations, or cash flows.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Company adopted this standard beginning in fiscal 2025 and all required segment related disclosures are presented within this Form 10-K and will be in subsequent interim reports on Form 10-Q. Refer to Note 15 for further discussion.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listed in Item 15 - “Exhibits and Financial Statement Schedules” of this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CEO and CFO, of the effectiveness of the design and operation of our disclosure controls based upon the framework presented in “Internal Control-Integrated Framework” (2013) issued by the Committee of Sponsoring Organizations of the Treadway Commission (“COSO”). Based upon that evaluation, our CEO and CFO concluded that our disclosure controls and procedures were effective as of April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and 15d-15(f). Our internal control over financial reporting is a process designed to provide reasonable assurance regarding the reliability of financial reporting and the preparation of our financial statements for external purposes in accordance with U.S.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our internal control over financial reporting was effective as of April 30, 2025.</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 for smaller reporting companies that permit us to provide only management’s report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April 30, 2024, management identified material weaknesses in internal control over financial reporting related to control activities around stock-based compensation and risk assessment and design of controls related to inventory account balances and related disclosures. During fiscal year 2025, management implemented a series of remediation measures designed to address the identified material weakness. These measures included:</w:t>
      </w:r>
    </w:p>
    <w:p>
      <w:pPr>
        <w:spacing w:after="0" w:line="180" w:lineRule="exact"/>
        <w:rPr>
          <w:sz w:val="20"/>
          <w:szCs w:val="20"/>
          <w:color w:val="auto"/>
        </w:rPr>
      </w:pPr>
    </w:p>
    <w:p>
      <w:pPr>
        <w:jc w:val="both"/>
        <w:ind w:left="9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trained our employees to reinforce the importance of a strong control environment and communicated expectations to emphasize responsibilities and the technical requirements for controls, and to set the appropriate expectations on internal controls. Furthermore, we enhanced policies and procedures over control documentation, specifically the completeness and accuracy of stock based compensation information.</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a business process control remediation plan, which included frequent communications between our Audit Committee and senior management regarding the progression of remediation of our financial reporting and internal control environment.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the frequency and quality of internal monitoring and review processes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IT General Controls and invested in people and technology to address gaps in IT Systems Security controls. In addition, there is now a formal process for System and Organization Controls (“SOC”) Report reviews and templates that are being performed by management.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third-party consultants to assist with process mapping and internal control design, as well as assess the effectiveness of the remediated controls.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30, 2025, management has completed testing of the newly implemented and enhanced controls and has concluded that the material weakness has been fully remediated.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remediation measures described above, there were no changes in our internal control over financial reporting during fiscal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is currently composed of five highly qualified and experienced directors, four of whom are independent. All of the directors bring to our Board of Directors executive leadership experience from their service as executives and/or directors of our Company and/or other entities. Collectively, our directors possess a broad and diverse set of skills and experiences, including in the energy, maritime, marine data acquisition and government sectors as well as the areas of engineering design, manufacturing, operations, government contracting and procurement, information technology, cybersecurity, environment and sustainability, finance, governance, mergers and acquisitions, capital markets, capital allocation, capital structure, risk management, and strategic planning.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with the Company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 as Director From</w:t>
            </w: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Chairman of the Board and Independent Director</w:t>
            </w:r>
          </w:p>
        </w:tc>
        <w:tc>
          <w:tcPr>
            <w:tcW w:w="2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2012</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40" w:type="dxa"/>
            <w:vAlign w:val="bottom"/>
          </w:tcPr>
          <w:p>
            <w:pPr>
              <w:spacing w:after="0"/>
              <w:rPr>
                <w:sz w:val="20"/>
                <w:szCs w:val="20"/>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432"/>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Terence J. Cryan </w:t>
      </w:r>
      <w:r>
        <w:rPr>
          <w:rFonts w:ascii="Times New Roman" w:cs="Times New Roman" w:eastAsia="Times New Roman" w:hAnsi="Times New Roman"/>
          <w:sz w:val="18"/>
          <w:szCs w:val="18"/>
          <w:color w:val="auto"/>
        </w:rPr>
        <w:t>has been a member of our Board of Directors since October 2012 and Chairman of the Board since June 2014. Mr. Cryan was our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 from October 2013 to June 2014 when he became Chairman of the Board. Mr. Cryan currently serves as a Managing Director of MACCO Restructuring Group, LLC, which provides qualified interim leadership and advice to stakeholders across a broad spectrum of business sectors. Since August 2017, Mr. Cryan has served as the Chairman of the Board of Westwater Resources, Inc. , where he currently serves as Executive Chairman. Mr. Cryan has served on the boards of directors of a number of other publicly traded companies including Uranium Resources, Inc. from 2006 to 2016; Global Power Equipment Group Inc. from 2008 to 2017; Superior Drilling Products from May 2014 to 2016; Gryphon Gold Corporation from 2009 to 2012; and The Providence Service Corporation from 2009 to 2011. Mr. Cryan served as President and CEO of Global Power Equipment Group Inc., from March 2015 until July 2017. From September 2012 until April 2013, Mr. Cryan served as interim President and CEO of Uranium Resources, Inc., and was elected as Chairman of the Board of Directors of Uranium Resources, Inc. in June 2014 and served until March 2016. Mr. Cryan is also a former investment banker with extensive experience advising public companies across a broad array of industries on mergers and acquisitions and capital markets transactions. Mr. Cryan earned his Bachelor of Arts degree from Tufts University and a Master of Science degree in Economics from The London School of Economics. In addition, Terence Cryan was named a Board Leadership Fellow by the National Association of Corporate Directors. We believe Mr. Cryan’s qualifications to sit on our Board of Directors include his significant experience in financial matters, his prior board and executive management experience at other companies, his broad energy technology industry background and his extensive expertise in financings, capital markets, and mergers and acquisitions.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Philipp Stratmann </w:t>
      </w:r>
      <w:r>
        <w:rPr>
          <w:rFonts w:ascii="Times New Roman" w:cs="Times New Roman" w:eastAsia="Times New Roman" w:hAnsi="Times New Roman"/>
          <w:sz w:val="18"/>
          <w:szCs w:val="18"/>
          <w:color w:val="auto"/>
        </w:rPr>
        <w:t>has served as our President, Chief Executive Officer, and a member of our Board of Directors since June 2021. Prior to this,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Stratmann served as Vice President – Global Business Development of the Company since 2019. Prior to that, he was Vice President, Biofuels for Velocys, which he joined in 2015 as Business Development Director. He previously served as General Manager Global Development and West Africa for InterMoor and has held leadership positions with Acteon Group and Ernst &amp; Young, in addition to experience with VT Group and Shell. He is a graduate of the United Kingdom’s University of Southampton, where he received his Engineering Doctorate and his Master of Engineering degree in Ship Science. He also served in the German Navy in 2001 and 2002, in roles including as an instructor in naval engineering. We believe Mr. Stratmann’s significant leadership experience in the energy and maritime industries qualifies him to serve on our Board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Clyde W. Hewlett </w:t>
      </w:r>
      <w:r>
        <w:rPr>
          <w:rFonts w:ascii="Times New Roman" w:cs="Times New Roman" w:eastAsia="Times New Roman" w:hAnsi="Times New Roman"/>
          <w:sz w:val="18"/>
          <w:szCs w:val="18"/>
          <w:color w:val="auto"/>
        </w:rPr>
        <w:t>has served on the Board of Directors since December 2020. Mr. Hewlett has over 40 years of experience in offshore engineering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operations. Mr. Hewlett has served on the Board of Directors of Seismic City, Inc. since April 2000. From 2015 until 2019, Mr. Hewlett served as Chief Operating Officer (COO) of Oceaneering International, Inc., a global provider of engineered services and products to the offshore energy industry as well as the defense, entertainment, and aerospace industries. Prior to his service as COO, Mr. Hewlett was the Senior Vice President for Projects (from 2007 to 2015) and a Vice President and Project Manager (1988 to 2007) with Oceaneering International, Inc. Prior to joining Oceaneering, Mr. Hewlett worked as in various project engineering and project management roles with Vetco Gray, Inc. (from 1987 to 1988), with Hughes Offshore (from 1985 to 1987), with CanOcean Resources, Ltd. (from 1979 to 1984) and with Esso Canada (from 1978 to 1979). Mr. Hewlett obtained his Bachelor of Engineering in Mechanical Engineering from Memorial University of Newfoundland, Canada in 1978. We believe that Mr. Hewlett’s significant engineering, manufacturing and operational experience in the offshore environment qualifies him to serve on our Board of Directors.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Diana G. Purcel </w:t>
      </w:r>
      <w:r>
        <w:rPr>
          <w:rFonts w:ascii="Times New Roman" w:cs="Times New Roman" w:eastAsia="Times New Roman" w:hAnsi="Times New Roman"/>
          <w:sz w:val="18"/>
          <w:szCs w:val="18"/>
          <w:color w:val="auto"/>
        </w:rPr>
        <w:t>has served on the Board of Directors since December 2020. As a respected voice on corporate governance and strategy, Ms. Purcel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as a Director to Watch by Directors &amp; Boards magazine and is NACD Director Certified®. Ms. Purcel has approximately 20 years of experience as a chief financial officer, including 17 years with small cap publicly traded companies. Since April 2022, Ms. Purcel has served on the board of directors of PetMed Express, Inc. (NASDAQ: PETS) on their Audit Committee, and Compensation Committee. Ms. Purcel also served on the Governance and Nominating Committee from April 2022 to July 2024, and has served as the Audit Committee Chair since July 2022. From December 2017 to December 2023, she served on the Board of Directors, and as a member of the executive committee and chair of the finance committee, for the Animal Humane Society. From March 2019 to June 2021 (when the company was sold), Ms. Purcel served on the Board of Directors for Now Boarding. From 2005 to 2008, Ms. Purcel served on the Board of Directors for Multicultural Foodservice and Hospitality Alliance, as the chair of its audit committee. From April 2018 until May 2019, Ms. Purcel served as executive vice president and Chief Financial Officer for EvineLive, Inc. (NASDAQ: EVLV), subsequently known as iMedia Brands, Inc. (NASDAQ: IMBI), an interactive video and digital commerce company. From September 2014 until June 2017, Ms. Purcel served as the Chief Financial Officer for Cooper’s Hawk Winery &amp; Restaurants, LLC, which operated restaurants, manufactured private-label wines, and managed the largest wine club in the world. From 2003 until 2014, Ms. Purcel served as Chief Financial Officer and Corporate Secretary for Famous Dave’s of America, Inc. (at the time, NASDAQ: DAVE), which franchised and operated a casual dining restaurant chain of almost 200 locations in over 35 states. From September 2002 to June 2003, Ms. Purcel served as Chief Financial Officer, and from April 1999 to September 2002, as Vice President, Controller and Chief Accounting Officer of Paper Warehouse, Inc. (OTC:PWHS), a party-goods retailer and franchisor in 10 states. Ms. Purcel also worked with Arthur Andersen &amp; Co, from 1988 to 1993 as a certified public accountant and senior auditor, and with other companies including Target Corporation (from 1994 to 1998 as a senior analyst). Ms. Purcel holds a Master’s in Business Administration from the University of St. Thomas, a Bachelor of Science in Management, with a concentration in Accounting, from Tulane University, and is a certified public accountant (inactive). Ms. Purcel brings significant financial experience and expertise, and is considered to be an “audit committee financial expert” within the meaning of Item 407(d) (5) of Regulation S-K. We believe that Ms. Purcel’s significant financial, strategy, and governance experience as a Chief Financial Officer in numerous public and private entities over a 20-year period qualifies her to serve on our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E. Slaiby </w:t>
      </w:r>
      <w:r>
        <w:rPr>
          <w:rFonts w:ascii="Times New Roman" w:cs="Times New Roman" w:eastAsia="Times New Roman" w:hAnsi="Times New Roman"/>
          <w:sz w:val="18"/>
          <w:szCs w:val="18"/>
          <w:color w:val="auto"/>
        </w:rPr>
        <w:t>has served on the Board of Directors since December 2020. Mr. Slaiby has over 40 years of experience in the oil and gas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over 37 years working with Shell. Mr. Slaiby served on the Board of Directors for Glacier Oil and Gas and The Harris School in Houston, Texas (since 2017). Previously Mr. Slaiby served on the Board of Directors for the Alaska Oil &amp; Gas Association (from 2009 to 2014) including as its Chairman (in 2014) and served on the Chancellors Advisory Board for University of Alaska – Anchorage (from 2010 to 2013). Slaiby is serving as the Managing Director for Quartz Upstream (since 2017) and is serving as Managing Partner for Floris Energy (since April 2020). From 2019 to 2020, Mr. Slaiby was a co-founder for Novara Energy. From 1980 to 2017, Mr. Slaiby worked with Shell in various roles: as Vice President, Decommissioning and Restoration, as Vice President, Shell Alaska, and as Asset Manager – Brunei and UK Shell Petroleum. Mr. Slaiby also worked with Pecten (a Shell subsidiary) as Technical Manager – Cameroon, as Project and Technical Manager – Brazil, and as Project Manager – Syria. Mr. Slaiby began his professional career in 1980 working for Shell Oil Company in various production roles in the Gulf of Mexico. Mr. Slaiby obtained his Bachelor of Engineering in Mechanical Engineering from Vanderbilt University in 1980. We believe that Mr. Slaiby’s significant experience in the oil and gas industry in many different roles qualifies him to serve on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two executive officers who are not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 with the Company</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Powers</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6"/>
                <w:szCs w:val="16"/>
                <w:color w:val="auto"/>
              </w:rPr>
            </w:pPr>
          </w:p>
        </w:tc>
        <w:tc>
          <w:tcPr>
            <w:tcW w:w="7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Senior Vice President &amp; Chief Financial Officer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General Counsel &amp; Corporate Secretary</w:t>
            </w: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Powers </w:t>
      </w:r>
      <w:r>
        <w:rPr>
          <w:rFonts w:ascii="Times New Roman" w:cs="Times New Roman" w:eastAsia="Times New Roman" w:hAnsi="Times New Roman"/>
          <w:sz w:val="18"/>
          <w:szCs w:val="18"/>
          <w:color w:val="auto"/>
        </w:rPr>
        <w:t>joined OPT in December 2021 with more than 25 years of experience providing domestic and international leadership to entrepreneurial,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privately owned, and founder-led companies, as well as SEC registrants and private equity backed companies. Prior to OPT, Bob was CFO of Constellation Advisors, a private equity-owned provider of outsourced back-office operations and compliance services. He has held financial leadership roles with Sterling Talent Solutions, Wood Group PPS – a division of Wood Group, GTE, SABIC Innovative Plastics, and Plug Power. He has also provided financial consulting services to various companies. Bob began his career at PricewaterhouseCoopers, LLP. He received a Bachelor of Science in Accounting degree from Fordham University and an MBA in Business Administration from Rensselaer Polytechnic Institute and he is a Certified Public Accountant.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Tracy D. Pagliara </w:t>
      </w:r>
      <w:r>
        <w:rPr>
          <w:rFonts w:ascii="Times New Roman" w:cs="Times New Roman" w:eastAsia="Times New Roman" w:hAnsi="Times New Roman"/>
          <w:sz w:val="18"/>
          <w:szCs w:val="18"/>
          <w:color w:val="auto"/>
        </w:rPr>
        <w:t>was appointed Senior Vice President, General Counsel and Corporate Secretary in January 2025. Prior to joining OPT,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CEO of Williams Industrial Services Group Inc. (formerly known as Global Power Equipment Group, Inc.), a publicly traded provider of construction and maintenance services to power, energy and industrial customers. He also served as Senior Vice President, Administration (2017-2018) and as General Counsel, Secretary and Vice President, Business Development (2010-2017) at Williams Industrial Group. Prior to joining Williams , Mr. Pagliara served as the Chief Legal Officer of Gardner Denver, Inc., a leading publicly traded global manufacturer of highly engineered compressors, blowers, pumps and other fluid transfer equipment. He also had responsibility for other roles during his tenure with Gardner Denver, including Executive Vice President of Administration, Chief Compliance Officer, and Corporate Secretary. Prior to joining Gardner Denver, Mr. Pagliara held positions of increasing responsibility in the legal departments of Verizon Communications/GTE Corporation and Kellwood Company, ultimately serving in the role of Assistant General Counsel for each company. Mr. Pagliara has a B.S. in Accounting and a J.D. from the University of Illinois. He is a member of the Missouri and Illinois State Bars and a Certified Public Accountant.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April 30, 2025, the members of our Audit Committee were Diana G. Purcel, Peter E. Slaiby, and Terence Cryan. Ms. Purcel is the chair of the Audit Committee. The Board of Directors has determined that Ms. Purcel is an “audit committee financial expert” within the meaning of the regulations of the Securities and Exchange Commission (the “SEC”). The Audit Committee met 5 times in fiscal 2025. Our Board has also determined that all Audit Committee members meet the independence requirements contemplated by 303A.02 of the NYSE American Rules and Rule 10A-3 under the Securities Exchange Act of 1934, as amended (the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recommending to the Board whether the Company’s audited financial statements be included in our Annual Report on Form 10-K; monitoring our internal controls over financial reporting, disclosure controls and procedures and corporate code of business conduct and ethics; establishing procedures for the receipt and retention of accounting related complaints and concerns; reviewing related party transaction; ratifying the charter of our disclosure controls committee; reviewing and assessing management risk assessment and risk management; meeting independently with our independent registered public accounting firm, our internal audit services firm, and management; and preparing the Audit Committee report required by SEC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good corporate governance is important to ensure that the Company is managed for the long-term benefit of our shareholders. Complete copies of our corporate governance guidelines, committee charters and corporate code of business conduct and ethics are available on the corporate governance section of our website, www.oceanpowertechnologies.com. Alternatively, you can request a copy of any of these documents by writing to our Secretary at 28 Engelhard Drive, Suite B, Monroe Township, NJ 08831.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corporate code of business conduct and ethics that applies to our employees, officers (including our principal executive officer and principal financial officer) and independent directors. The corporate code of business conduct and ethics is posted on our corporate website at Corporate Governance | Ocean Power Technologies and can also be obtained free of charge by sending a request to our Secretary at 28 Engelhard Drive, Suite B, Monroe Township, NJ 08831. Any changes to or waivers under the corporate code of business conduct and ethics as it relates to our chief executive officer, chief financial officer, chief commercial officer, controller, or persons performing similar functions must be approved by our Board of Directors and will be disclosed in a Current Report on Form 8-K within four business days of the change or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 in a timely manner during the year ended April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structured our Board compensation to have a significant equity component that exceeds the cash component to align the interests of our directors with the interests of our shareholders. For Board service during fiscal year 2025, the Board of Directors approved, for each non-employee director, an annual base compensation consisting of a cash payment of $70,000 and restricted share units (RSU) representing a value of $75,000. Each non-employee director also receives a per annum supplement ranging from $8,000 to $30,000 in cash for each committee that they belong to or chair and an additional RSU grant based upon committee membership. In addition, the Chairman of the Board annually receives an additional $75,000 in cash. Finally, for fiscal year 2025 each non-employee director received a one-time RSU grant. See the table below for a summary of total cash and equity compensation for fiscal 2025.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the Nominating and Corporate Governance Committee of our Board of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compensation paid to each of our non-employee directors who served during fiscal year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1,341,254</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1,354,802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1,543,254</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552,499</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558,080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642,499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894,711</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903,748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1,010,711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587,276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593,208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697,276</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Lorenz-Anderson (Former)</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86,337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87,209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compensation of our named executive officers (NEOs), including the design, review, approval, and implementation of all compensation programs. The goal of the Compensation Committee is to ensure that our compensation practices are aligned with our business strategies and objectives and that the total compensation paid to each of our named executive officers is fair, reasonable, and competitive. During fiscal year 2025our Company had four NEOs: (1) the President and Chief Executive Officer (CEO); (2) the Senior Vice President and Chief Financial Officer (CFO), (3) the Secretary and General Counsel, and (4) the Chief Commercial Officer (no longer employed as of June 2025).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is composed entirely of independent, non-management members of the Board. Each member of the Compensation Committee is both a “non-employee director” within the meaning of Rule 16b3 of the Exchange Act, and an “outside director” within the meaning of Section 162(m) of the Internal Revenue Code. No Compensation Committee member participates in any of the Company’s employee compensation programs. Each year the Company reviews any and all relationships that each director has with the Company, and the Board subsequently reviews these findings. The responsibilities of the Compensation Committee, as stated in its charter, include the following:</w:t>
      </w:r>
    </w:p>
    <w:p>
      <w:pPr>
        <w:spacing w:after="0" w:line="183" w:lineRule="exact"/>
        <w:rPr>
          <w:sz w:val="20"/>
          <w:szCs w:val="20"/>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such recommendations to the Board as the Compensation Committee deems advisable with regard to all incentive-based compensation plans and equity-based plans;</w:t>
      </w:r>
    </w:p>
    <w:p>
      <w:pPr>
        <w:spacing w:after="0" w:line="161"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corporate goals and objectives that may be relevant to the compensation of NEOs;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ind w:left="660" w:right="2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NEOs in light of the goals and objectives that were set and determine and approve the compensation of the NEOs based on such evaluation; and</w:t>
      </w:r>
    </w:p>
    <w:p>
      <w:pPr>
        <w:spacing w:after="0" w:line="161"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recommendations of the CEO with regard to the compensation of all officers of the Company other than the CEO.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full Board of Directors also conducts an annual evaluation of the CEO, which is designed to help assess the CEO’s performance against established goals and objectives and provide additional feedback for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and Holding Guidelines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recommendation of the Nominating and Corporate Governance Committee, during fiscal 2024, the Board amended its stock ownership and holding guidelines for all NEOs and all independent directors. The guidelines are designed to increase stock ownership over time and thereby align their interests with the interests of shareholders. For the CEO, the guidelines now provide for the achievement of stock ownership of 5 times base salary over a period of 5 years. For the CFO and CCO, the guidelines now provide for the achievement of stock ownership of 3 times base salary over a period of 5 years. For the independent directors, the guidelines now provide for the achievement of stock ownership of one times the annual cash retainer for each full year of service over a period of 5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2023, the Board adopted a Compensation Clawback Policy which is compliant with the requirements of the NYSE American and the SEC. Under the policy, if OPT is required to prepare an accounting restatement, including to correct an error that would result in a material misstatement if the error were corrected in the current period or left uncorrected in the current period, OPT could determine to recover from any current or former executive officers incentive-based compensation that was erroneously awarded during the three years preceding the date such a restatement was required. The recoverable amount is the amount of incentive-based compensation received in excess of the amount that otherwise would have been received had it been determined based on the restated financial measure. This would apply even if the executive officer did not engage in any misconduct or had no responsibility for the errors. The Compensation Committee has the full and final authority to make all determinations under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compensation program is centered around a philosophy that focuses on aligning the interests of our management with those of our shareholders, retention of key personnel, and pay-for-performance compensation. The Company believes this philosophy allows the Company to compensate its executive officers competitively, while simultaneously ensuring support of its strategy and continued development and achievement of key business goals. The Compensation Committee firmly believes that a pay-for-performance philosophy should recognize both short- and long-term performance and should include both cash and equity compensation arrangements that are supported by strong corporate governance, including active and effective oversight by the Compensation Committee.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programs are intended to reward executives for the achievement of specified predetermined quantitative and qualitative goals aligned with the interests of shareholders and designed to increase shareholder value. Our compensation programs are also designed to attract and retain qualified executives and reward them for attaining superior short-term and long-term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Compensation Program Elements and Relationship to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these programs include:</w:t>
      </w:r>
    </w:p>
    <w:p>
      <w:pPr>
        <w:spacing w:after="0" w:line="225" w:lineRule="exact"/>
        <w:rPr>
          <w:sz w:val="20"/>
          <w:szCs w:val="20"/>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that is fixed cash compensation designed to reward annual achievements, with consideration given to the executive’s qualifications, scope of responsibility, leadership abilities and management experience and effectiveness;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7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(STI) programs that provide yearly cash bonus awards, where warranted, designed to incentivize, and reward executives for executing against predetermined business objectives with demonstrated performance;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(LTI) programs that provide equity-based incentive compensation, over a multi-year period, which further align executive and shareholder interests. Grants prior to and including fiscal year 2022 had been primarily in the form of Non-qualified Stock Options (NQSOs). Beginning with fiscal year 2023, NEOs have received equity grants in the form of Restricted, Stock Units (RSUs) instead of NQSOs. For fiscal year 2026 and beyond, our intention is for NEOs to continue to receive equity grants in the form of RSUs. The value of LTI compensation is based upon the market value of our common stock that requires continued service, with the majority of the vesting criteria tied to the attainment of certain performance goals.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Determining and Setting Executive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works closely with key members of management to set the compensation for the Company’s non-NEO executives. Under direction by, and oversight from, the Compensation Committee, management develops recommendations for the Company’s compensation plans by utilizing market data sourced from publicly available compensation sources. This includes reputable on-line compensation surveys for comparable executive positions that review a broad selection of national and regional companies, which the Company believes it may compete with for executive talent. These companies are considered to be comparable to the Company in terms of public ownership, organizational structure, size, and stage of development. The Compensation Committee reviews the results of any compensation analyses, and recommendations by management are reviewed with and approved by the Compensation Committee annually; however, if the Company becomes aware within the year that a market adjustment is required based on market or other data, the Compensation Committee can make changes as necessary. The Compensation Committee targets compensation for our executives within a competitive range, generally at the market 50th percentile. Other considerations, including the unique nature of our business, the experience level of an executive, performance, tenure, and other market and/or relevant factors may dictate variations to this general target.</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traditional benchmarking metrics, such as product sales, revenue and profits, the additional factors the Compensation Committee typically considers when determining the STI and LTI compensation of our NEOs’ compensation include:</w:t>
      </w:r>
    </w:p>
    <w:p>
      <w:pPr>
        <w:spacing w:after="0" w:line="16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product and solution development initiatives;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advancements;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commercial milestones;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key strategic relationships;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appropriate financing strategies;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 performance;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performance;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quality and operational standards, including ISO certification and audits.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Recent Annual Meeting Votes on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the voting on the executive compensation proposals at our last three Annual Meetings of Shareholders is presented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Against</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Abstain</w:t>
            </w:r>
          </w:p>
        </w:tc>
      </w:tr>
      <w:tr>
        <w:trPr>
          <w:trHeight w:val="210"/>
        </w:trPr>
        <w:tc>
          <w:tcPr>
            <w:tcW w:w="59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Annual Meeting</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Annual Meeting</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Annual Meeting</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and Compensation Committee continue to focus on driving NEO performance against specific goals and ensuring that the interests of management and shareholders are aligned properly. Accordingly, as part of our governance processes, we continually review our incentive programs, including equity vehicles that better align with our shareholders, in addition to our governance policies.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LTI Goals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January 2022, the Company adopted a new program for LTI awards. Pursuant to the new program NEOs, vice presidents, and select other direct reports to the Chief Executive Officer received RSUs while the rest of the Company’s employees received NQSOs. NQSOs are subject to time-based vesting, while RSUs are subject to both time-based and performance-based vesting criteria. Performance-based vesting is subject to a total shareholder return (“TSR”) formula, which allows for vesting in the second year if the TSR metric is not achieved in the first year, and for vesting in the third year if the TSR metric is not achieved for the second year. The TSR metric has two components – an absolute TSR metric that evaluates the performance of our common stock year-over-year, and a relative TSR metric that evaluates the performance of our common stock against a defined index, the Russell 3000 Microcap index. One-third of RSU awards vest over time, one-third vest as absolute TSR metrics are achieved and one-third vest as relative TSR metrics are achieved. LTI awards granted in January 2022 and January 2023 were granted under this revised program. In January 2024 the Company adopted a new program for LTI awards. Pursuant to the new program all employees received RSUs subject to both time-based and performance-based vesting criteria. One third of the RSUs shall vest equally over time on January 31, 2025, on January 31, 2026, and on January 31, 2027. One third of the RSUs shall vest over time based upon achieving and maintaining various specified ISO certifications by January 2027. Progress toward these targets and annual vesting will be determined by OPT’s Compensation Committee on January 31, 2025, on January 31, 2026, and on January 31, 2027. One third of the RSUs shall vest over time based upon the achieving specified cumulative contracted bookings targets by January 2027. Contracted bookings will be assessed on a gross basis, but excluding options, and any terminations will be subtracted from the total. Progress toward this target and annual vesting will be determined by OPT’s Compensation Committee on January 31, 2025, on January 31, 2026, and on January 31, 2027. As long as the Company is within 95% of the bookings target in year 1 and 2, 1/3 of the total grant will vest. Year 3 is then a makeup year that allows for overperformance (if at least 120% of total is achieved), or catchup (if 100% of total cumulative target is achieved), or it balances out based on the total cumulative achievement. Finally, upon the attainment of positive TSR for each of the years ended January 31, 2025, 2026, and 2027, respectively, an additional 10% of the shares awarded on January 31, 2024 will be granted – issued and assessed annually, with immediate vesting. For clarity, positive TSR will be calculated based on the share price 12 months prior using the 10 day VWAP. Shares awarded annually will be either 0% or 10% based upon the analysis above, with no extrapolation. Total cumulative awarded shares are capped at 30% and there is no penalty for not achieving positive TSR.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2025 the Company granted RSUs to all employees subject to the following vesting criteria and continued employment on the applicable vesting dates:</w:t>
      </w:r>
    </w:p>
    <w:p>
      <w:pPr>
        <w:spacing w:after="0" w:line="16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equally over time</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over time based upon achieving and maintaining ISO certification. Progress will be determined by OPT’s Compensation Committee.</w:t>
      </w:r>
    </w:p>
    <w:p>
      <w:pPr>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over time based upon the achievement of cumulative contracted bookings and progress will be determined by OPT’s Compensation Committee.</w:t>
      </w:r>
    </w:p>
    <w:p>
      <w:pPr>
        <w:jc w:val="both"/>
        <w:ind w:left="660" w:hanging="652"/>
        <w:spacing w:after="0" w:line="255"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Upon achieving positive TSR for the fiscal years ending January 31, 2026, 2027, and 2028, respectively, an additional 10% of the shares initially awarded on January 16, 2025, will be granted. The assessment will be conducted annually, with shares vesting immediately upon such determination. The cumulative total award is capped at 30% of the shares initially granted.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its May 2023 meeting, the Compensation Committee also developed objectives for the STI plan for the NEOs for fiscal year 2024. The Compensation Committee established objectives across three main categories; financial performance, operational performance, and safety and quality performance as reflected in the following table. For Operational and Safety and Quality metrics management has also identified specific measurement criteria which was approved by the Compensation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40" w:type="dxa"/>
            <w:vAlign w:val="bottom"/>
          </w:tcPr>
          <w:p>
            <w:pPr>
              <w:spacing w:after="0"/>
              <w:rPr>
                <w:sz w:val="20"/>
                <w:szCs w:val="20"/>
                <w:color w:val="auto"/>
              </w:rPr>
            </w:pPr>
          </w:p>
        </w:tc>
        <w:tc>
          <w:tcPr>
            <w:tcW w:w="29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191"/>
        </w:trPr>
        <w:tc>
          <w:tcPr>
            <w:tcW w:w="2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Multi System Orders (10 points per</w:t>
            </w:r>
          </w:p>
        </w:tc>
        <w:tc>
          <w:tcPr>
            <w:tcW w:w="2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multi-buoy [3 or more], 5 points per</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Bookings</w:t>
            </w: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multi-vehicle [3 or more])</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New Bookings</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$7.8M Buoy new bookings</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Bookings</w:t>
            </w: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$6M Vehicles new bookings</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New Bookings</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$1.3M Consulting new bookings</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Cyber</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Recordable Incident Rate</w:t>
            </w: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Consistent with fiscal year 2023, a 75% threshold was established, and upon attainment, a 50% award will be made. Between 75% and 100%, the award would be linearly interpolated, and between 100% and 200% (the maximum award), the award would be interpolated.</w:t>
      </w:r>
    </w:p>
    <w:p>
      <w:pPr>
        <w:spacing w:after="0" w:line="162"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Considering the overall performance of the Company for the fiscal year, and particularly the performance reviews of high performing individuals within the staff, the Compensation Committee approved management’s recommendation for the STI pool for the fiscal year , and the STI pool resulted in a total of approximately $1,060,000 in bonus awards across the Company. In terms of NEOs STI bonus, the Compensation Committee approved that the NEOs receive 64% of their respective target bonuses for fiscal year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2025</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its July 2024 meeting, the Compensation Committee developed objectives for the STI plan for’ the NEOs for fiscal year 2025.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40" w:type="dxa"/>
            <w:vAlign w:val="bottom"/>
          </w:tcPr>
          <w:p>
            <w:pPr>
              <w:spacing w:after="0"/>
              <w:rPr>
                <w:sz w:val="20"/>
                <w:szCs w:val="20"/>
                <w:color w:val="auto"/>
              </w:rPr>
            </w:pPr>
          </w:p>
        </w:tc>
        <w:tc>
          <w:tcPr>
            <w:tcW w:w="26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191"/>
        </w:trPr>
        <w:tc>
          <w:tcPr>
            <w:tcW w:w="2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$18M new bookings = 100% of</w:t>
            </w:r>
          </w:p>
        </w:tc>
        <w:tc>
          <w:tcPr>
            <w:tcW w:w="2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points. No points awarded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2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Bookings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&lt;$13.5M</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$12.5M = 100% of target points. No</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points awarded &lt;$9.38M</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2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$10M operating loss = 100% of</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points. No points awarded if</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2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&gt;$12.5M</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Proactive Measures Implementation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2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Recordable Incident Rate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56</w:t>
            </w: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Compensation Considerations and Decisions for Fiscal Year 2025/2026</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and July 2025, the Compensation Committee held a meetings to address management’s recommendation for fiscal year 2026 in terms of salary changes and the fiscal year 2026 STI bonus pool. The Compensation Committee assessment included a review of the Company’s scorecard for the fiscal year 2026. The Compensation Committee determined that the overall performance of the Company in terms of meeting the targets for the fiscal year included in the scorecard had resulted in the attainment of 82 points out of a total 100 possible points. Accordingly, based upon the formula noted above, the business portion of the bonus was earned at the rate of 64% of target bonus for the majority of the Company’s eligible employees. A small number of employees received 100% of their target bonus based upon outstanding performance.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Considering the overall performance of the Company for the fiscal year, and particularly the performance reviews of high performing individuals within the staff, the Compensation Committee approved management’s recommendation for the STI pool for the fiscal year, and the STI pool resulted in a total of approximately $1,060,000 in bonus awards across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terms of NEOs compensation and STI bonus, the Compensation Committee approved that the NEOs receive 64% of their respective target bonuses for fiscal year 2025, and pay increases of 3.5% would be granted for fiscal year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its May 2025 meeting, the Compensation Committee also developed objectives for the STI plan for the NEOs for fiscal year 2026.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40" w:type="dxa"/>
            <w:vAlign w:val="bottom"/>
          </w:tcPr>
          <w:p>
            <w:pPr>
              <w:spacing w:after="0"/>
              <w:rPr>
                <w:sz w:val="20"/>
                <w:szCs w:val="20"/>
                <w:color w:val="auto"/>
              </w:rPr>
            </w:pPr>
          </w:p>
        </w:tc>
        <w:tc>
          <w:tcPr>
            <w:tcW w:w="22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187"/>
        </w:trPr>
        <w:tc>
          <w:tcPr>
            <w:tcW w:w="2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$24M new bookings = 100% of</w:t>
            </w:r>
          </w:p>
        </w:tc>
        <w:tc>
          <w:tcPr>
            <w:tcW w:w="2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New Bookings</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points.</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194"/>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$24M revenues = 100% of target</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700" w:type="dxa"/>
            <w:vAlign w:val="bottom"/>
          </w:tcPr>
          <w:p>
            <w:pPr>
              <w:spacing w:after="0"/>
              <w:rPr>
                <w:sz w:val="20"/>
                <w:szCs w:val="20"/>
                <w:color w:val="auto"/>
              </w:rPr>
            </w:pPr>
          </w:p>
        </w:tc>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points.</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27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$(7)M = 100% of target points</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194"/>
        </w:trPr>
        <w:tc>
          <w:tcPr>
            <w:tcW w:w="2700" w:type="dxa"/>
            <w:vAlign w:val="bottom"/>
          </w:tcPr>
          <w:p>
            <w:pPr>
              <w:spacing w:after="0"/>
              <w:rPr>
                <w:sz w:val="16"/>
                <w:szCs w:val="16"/>
                <w:color w:val="auto"/>
              </w:rPr>
            </w:pPr>
          </w:p>
        </w:tc>
        <w:tc>
          <w:tcPr>
            <w:tcW w:w="252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Advanced Autonomy and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See Development tab</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Resiliency</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27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Docking and Charging</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194"/>
        </w:trPr>
        <w:tc>
          <w:tcPr>
            <w:tcW w:w="2700" w:type="dxa"/>
            <w:vAlign w:val="bottom"/>
          </w:tcPr>
          <w:p>
            <w:pPr>
              <w:spacing w:after="0"/>
              <w:rPr>
                <w:sz w:val="16"/>
                <w:szCs w:val="16"/>
                <w:color w:val="auto"/>
              </w:rPr>
            </w:pPr>
          </w:p>
        </w:tc>
        <w:tc>
          <w:tcPr>
            <w:tcW w:w="252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Proactive Measures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See Safety tab</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Safety and Quality</w:t>
            </w:r>
          </w:p>
        </w:tc>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27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TRIR</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Points</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10"/>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by us during the fiscal years ended April 30, 2025, and 2024 to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20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(1)</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 (4)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374,291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125,753</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$ 5,437,530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5,954,405</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$ 372,600</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$ 179,803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858,889</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67,813</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$ 2,409,089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2,801,606</w:t>
            </w:r>
          </w:p>
        </w:tc>
      </w:tr>
      <w:tr>
        <w:trPr>
          <w:trHeight w:val="196"/>
        </w:trPr>
        <w:tc>
          <w:tcPr>
            <w:tcW w:w="3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Senior Vice President and Chief Financial</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$ 301,392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96,961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155,868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572,008</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$ 251,587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$ 2,464,296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2,730,941</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 (former) (6)</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72,385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474,123</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86,539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33,750</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$ 2,611,106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2,731,395</w:t>
            </w:r>
          </w:p>
        </w:tc>
      </w:tr>
      <w:tr>
        <w:trPr>
          <w:trHeight w:val="196"/>
        </w:trPr>
        <w:tc>
          <w:tcPr>
            <w:tcW w:w="3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Senior Vice President, General Counsel, &amp;</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 (Former) (6)</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$ 196,650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227,986</w:t>
            </w:r>
          </w:p>
        </w:tc>
      </w:tr>
    </w:tbl>
    <w:p>
      <w:pPr>
        <w:spacing w:after="0" w:line="198" w:lineRule="exact"/>
        <w:rPr>
          <w:sz w:val="20"/>
          <w:szCs w:val="20"/>
          <w:color w:val="auto"/>
        </w:rPr>
      </w:pPr>
    </w:p>
    <w:p>
      <w:pPr>
        <w:ind w:firstLine="8"/>
        <w:spacing w:after="0" w:line="282" w:lineRule="auto"/>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represents actual salary earned during each fiscal year. The amounts in this column may be different from the amounts listed below under description of employment agreements due to increases in salary levels and mid-year hire dates.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bonuses earned by the named executive officers for fiscal years 2025 and 2024. For fiscal year 2025 and 2024 the Compensation Committee awarded bonuses in accordance with performance results.</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8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are subject to the vesting criteria described above and reflect the aggregate grant date fair value of restricted stock units granted during the year computed in accordance with the provisions of Accounting Standards Codification (ASC) No. 718, “Compensation- Stock Compensation.” The assumptions used in calculating these amounts are incorporated by reference to Note 11 to the financial statements.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reflect the aggregate grant date fair value of stock options granted during the year computed in accordance with the provisions of Accounting Standards Codification (ASC) No. 718, “Compensation- Stock Compensation.” The assumptions used in calculating these amounts are incorporated by reference to Note 11 to the financial statements.</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in fiscal 2025 and 2024 were related to the Company’s matching contributions to the 401(K)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DiPietro separated from the Company in April 2024 and Mr. Burdyny separated from the Company in June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 Stratmann – President, Chief Executive Officer, and Director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June 18, 2021, in connection with his appointment as Chief Executive Officer and President, Mr. Stratmann entered into an Employment Agreement with the Company. Pursuant to the Employment Agreement Mr. Stratmann is eligible for an annual, discretionary, performance-based bonus targeted at 75% of base salary on such terms and conditions as may be determined by the Board or its Compensation Committee, and is eligible to receive long-term incentive equity based awards, pursuant to the Company’s 2015 Omnibus Incentive Plan, as amended (the “2015 Plan”), subject to such terms and conditions as may be determined by the Board or its Compensation Committee. Mr. Stratmann will receive an annual base salary of $385,641 for fiscal year 2026.</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he is terminated other than for cause, he will receive 12 months of salary as severance. Mr. Stratmann is also subject to covenants regarding non-competition, non-solicitation, and confidentiality.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Powers - Senior Vice President and Chief Financial Officer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December 13, 2021, in connection with his appointment as Senior Vice President and Chief Financial Officer, Mr. Powers entered into an Employment Agreement with the Company. Pursuant to the Employment Agreement, Mr. Powers is eligible for an annual, discretionary, performance-based bonus targeted at 50% of base salary on such terms and conditions as may be determined by the Board or its Compensation Committee, and is eligible to receive long-term incentive equity based awards, pursuant to the 2015 Plan, subject to such terms and conditions as may be determined by the Board or its Compensation Committee. Mr. Powers will receive an annual base salary of $311,941 for fiscal 2026.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Mr. Powers is terminated other than for cause (or Mr. Powers quits for good reason), he will receive six months of salary as severance.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is also subject to covenants regarding non-competition, non-solicitation, and confidentiality.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Tracy Pagliara – Senior Vice President General Counsel &amp; Corporate Secretary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January 16, 2025, in connection with his appointment as Senior Vice President, General Counsel &amp; Corporate Secretary, Mr. Pagliara entered into an Employment Agreement with the Company. Pursuant to the Employment Agreement, Mr. Pagliara will receive an annual base salary of $300,000, is eligible for an annual, discretionary, performance-based bonus targeted at 50% of base salary on such terms and conditions as may be determined by the Board or the Compensation Committee, and is eligible to receive long-term incentive equity based awards, pursuant to the 2015 Plan, subject to such terms and conditions as may be determined by the Board or its Compensation Committee. At the time of signing the Employment Agreement, he received a one-time grant of 75,000 restricted stock units under the 2015 Plan that vest, if at all, over two years, 1/4 on each of the first and second anniversary of the date of grant, and 1/4 in each year based on achievement of certain performance targets.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Mr. Pagliara is terminated other than for cause (or Mr. Pagliara quits for good reason), he will receive three months of salary as severance if that occurs prior to January 2026 and then six months thereafter. He is also entitled to certain other severance payments in connection with a change of control or non-renewal of the Employment Agreement. Mr. Pagliara is also subject to covenants regarding non-competition, non-solicitation and confidentiality.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include employment agreement information for Mr. DiPietro or Mr. Burdyny as neither of them is currently employed by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 End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certain information regarding equity awards held by the named executive officers as of April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8"/>
                <w:szCs w:val="18"/>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0" w:type="dxa"/>
            <w:vAlign w:val="bottom"/>
          </w:tcPr>
          <w:p>
            <w:pPr>
              <w:spacing w:after="0"/>
              <w:rPr>
                <w:sz w:val="1"/>
                <w:szCs w:val="1"/>
                <w:color w:val="auto"/>
              </w:rPr>
            </w:pPr>
          </w:p>
        </w:tc>
      </w:tr>
      <w:tr>
        <w:trPr>
          <w:trHeight w:val="25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xml:space="preserve">Price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9,333</w:t>
            </w: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1/14/2031(1)</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7,583,897(2)</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$3,109,398</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3,449,206(3)</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$1,414,174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3,305,855(4)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$1,355,401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3,196,721(5)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$1,310,656</w:t>
            </w: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Senior Vice President, General Counsel, &amp; Corporate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 (Former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82" w:lineRule="auto"/>
        <w:tabs>
          <w:tab w:leader="none" w:pos="2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January 14, 2021 relating to an aggregate of 9,333 shares which vest over a two-year period based on service requirements.</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145,588 shares which vest over a three- year period when certain market price targets are met, (B) granted on February 1, 2024 relating to an aggregate 781,259 shares which vest over a three-year period when certain market price and performance targets are met, and (C) granted on January 16, 2025 relating to an aggregate 6,657,050 shares which vest over a three-year period when certain market price and performance targets are met.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78,510 shares which vest over a three-year period when certain market price targets are met, (B) granted on February 1, 2024 relating to an aggregate 421,300 shares which vest over a three-year period when certain market price and performance targets are met, and (C) granted on January 16, 2025 relating to an aggregate 2,949,396 shares which vest over a three-year period when certain market price and performance targets are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ind w:firstLine="8"/>
        <w:spacing w:after="0" w:line="256" w:lineRule="auto"/>
        <w:tabs>
          <w:tab w:leader="none" w:pos="2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27,021 shares which vest over a three-year period when certain market price targets are met, (B) granted on November 9, 2023 related to an aggregate of 16,667 shares which vest after a two-year period when certain market price targets are met, and (C) granted on February 1, 2024 relating to an aggregate 349,462 shares which vest over a three-year period when certain market price and performance targets are met, and (D) granted on January 16, 2025 relating to an aggregate 2,912,705 shares which vest over a three-year period when certain market price and performance targets are met. Mr. Burdyny separated from the Company in June 2025.</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granted on January 16, 2025 relating to an aggregate 3,196,721 shares which vest over a three-year period when certain market price and performance targets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sets forth the terms of potential payments to each of our named executive officers in the event of a termination of employment. The terms cause, good reason and change of control have the meanings given such terms in the executive’s employment agreement. We do not include information regarding Mr. DiPietro or Mr. Burdyny as neither of them is currently employed by the Company.</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by Company without Cause; Termination by Executive for Good Reason. </w:t>
      </w:r>
      <w:r>
        <w:rPr>
          <w:rFonts w:ascii="Times New Roman" w:cs="Times New Roman" w:eastAsia="Times New Roman" w:hAnsi="Times New Roman"/>
          <w:sz w:val="18"/>
          <w:szCs w:val="18"/>
          <w:color w:val="auto"/>
        </w:rPr>
        <w:t>Our employment agreement with each of Messer’s.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Stratmann, Powers and Pagliara provide, upon the termination of employment other than for cause, or if terminated for good reason, that they have the right to receive severance payments of twelve months of base salary (for Mr. Stratmann) or six months of base salary (for Mr. Powers and Mr. Pagliara).</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by Company for Cause; Termination by Executive without Good Reason. </w:t>
      </w:r>
      <w:r>
        <w:rPr>
          <w:rFonts w:ascii="Times New Roman" w:cs="Times New Roman" w:eastAsia="Times New Roman" w:hAnsi="Times New Roman"/>
          <w:sz w:val="18"/>
          <w:szCs w:val="18"/>
          <w:color w:val="auto"/>
        </w:rPr>
        <w:t>Neither Messrs. Stratmann, Powers nor Burdyny are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benefits in the event of a termination by the Company for cause or by the executive without good reason.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agreements for Mr. Stratmann, Mr. Powers, and Mr. Pagliara include a double trigger severance clause.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by the Company in connection with a change of control, or by the executive within 90 days of a change of control, the employment agreements for Mr. Stratmann, Mr. Powers, and Mr. Pagliara provide for a payment of twelve, three, and three months, respectively, of base salary. The restricted stock unit agreement provides for accelerated stock vesting upon a change in control.</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upon Failure to Renew by the Company. </w:t>
      </w:r>
      <w:r>
        <w:rPr>
          <w:rFonts w:ascii="Times New Roman" w:cs="Times New Roman" w:eastAsia="Times New Roman" w:hAnsi="Times New Roman"/>
          <w:sz w:val="18"/>
          <w:szCs w:val="18"/>
          <w:color w:val="auto"/>
        </w:rPr>
        <w:t>In the event that the Company elects not to renew the employment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terminates their employment within 30 days of notice of non-renewal, the employment agreements for Mr. Stratmann, and Messs. Powers and Pagliara, provide for a payment of twelve, three and three months, respectively, of base salary.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Qualifying retirement. </w:t>
      </w:r>
      <w:r>
        <w:rPr>
          <w:rFonts w:ascii="Times New Roman" w:cs="Times New Roman" w:eastAsia="Times New Roman" w:hAnsi="Times New Roman"/>
          <w:sz w:val="18"/>
          <w:szCs w:val="18"/>
          <w:color w:val="auto"/>
        </w:rPr>
        <w:t>Under our restricted stock unit agreements with the named executive officers, upon a Qualifying Retirement, 50%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 In addition, the agreements of Messrs. Stratmann, Powers and Pagliara extend the exercisability of vested options to 90 days after any termination event.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July 24, 2025, by (a) each person known by us to be the beneficial owner of more than 5% of the outstanding shares of Common Stock, (b) each executive officer (c) each director, and (d) all executive officers and directors as a group.</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percentage of common stock beneficially owned is based on 177,524,775 shares of our common stock outstanding as of July 24, 2025. For purposes of the table below, and in accordance with the rules of the SEC, we deem shares of common stock subject to options that are currently exercisable or exercisable within sixty days of July 24, 2025 to be outstanding and to be beneficially owned by the person holding the options for the purpose of computing the percentage ownership of that person, but we do not treat them as outstanding for the purpose of computing the percentage ownership of any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10"/>
        </w:trPr>
        <w:tc>
          <w:tcPr>
            <w:tcW w:w="6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 (1)</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513,725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J. Cryan (2)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600,593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Hewlett (3)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423,806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G. Purcel (3)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423,806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E. Slaiby (4)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458,806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Powers (5)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253,409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 (6)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173,126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 and executive officers as a group (7 individuals)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2,847,271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Represents a beneficial ownership of less than one percent of our outstanding common stock</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504,392 shares of our common stock and 9,333 shares issuable upon the exercise of options that are currently exercisable or exercisable within sixty days of July 24, 2025.</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600,593 shares of our common stock and 50,668 shares issuable upon the exercise of options that are currently exercisable or exercisable within sixty days of July 24, 2025.</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423,806 shares of our common stock and 19,129 shares issuable upon the exercise of options that are currently exercisable or exercisable within sixty days of July 24, 2025.</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458,806 shares of our common stock and 19,129 shares issuable upon the exercise of options that are currently exercisable or exercisable within sixty days of July 24, 2025.</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253,409 shares of our common stock as of July 24, 2025.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173,126 shares of our common stock as of July 24,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applicable NYSE American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has determined that all of our current directors are “independent directors” within the meaning of the applicable listing standards of the NYSE American, except for Philipp Stratmann who is our President and Chief Executive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Certain Relationship and Related Person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Related Person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of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effective as of December 2023, appointed EisnerAmper, LLP as the Company’s independent registered public accounting firm for the Company’s fiscal year ended April 30, 2024. EisnerAmper, LLP’s PCAOB firm ID is 274.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19, 2024, the Audit Committee (the “Audit Committee”) of the Board of Directors of Ocean Power Technologies, Inc. (the “Company”) dismissed EisnerAmper LLP (“EisnerAmper”) as the Company’s independent registered public accounting firm, effective immediately. The decision by the Audit Committee was made primarily to save on audit fees and costs.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EisnerAmper’s audit reports on the Company’s consolidated financial statements for each of the two most recent fiscal years ended April 30, 2024 and April 30, 2023 did not contain an adverse opinion or a disclaimer of opinion and were not qualified or modified as to uncertainty, audit scope or accounting principles, except that EisnerAmper’s reports on the consolidated financial statements of the Company as of and for the year ended April 30, 2024, contained an explanatory paragraph stating that “Those accompanying financial statements have been prepared assuming that the Company will continue as a going concern. As discussed in Note 1(b) to those financial statements, the Company has recurring net losses and net cash flow used in operations that raise substantial doubt about its ability to continue as a going concern. Management’s plans in regard to these matters were also described in Note 1(b). Those financial statements do not include any adjustments that might result from the outcome of this uncertainty.”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Company’s two most recent fiscal years ended April 30, 2024 and April 30, 2023 and during the subsequent interim period through August 19, 2024, there were (i) no disagreements with EisnerAmper on any matter of accounting principles or practices, financial statement disclosure or auditing scope or procedures, which if not resolved to EisnerAmper’s satisfaction, would have caused EisnerAmper to make reference to the subject matter of the disagreements in its reports on the Company’s consolidated financial statements for such years, and (ii) no “reportable events” as defined in Item 304(a)(1)(v) of Regulation S-K.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on and effective as of August 19, 2024, appointed Moss Adams LLP (“Moss Adams”) as the Company’s independent registered public accounting firm for the Company’s fiscal year ended April 30, 2025. During the Company’s two most recent fiscal years ended April 30, 2024 and April 30, 2023 and during the subsequent interim period through August 19, 2024, neither the Company nor anyone acting on its behalf has consulted with Moss Adams, regarding either: (i) the application of accounting principles to a specific transaction, completed or proposed, or the type of audit opinion that might be rendered on the Company’s consolidated financial statements, and neither a written report nor oral advice was provided to the Company that Moss Adams concluded was an important factor considered by the Company in reaching a decision as to any accounting, auditing, or financial reporting issue, or</w:t>
      </w:r>
    </w:p>
    <w:p>
      <w:pPr>
        <w:spacing w:after="0" w:line="5" w:lineRule="exact"/>
        <w:rPr>
          <w:sz w:val="20"/>
          <w:szCs w:val="20"/>
          <w:color w:val="auto"/>
        </w:rPr>
      </w:pPr>
    </w:p>
    <w:p>
      <w:pPr>
        <w:ind w:firstLine="8"/>
        <w:spacing w:after="0" w:line="260"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either the subject of a “disagreement” (as defined in Item 304(a)(1)(iv) of Regulation S-K) or a “reportable event” (as described in Item 304(a)(1)(v) of Regulation S-K).</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June 2, 2025, Moss Adams LLP, our independent registered public accounting firm for the fiscal year ended April 30, 2025, completed its merger with Baker Tilly US, LLP (“Baker Tilly”). As a result of this transaction, Baker Tilly succeeded the audit practice of Moss Adams, and the professionals responsible for our fiscal year 2025 audit have become part of Baker Tilly. In accordance with the rules of the Public Company Accounting Oversight Board (PCAOB) and the SEC, Baker Tilly is deemed to be our successor independent registered public accounting firm. Baker Tilly’s PCAOB firm ID is 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was informed of the pending merger and concurred that Baker Tilly, as the legal successor to Moss Adams, may continue to serve as our independent registered public accounting firm without the need for re-engagement or a new audit committee approval, in accordance with SEC and PCAOB guidance on firm succession.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fees of EisnerAmper, LLP billed to us for each of the last two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2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2024</w:t>
            </w:r>
          </w:p>
        </w:tc>
      </w:tr>
      <w:tr>
        <w:trPr>
          <w:trHeight w:val="209"/>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130,200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tcPr>
          <w:p>
            <w:pPr>
              <w:spacing w:after="0"/>
              <w:rPr>
                <w:sz w:val="21"/>
                <w:szCs w:val="21"/>
                <w:color w:val="auto"/>
              </w:rPr>
            </w:pPr>
          </w:p>
        </w:tc>
      </w:tr>
      <w:tr>
        <w:trPr>
          <w:trHeight w:val="20"/>
        </w:trPr>
        <w:tc>
          <w:tcPr>
            <w:tcW w:w="4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fees of Baker Tilly billed to us for each of the last two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2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2024</w:t>
            </w:r>
          </w:p>
        </w:tc>
      </w:tr>
      <w:tr>
        <w:trPr>
          <w:trHeight w:val="209"/>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350,625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350,625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audit services and all non-audit services in fiscal years 2025 and 2024 were pre-approved by the Audit Committee. The Audit Committee has determined that the provision of the non-audit services for which these fees were rendered is compatible with maintaining the independent auditor’s independence.</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ind w:left="900" w:hanging="24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 See Index to Consolidated Financial Statements on page F-1.</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 See Exhibit Index on pages 53 to 54.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By: Philipp Stratmann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w:t>
            </w:r>
          </w:p>
        </w:tc>
        <w:tc>
          <w:tcPr>
            <w:tcW w:w="240" w:type="dxa"/>
            <w:vAlign w:val="bottom"/>
          </w:tcPr>
          <w:p>
            <w:pPr>
              <w:spacing w:after="0"/>
              <w:rPr>
                <w:sz w:val="20"/>
                <w:szCs w:val="20"/>
                <w:color w:val="auto"/>
              </w:rPr>
            </w:pPr>
          </w:p>
        </w:tc>
        <w:tc>
          <w:tcPr>
            <w:tcW w:w="606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Philipp Stratmann</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Philipp Stratmann</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 Robert Powers</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Powers</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3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Terence J. Cryan</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Terence J. Cryan</w:t>
            </w:r>
          </w:p>
        </w:tc>
        <w:tc>
          <w:tcPr>
            <w:tcW w:w="2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Clyde W. Hewlett</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Clyde W. Hewlett</w:t>
            </w:r>
          </w:p>
        </w:tc>
        <w:tc>
          <w:tcPr>
            <w:tcW w:w="2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Diana G. Purcel</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Diana G. Purcel</w:t>
            </w:r>
          </w:p>
        </w:tc>
        <w:tc>
          <w:tcPr>
            <w:tcW w:w="2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Peter E. Slaiby</w:t>
            </w: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E. Slaiby</w:t>
            </w:r>
          </w:p>
        </w:tc>
        <w:tc>
          <w:tcPr>
            <w:tcW w:w="2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wp:posOffset>
            </wp:positionV>
            <wp:extent cx="66433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23" w:lineRule="exact"/>
        <w:rPr>
          <w:sz w:val="20"/>
          <w:szCs w:val="20"/>
          <w:color w:val="auto"/>
        </w:rPr>
      </w:pPr>
    </w:p>
    <w:p>
      <w:pPr>
        <w:ind w:left="780" w:right="20" w:hanging="768"/>
        <w:spacing w:after="0" w:line="261"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78">
        <w:r>
          <w:rPr>
            <w:rFonts w:ascii="Times New Roman" w:cs="Times New Roman" w:eastAsia="Times New Roman" w:hAnsi="Times New Roman"/>
            <w:sz w:val="18"/>
            <w:szCs w:val="18"/>
            <w:u w:val="single" w:color="auto"/>
            <w:color w:val="0000EE"/>
          </w:rPr>
          <w:t>Restated Certificate of Incorporation of the registrant (incorporated by reference from Exhibit 3.1 to our Quarterly Report on Form 10-Q filed</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September 14, 2007).</w:t>
        </w:r>
      </w:hyperlink>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79">
        <w:r>
          <w:rPr>
            <w:rFonts w:ascii="Times New Roman" w:cs="Times New Roman" w:eastAsia="Times New Roman" w:hAnsi="Times New Roman"/>
            <w:sz w:val="18"/>
            <w:szCs w:val="18"/>
            <w:u w:val="single" w:color="auto"/>
            <w:color w:val="0000EE"/>
          </w:rPr>
          <w:t>Certificate of Amendment of Certificate of Incorporation of Ocean Power Technologies, Inc. dated October 27, 2015 (incorporated by reference</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from Exhibit 3.1 to Current Report on Form 8-K filed on October 28, 2015).</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80">
        <w:r>
          <w:rPr>
            <w:rFonts w:ascii="Times New Roman" w:cs="Times New Roman" w:eastAsia="Times New Roman" w:hAnsi="Times New Roman"/>
            <w:sz w:val="18"/>
            <w:szCs w:val="18"/>
            <w:u w:val="single" w:color="auto"/>
            <w:color w:val="0000EE"/>
          </w:rPr>
          <w:t>Certificate of Amendment to Certificate of Incorporation of the Company, filed with the Secretary of State of the State of Delaware on October</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21, 2016 (incorporated by reference to Exhibit 3.1 to the Company’s Current Report on Form 8-K filed on October 21, 2016).</w:t>
        </w:r>
      </w:hyperlink>
    </w:p>
    <w:p>
      <w:pPr>
        <w:spacing w:after="0" w:line="9"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81">
        <w:r>
          <w:rPr>
            <w:rFonts w:ascii="Times New Roman" w:cs="Times New Roman" w:eastAsia="Times New Roman" w:hAnsi="Times New Roman"/>
            <w:sz w:val="18"/>
            <w:szCs w:val="18"/>
            <w:u w:val="single" w:color="auto"/>
            <w:color w:val="0000EE"/>
          </w:rPr>
          <w:t>Certificate of Amendment to Certificate of Incorporation of the Company, filed with the Secretary of State of the State of Delaware on</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December 7, 2018 (incorporated by reference to Exhibit 3.1 to the Company’s Current Report on Form 8-K filed on December 7, 2018).</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82">
        <w:r>
          <w:rPr>
            <w:rFonts w:ascii="Times New Roman" w:cs="Times New Roman" w:eastAsia="Times New Roman" w:hAnsi="Times New Roman"/>
            <w:sz w:val="18"/>
            <w:szCs w:val="18"/>
            <w:u w:val="single" w:color="auto"/>
            <w:color w:val="0000EE"/>
          </w:rPr>
          <w:t>Certificate of Amendment to Certificate of Incorporation of the Company, filed with the Secretary of State of the State of Delaware on March 8,</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2019 (incorporated by reference to Exhibit 3.1 to the Company’s Current Report on Form 8-K filed on March 8, 2019).</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83">
        <w:r>
          <w:rPr>
            <w:rFonts w:ascii="Times New Roman" w:cs="Times New Roman" w:eastAsia="Times New Roman" w:hAnsi="Times New Roman"/>
            <w:sz w:val="18"/>
            <w:szCs w:val="18"/>
            <w:u w:val="single" w:color="auto"/>
            <w:color w:val="0000EE"/>
          </w:rPr>
          <w:t>Certificate of Designations of Series A Preferred Stock of the Company, filed with the Secretary of State of the State of Delaware on June 30,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2023 (incorporated by reference to Exhibit 3.1 to the Company’s Current Report on Form 8-K filed on June 30, 2023).</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3.7</w:t>
      </w:r>
      <w:r>
        <w:rPr>
          <w:sz w:val="20"/>
          <w:szCs w:val="20"/>
          <w:color w:val="auto"/>
        </w:rPr>
        <w:tab/>
      </w:r>
      <w:hyperlink r:id="rId84">
        <w:r>
          <w:rPr>
            <w:rFonts w:ascii="Times New Roman" w:cs="Times New Roman" w:eastAsia="Times New Roman" w:hAnsi="Times New Roman"/>
            <w:sz w:val="18"/>
            <w:szCs w:val="18"/>
            <w:u w:val="single" w:color="auto"/>
            <w:color w:val="0000EE"/>
          </w:rPr>
          <w:t>Amended and Restated Bylaws of the Company (incorporated by reference to Exhibit 3.1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on July 5, 2024).</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5">
        <w:r>
          <w:rPr>
            <w:rFonts w:ascii="Times New Roman" w:cs="Times New Roman" w:eastAsia="Times New Roman" w:hAnsi="Times New Roman"/>
            <w:sz w:val="18"/>
            <w:szCs w:val="18"/>
            <w:u w:val="single" w:color="auto"/>
            <w:color w:val="0000EE"/>
          </w:rPr>
          <w:t>Specimen certificate of Common Stock (incorporated by reference to Exhibit 4.1 to the Registrant’s Annual Report on Form 10-K filed on July</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86">
        <w:r>
          <w:rPr>
            <w:rFonts w:ascii="Times New Roman" w:cs="Times New Roman" w:eastAsia="Times New Roman" w:hAnsi="Times New Roman"/>
            <w:sz w:val="18"/>
            <w:szCs w:val="18"/>
            <w:u w:val="single" w:color="auto"/>
            <w:color w:val="0000EE"/>
          </w:rPr>
          <w:t>Form of Warrant to Purchase Common Stock (incorporated by reference from Exhibit 4.1 to Current Report on Form 8-K/A filed on June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2016).</w:t>
        </w:r>
      </w:hyperlink>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0000EE"/>
        </w:rPr>
        <w:t>Description of Company Securities.++</w:t>
      </w:r>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87">
        <w:r>
          <w:rPr>
            <w:rFonts w:ascii="Times New Roman" w:cs="Times New Roman" w:eastAsia="Times New Roman" w:hAnsi="Times New Roman"/>
            <w:sz w:val="18"/>
            <w:szCs w:val="18"/>
            <w:u w:val="single" w:color="auto"/>
            <w:color w:val="0000EE"/>
          </w:rPr>
          <w:t>Section 382 Tax Benefits Preservation Plan, dated as of June 29, 2023, by and between the Company and Computershare Trust Company, N.A.,</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as Rights Agent (incorporated by reference to Exhibit 4.1 to the Company’s Current Report on Form 8-K filed on June 30, 2023).</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88">
        <w:r>
          <w:rPr>
            <w:rFonts w:ascii="Times New Roman" w:cs="Times New Roman" w:eastAsia="Times New Roman" w:hAnsi="Times New Roman"/>
            <w:sz w:val="18"/>
            <w:szCs w:val="18"/>
            <w:u w:val="single" w:color="auto"/>
            <w:color w:val="0000EE"/>
          </w:rPr>
          <w:t>Indenture, dated December 20, 2024, by and between Ocean Power Technologies, Inc. and U.S. Bank, National Association (incorporated by</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reference to Exhibit 4.1 to the Company’s Current Report on Form 8-K filed on December 20, 2024).</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89">
        <w:r>
          <w:rPr>
            <w:rFonts w:ascii="Times New Roman" w:cs="Times New Roman" w:eastAsia="Times New Roman" w:hAnsi="Times New Roman"/>
            <w:sz w:val="18"/>
            <w:szCs w:val="18"/>
            <w:u w:val="single" w:color="auto"/>
            <w:color w:val="0000EE"/>
          </w:rPr>
          <w:t>First Supplemental Indenture, dated December 20, 2024, by and between Ocean Power Technologies, Inc. and U.S. Bank, National Association</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(incorporated by reference to Exhibit 4.2 to the Company’s Current Report on Form 8-K filed on December 20, 2024).</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90">
        <w:r>
          <w:rPr>
            <w:rFonts w:ascii="Times New Roman" w:cs="Times New Roman" w:eastAsia="Times New Roman" w:hAnsi="Times New Roman"/>
            <w:sz w:val="17"/>
            <w:szCs w:val="17"/>
            <w:u w:val="single" w:color="auto"/>
            <w:color w:val="0000EE"/>
          </w:rPr>
          <w:t>Amended and Restated 2006 Stock Incentive Plan (incorporated by reference from Exhibit A to Proxy Statement filed August 28, 2013).*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1">
        <w:r>
          <w:rPr>
            <w:rFonts w:ascii="Times New Roman" w:cs="Times New Roman" w:eastAsia="Times New Roman" w:hAnsi="Times New Roman"/>
            <w:sz w:val="17"/>
            <w:szCs w:val="17"/>
            <w:u w:val="single" w:color="auto"/>
            <w:color w:val="0000EE"/>
          </w:rPr>
          <w:t>Form of Restricted Stock Agreement Unit (incorporated by reference from Exhibit 10.1 to Form 10-Q filed March 14, 2011).*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92">
        <w:r>
          <w:rPr>
            <w:rFonts w:ascii="Times New Roman" w:cs="Times New Roman" w:eastAsia="Times New Roman" w:hAnsi="Times New Roman"/>
            <w:sz w:val="17"/>
            <w:szCs w:val="17"/>
            <w:u w:val="single" w:color="auto"/>
            <w:color w:val="0000EE"/>
          </w:rPr>
          <w:t>2015 Omnibus Incentive Plan* (incorporated by reference to Annex A to Proxy Statement filed on September 3, 2015).</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93">
        <w:r>
          <w:rPr>
            <w:rFonts w:ascii="Times New Roman" w:cs="Times New Roman" w:eastAsia="Times New Roman" w:hAnsi="Times New Roman"/>
            <w:sz w:val="18"/>
            <w:szCs w:val="18"/>
            <w:u w:val="single" w:color="auto"/>
            <w:color w:val="0000EE"/>
          </w:rPr>
          <w:t>Ocean Power Technologies, Inc. Employment Inducement Incentive Award Plan (incorporated by reference to Exhibit 10.1 to Form 8-K filed</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with the SEC on January 19, 2018).*</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4">
        <w:r>
          <w:rPr>
            <w:rFonts w:ascii="Times New Roman" w:cs="Times New Roman" w:eastAsia="Times New Roman" w:hAnsi="Times New Roman"/>
            <w:sz w:val="17"/>
            <w:szCs w:val="17"/>
            <w:u w:val="single" w:color="auto"/>
            <w:color w:val="0000EE"/>
          </w:rPr>
          <w:t>Form of Restricted Stock Unit Agreement for Employment Inducement Incentive Award Plan (incorporated by reference to Exhibit 10.2 to Form</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8-K filed with the SEC on January 19, 2018).*</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5">
        <w:r>
          <w:rPr>
            <w:rFonts w:ascii="Times New Roman" w:cs="Times New Roman" w:eastAsia="Times New Roman" w:hAnsi="Times New Roman"/>
            <w:sz w:val="18"/>
            <w:szCs w:val="18"/>
            <w:u w:val="single" w:color="auto"/>
            <w:color w:val="0000EE"/>
          </w:rPr>
          <w:t>Contract between Eni S.p.A. and the Company dated March 14, 2018 (incorporated by reference to Exhibit 10.1 to Form 8-K filed with the SEC</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on March 19, 2018). +</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96">
        <w:r>
          <w:rPr>
            <w:rFonts w:ascii="Times New Roman" w:cs="Times New Roman" w:eastAsia="Times New Roman" w:hAnsi="Times New Roman"/>
            <w:sz w:val="18"/>
            <w:szCs w:val="18"/>
            <w:u w:val="single" w:color="auto"/>
            <w:color w:val="0000EE"/>
          </w:rPr>
          <w:t>Contract between Harbour Energy UK Limited and the Company dated June 27, 2018 (incorporated by reference to Exhibit 10.27 to Form 10-K</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filed with the SEC on July 17, 2018).+</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97">
        <w:r>
          <w:rPr>
            <w:rFonts w:ascii="Times New Roman" w:cs="Times New Roman" w:eastAsia="Times New Roman" w:hAnsi="Times New Roman"/>
            <w:sz w:val="18"/>
            <w:szCs w:val="18"/>
            <w:u w:val="single" w:color="auto"/>
            <w:color w:val="0000EE"/>
          </w:rPr>
          <w:t>Amendment to the Employment Agreement of George H. Kirby III (incorporated by reference to Exhibit 10.2 to Form 8-K filed with the SEC on</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July 18, 2018). *</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8">
        <w:r>
          <w:rPr>
            <w:rFonts w:ascii="Times New Roman" w:cs="Times New Roman" w:eastAsia="Times New Roman" w:hAnsi="Times New Roman"/>
            <w:sz w:val="18"/>
            <w:szCs w:val="18"/>
            <w:u w:val="single" w:color="auto"/>
            <w:color w:val="0000EE"/>
          </w:rPr>
          <w:t>Contract between U.S. Navy and the Company dated February 11, 2019 (incorporated by reference to Exhibit 10.2 to Form 10-Q filed with the</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SEC on March 11, 2019).</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9">
        <w:r>
          <w:rPr>
            <w:rFonts w:ascii="Times New Roman" w:cs="Times New Roman" w:eastAsia="Times New Roman" w:hAnsi="Times New Roman"/>
            <w:sz w:val="18"/>
            <w:szCs w:val="18"/>
            <w:u w:val="single" w:color="auto"/>
            <w:color w:val="0000EE"/>
          </w:rPr>
          <w:t>Contract amendment between Harbour Energy UK Limited and the Company dated June 24, 2019 (incorporated by reference to Exhibit 10.1 to</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Form 8-K filed with the SEC on June 25, 2019).+</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00">
        <w:r>
          <w:rPr>
            <w:rFonts w:ascii="Times New Roman" w:cs="Times New Roman" w:eastAsia="Times New Roman" w:hAnsi="Times New Roman"/>
            <w:sz w:val="18"/>
            <w:szCs w:val="18"/>
            <w:u w:val="single" w:color="auto"/>
            <w:color w:val="0000EE"/>
          </w:rPr>
          <w:t>Lease Agreement dated March 31, 2017 between Ocean Power Technologies, Inc. and PPH Industrial 28 Engelhard, LLC (incorporated by</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reference from Exhibit 10.37 to the Company’s Annual Report on Form 10-K filed with the SEC on July 22, 2019).</w:t>
        </w:r>
      </w:hyperlink>
    </w:p>
    <w:p>
      <w:pPr>
        <w:spacing w:after="0" w:line="1" w:lineRule="exact"/>
        <w:rPr>
          <w:sz w:val="20"/>
          <w:szCs w:val="20"/>
          <w:color w:val="auto"/>
        </w:rPr>
      </w:pPr>
    </w:p>
    <w:p>
      <w:pPr>
        <w:ind w:left="780" w:hanging="768"/>
        <w:spacing w:after="0" w:line="26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01">
        <w:r>
          <w:rPr>
            <w:rFonts w:ascii="Times New Roman" w:cs="Times New Roman" w:eastAsia="Times New Roman" w:hAnsi="Times New Roman"/>
            <w:sz w:val="18"/>
            <w:szCs w:val="18"/>
            <w:u w:val="single" w:color="auto"/>
            <w:color w:val="0000EE"/>
          </w:rPr>
          <w:t>Supply and Service Contract between the Company and Empresa Electrica Panguipulli S.A. dated September 19, 2019 (incorporated by</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reference from Exhibit 10.1 to Current Report on Form 8-K filed on September 23, 2019). +</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780" w:hanging="768"/>
        <w:spacing w:after="0" w:line="261"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03">
        <w:r>
          <w:rPr>
            <w:rFonts w:ascii="Times New Roman" w:cs="Times New Roman" w:eastAsia="Times New Roman" w:hAnsi="Times New Roman"/>
            <w:sz w:val="18"/>
            <w:szCs w:val="18"/>
            <w:u w:val="single" w:color="auto"/>
            <w:color w:val="0000EE"/>
          </w:rPr>
          <w:t>Supply and Service Contract between the Company and Enel Green Power Chile LTDA dated September 19, 2019 (incorporated by reference</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from Exhibit 10.2 to Current Report on Form 8-K filed on September 23, 2019). +</w:t>
        </w:r>
      </w:hyperlink>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4">
        <w:r>
          <w:rPr>
            <w:rFonts w:ascii="Times New Roman" w:cs="Times New Roman" w:eastAsia="Times New Roman" w:hAnsi="Times New Roman"/>
            <w:sz w:val="18"/>
            <w:szCs w:val="18"/>
            <w:u w:val="single" w:color="auto"/>
            <w:color w:val="0000EE"/>
          </w:rPr>
          <w:t>Contract amendment between Eni s.P.a. and the Company dated February 28, 2020 (incorporated by reference from Exhibit 10.1 to the</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Company’s Quarterly Report on Form 10-Q filed on March 9, 2020).</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05">
        <w:r>
          <w:rPr>
            <w:rFonts w:ascii="Times New Roman" w:cs="Times New Roman" w:eastAsia="Times New Roman" w:hAnsi="Times New Roman"/>
            <w:sz w:val="18"/>
            <w:szCs w:val="18"/>
            <w:u w:val="single" w:color="auto"/>
            <w:color w:val="0000EE"/>
          </w:rPr>
          <w:t>Subcontract between Ocean Power Technologies, Inc. and Adams Communication &amp; Engineering Technology Inc. dated effective October 20,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2020 (incorporated by reference from Exhibit 10.1 to the Company’s Current Report on Form 8-K filed on October 27, 2020).</w:t>
        </w:r>
      </w:hyperlink>
    </w:p>
    <w:p>
      <w:pPr>
        <w:spacing w:after="0" w:line="9"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06">
        <w:r>
          <w:rPr>
            <w:rFonts w:ascii="Times New Roman" w:cs="Times New Roman" w:eastAsia="Times New Roman" w:hAnsi="Times New Roman"/>
            <w:sz w:val="18"/>
            <w:szCs w:val="18"/>
            <w:u w:val="single" w:color="auto"/>
            <w:color w:val="0000EE"/>
          </w:rPr>
          <w:t>Stock Purchase Agreement among Ocean Power Technologies, Inc. and the sellers named therein dated November 15, 2021 (incorporated by</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reference to Exhibit 10.1 to the Company’s Current Report on Form 8-K filed on November 16, 2021).</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7">
        <w:r>
          <w:rPr>
            <w:rFonts w:ascii="Times New Roman" w:cs="Times New Roman" w:eastAsia="Times New Roman" w:hAnsi="Times New Roman"/>
            <w:sz w:val="18"/>
            <w:szCs w:val="18"/>
            <w:u w:val="single" w:color="auto"/>
            <w:color w:val="0000EE"/>
          </w:rPr>
          <w:t>Employment Letter between the Company and Robert P. Powers dated effective December 13, 2021* (incorporated by reference to Exhibit 10.1</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to the Company’s Current Report on Form 8-K filed on December 13, 2021).</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8">
        <w:r>
          <w:rPr>
            <w:rFonts w:ascii="Times New Roman" w:cs="Times New Roman" w:eastAsia="Times New Roman" w:hAnsi="Times New Roman"/>
            <w:sz w:val="17"/>
            <w:szCs w:val="17"/>
            <w:u w:val="single" w:color="auto"/>
            <w:color w:val="0000EE"/>
          </w:rPr>
          <w:t>Fifth Amendment to 2015 Omnibus Incentive Plan (incorporated by reference to Annex A to Proxy Statement filed on October 15, 2021).</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09">
        <w:r>
          <w:rPr>
            <w:rFonts w:ascii="Times New Roman" w:cs="Times New Roman" w:eastAsia="Times New Roman" w:hAnsi="Times New Roman"/>
            <w:sz w:val="18"/>
            <w:szCs w:val="18"/>
            <w:u w:val="single" w:color="auto"/>
            <w:color w:val="0000EE"/>
          </w:rPr>
          <w:t>First Amendment to the Employment Inducement Incentive Award Plan (incorporated by reference to Exhibit 10.1 to the Company’s Current</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Report on Form 8-K filed on February 11, 2022).</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10">
        <w:r>
          <w:rPr>
            <w:rFonts w:ascii="Times New Roman" w:cs="Times New Roman" w:eastAsia="Times New Roman" w:hAnsi="Times New Roman"/>
            <w:sz w:val="17"/>
            <w:szCs w:val="17"/>
            <w:u w:val="single" w:color="auto"/>
            <w:color w:val="0000EE"/>
          </w:rPr>
          <w:t>Sixth Amendment to the 2015 Omnibus Incentive Plan (incorporated by reference to Annex A to Proxy Statement filed on October 19, 2022).</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1">
        <w:r>
          <w:rPr>
            <w:rFonts w:ascii="Times New Roman" w:cs="Times New Roman" w:eastAsia="Times New Roman" w:hAnsi="Times New Roman"/>
            <w:sz w:val="18"/>
            <w:szCs w:val="18"/>
            <w:u w:val="single" w:color="auto"/>
            <w:color w:val="0000EE"/>
          </w:rPr>
          <w:t>Form of Restricted Stock Unit Agreement for Non-Directors (incorporated by reference to Exhibit 10.1 to the Company’s Quarterly Report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Form 10-Q filed on March 13, 2023).</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2">
        <w:r>
          <w:rPr>
            <w:rFonts w:ascii="Times New Roman" w:cs="Times New Roman" w:eastAsia="Times New Roman" w:hAnsi="Times New Roman"/>
            <w:sz w:val="18"/>
            <w:szCs w:val="18"/>
            <w:u w:val="single" w:color="auto"/>
            <w:color w:val="0000EE"/>
          </w:rPr>
          <w:t>Form of Restricted Stock Unit Agreement for Directors (incorporated by reference to Exhibit 10.2 to the Company’s Quarterly Report on Form</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10-Q filed on March 13, 2023).</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3">
        <w:r>
          <w:rPr>
            <w:rFonts w:ascii="Times New Roman" w:cs="Times New Roman" w:eastAsia="Times New Roman" w:hAnsi="Times New Roman"/>
            <w:sz w:val="18"/>
            <w:szCs w:val="18"/>
            <w:u w:val="single" w:color="auto"/>
            <w:color w:val="0000EE"/>
          </w:rPr>
          <w:t>Form of Non-Qualified Stock Option Agreement (incorporated by reference to Exhibit 10.3 to the Company’s Quarterly Report on Form 10-Q</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filed on March 13, 2023).</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4">
        <w:r>
          <w:rPr>
            <w:rFonts w:ascii="Times New Roman" w:cs="Times New Roman" w:eastAsia="Times New Roman" w:hAnsi="Times New Roman"/>
            <w:sz w:val="18"/>
            <w:szCs w:val="18"/>
            <w:u w:val="single" w:color="auto"/>
            <w:color w:val="0000EE"/>
          </w:rPr>
          <w:t>Contract for Commercial Items between the Company and the National Oceanic and Atmospheric Administration dated September 1, 2023</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(incorporated by reference to Exhibit 10.1 to the Company’s Quarterly Report on Form 10-Q filed on December 13, 2023).</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5">
        <w:r>
          <w:rPr>
            <w:rFonts w:ascii="Times New Roman" w:cs="Times New Roman" w:eastAsia="Times New Roman" w:hAnsi="Times New Roman"/>
            <w:sz w:val="18"/>
            <w:szCs w:val="18"/>
            <w:u w:val="single" w:color="auto"/>
            <w:color w:val="0000EE"/>
          </w:rPr>
          <w:t>Contract for Commercial Items between the Company and the National Oceanic and Atmospheric Administration dated September 1, 2023</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(incorporated by reference to Exhibit 10.2 to the Company’s Quarterly Report on Form 10-Q filed on December 13, 2023).</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4">
        <w:r>
          <w:rPr>
            <w:rFonts w:ascii="Times New Roman" w:cs="Times New Roman" w:eastAsia="Times New Roman" w:hAnsi="Times New Roman"/>
            <w:sz w:val="18"/>
            <w:szCs w:val="18"/>
            <w:u w:val="single" w:color="auto"/>
            <w:color w:val="0000EE"/>
          </w:rPr>
          <w:t>Contract for Commercial Items between the Company and the National Oceanic and Atmospheric Administration dated September 1, 2023</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(incorporated by reference to Exhibit 10.1 to the Company’s Quarterly Report on Form 10-Q filed on December 13, 2023).</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16">
        <w:r>
          <w:rPr>
            <w:rFonts w:ascii="Times New Roman" w:cs="Times New Roman" w:eastAsia="Times New Roman" w:hAnsi="Times New Roman"/>
            <w:sz w:val="18"/>
            <w:szCs w:val="18"/>
            <w:u w:val="single" w:color="auto"/>
            <w:color w:val="0000EE"/>
          </w:rPr>
          <w:t>Sales Agreement between the Company and A.G.P./Alliance Global Partners dated March 21, 2024 (incorporated by reference to Exhibit 10.1 to</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the Company’s Current Report on Form 8-K filed on March 21, 2024).</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17">
        <w:r>
          <w:rPr>
            <w:rFonts w:ascii="Times New Roman" w:cs="Times New Roman" w:eastAsia="Times New Roman" w:hAnsi="Times New Roman"/>
            <w:sz w:val="18"/>
            <w:szCs w:val="18"/>
            <w:u w:val="single" w:color="auto"/>
            <w:color w:val="0000EE"/>
          </w:rPr>
          <w:t>Form of Amended and Restated Common Stock Purchase Agreement, dated as of September 19, 2024 (incorporated by reference to Exhibit 10.1</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to the Company’s Current Report on Form 8-K filed on September 20, 2024.</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18">
        <w:r>
          <w:rPr>
            <w:rFonts w:ascii="Times New Roman" w:cs="Times New Roman" w:eastAsia="Times New Roman" w:hAnsi="Times New Roman"/>
            <w:sz w:val="18"/>
            <w:szCs w:val="18"/>
            <w:u w:val="single" w:color="auto"/>
            <w:color w:val="0000EE"/>
          </w:rPr>
          <w:t>Form of Securities Purchase Agreement, dated as of September 13, 2024 (incorporated by reference to Exhibit 10.2 to the Company’s Quarterly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Report on Form 10-Q filed on September 16, 2024).</w:t>
        </w:r>
      </w:hyperlink>
    </w:p>
    <w:p>
      <w:pPr>
        <w:spacing w:after="0" w:line="1" w:lineRule="exact"/>
        <w:rPr>
          <w:sz w:val="20"/>
          <w:szCs w:val="20"/>
          <w:color w:val="auto"/>
        </w:rPr>
      </w:pPr>
    </w:p>
    <w:p>
      <w:pPr>
        <w:ind w:left="780" w:right="20" w:hanging="768"/>
        <w:spacing w:after="0" w:line="26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19">
        <w:r>
          <w:rPr>
            <w:rFonts w:ascii="Times New Roman" w:cs="Times New Roman" w:eastAsia="Times New Roman" w:hAnsi="Times New Roman"/>
            <w:sz w:val="18"/>
            <w:szCs w:val="18"/>
            <w:u w:val="single" w:color="auto"/>
            <w:color w:val="0000EE"/>
          </w:rPr>
          <w:t>Securities Purchase Agreement dated December 20, 2024 between Ocean Power Technologies, Inc. and the investor signatory thereto</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(incorporated by reference to Exhibit 10.1 to the Company’s Current Report on Form 8-K filed on December 20, 2024).</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ind w:left="780" w:hanging="768"/>
        <w:spacing w:after="0" w:line="261"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21">
        <w:r>
          <w:rPr>
            <w:rFonts w:ascii="Times New Roman" w:cs="Times New Roman" w:eastAsia="Times New Roman" w:hAnsi="Times New Roman"/>
            <w:sz w:val="18"/>
            <w:szCs w:val="18"/>
            <w:u w:val="single" w:color="auto"/>
            <w:color w:val="0000EE"/>
          </w:rPr>
          <w:t>Form of Series A-1 Convertible Note dated December 20, 2024 between Ocean Power Technologies, Inc. issued by Ocean Power Technologies,</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Inc. to the holder (incorporated by reference to Exhibit 10.2 to the Company’s Current Report on Form 8-K filed on December 20, 2024).</w:t>
        </w:r>
      </w:hyperlink>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22">
        <w:r>
          <w:rPr>
            <w:rFonts w:ascii="Times New Roman" w:cs="Times New Roman" w:eastAsia="Times New Roman" w:hAnsi="Times New Roman"/>
            <w:sz w:val="18"/>
            <w:szCs w:val="18"/>
            <w:u w:val="single" w:color="auto"/>
            <w:color w:val="0000EE"/>
          </w:rPr>
          <w:t>Securities Purchase Agreement dated May 15, 2025 between Ocean Power Technologies, Inc. and the investors party thereto (incorporated by</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reference to Exhibit 10.1 to the Company’s Current Report on Form 8-K filed on May 15, 2025).</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23">
        <w:r>
          <w:rPr>
            <w:rFonts w:ascii="Times New Roman" w:cs="Times New Roman" w:eastAsia="Times New Roman" w:hAnsi="Times New Roman"/>
            <w:sz w:val="18"/>
            <w:szCs w:val="18"/>
            <w:u w:val="single" w:color="auto"/>
            <w:color w:val="0000EE"/>
          </w:rPr>
          <w:t>Form of Series B-1 Convertible Note dated May 15, 2025 between Ocean Power Technologies, Inc. issued by Ocean Power Technologies, Inc.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the holder (incorporated by reference to Exhibit 10.2 to the Company’s Current Report on Form 8-K filed on May 15, 2025).</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24">
        <w:r>
          <w:rPr>
            <w:rFonts w:ascii="Times New Roman" w:cs="Times New Roman" w:eastAsia="Times New Roman" w:hAnsi="Times New Roman"/>
            <w:sz w:val="18"/>
            <w:szCs w:val="18"/>
            <w:u w:val="single" w:color="auto"/>
            <w:color w:val="0000EE"/>
          </w:rPr>
          <w:t>Employment Agreement between the Company and Tracy Pagliara dated effective January 16, 2025 (incorporated by reference to Exhibit 10.1</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to the Company’s Current Report on Form 8-K filed on January 21, 2025).</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25">
        <w:r>
          <w:rPr>
            <w:rFonts w:ascii="Times New Roman" w:cs="Times New Roman" w:eastAsia="Times New Roman" w:hAnsi="Times New Roman"/>
            <w:sz w:val="18"/>
            <w:szCs w:val="18"/>
            <w:u w:val="single" w:color="auto"/>
            <w:color w:val="0000EE"/>
          </w:rPr>
          <w:t>Second Amendment to Ocean Power Technologies, Inc. Employment Inducement Incentive Award Plan dated June 3, 2025 (incorporated by</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reference to Exhibit 10.1 to the Company’s Current Report on Form 8-K filed on June 4, 2025).</w:t>
        </w:r>
      </w:hyperlink>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Company Insider Trading Policy.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the registrant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Baker Tilly US, LLP.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EisnerAmper LLP.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Section 906 of Sarbanes-Oxley Act of 2002** ++</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906 of Sarbanes-Oxley Act of 2002** ++</w:t>
      </w:r>
    </w:p>
    <w:p>
      <w:pPr>
        <w:spacing w:after="0" w:line="9" w:lineRule="exact"/>
        <w:rPr>
          <w:sz w:val="20"/>
          <w:szCs w:val="20"/>
          <w:color w:val="auto"/>
        </w:rPr>
      </w:pPr>
    </w:p>
    <w:p>
      <w:pPr>
        <w:jc w:val="both"/>
        <w:ind w:left="780" w:hanging="772"/>
        <w:spacing w:after="0" w:line="250"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Annual Report on Form 10-K for the annual period ended April 30, 2025 and 2024, formatted in eXtensible Business Reporting Language (XBRL): (i) Consolidated Balance Sheets - as of April 30, 2025 and 2024,</w:t>
      </w:r>
    </w:p>
    <w:p>
      <w:pPr>
        <w:jc w:val="both"/>
        <w:ind w:left="780" w:hanging="3"/>
        <w:spacing w:after="0" w:line="265" w:lineRule="auto"/>
        <w:tabs>
          <w:tab w:leader="none" w:pos="1045"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 for the years ended April 30, 2025 and 2024, (iii) Consolidated Statements of Comprehensive Loss - for the years ended April 30, 2025 and 2024, (iv) Consolidated Statements of Shareholders’ Equity - for the years ended April 30, 2025 and 2024</w:t>
      </w:r>
    </w:p>
    <w:p>
      <w:pPr>
        <w:ind w:left="1040" w:hanging="263"/>
        <w:spacing w:after="0"/>
        <w:tabs>
          <w:tab w:leader="none" w:pos="10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for the years ended April 30, 2025 and 2024, (vi) Notes to Consolidated Financial Statements.***</w:t>
      </w:r>
    </w:p>
    <w:p>
      <w:pPr>
        <w:spacing w:after="0" w:line="20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confidential treatment has been requested for this exhibit.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ind w:left="340" w:hanging="8"/>
        <w:spacing w:after="0" w:line="266" w:lineRule="auto"/>
        <w:tabs>
          <w:tab w:leader="none" w:pos="5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10600" w:type="dxa"/>
            <w:vAlign w:val="bottom"/>
            <w:gridSpan w:val="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440" w:type="dxa"/>
            <w:vAlign w:val="bottom"/>
            <w:gridSpan w:val="6"/>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4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5"/>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274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April 30, 2025 and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fiscal years ended April 30,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fiscal years ended April 30, 2025 and 2024</w:t>
            </w:r>
          </w:p>
        </w:tc>
        <w:tc>
          <w:tcPr>
            <w:tcW w:w="3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fiscal years ended April 30,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432"/>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260" w:type="dxa"/>
            <w:vAlign w:val="bottom"/>
            <w:tcBorders>
              <w:top w:val="single" w:sz="8" w:color="CCEEFF"/>
              <w:bottom w:val="single" w:sz="8" w:color="auto"/>
            </w:tcBorders>
            <w:gridSpan w:val="4"/>
          </w:tcPr>
          <w:p>
            <w:pPr>
              <w:jc w:val="center"/>
              <w:ind w:right="3700"/>
              <w:spacing w:after="0"/>
              <w:rPr>
                <w:sz w:val="20"/>
                <w:szCs w:val="20"/>
                <w:color w:val="auto"/>
              </w:rPr>
            </w:pPr>
            <w:r>
              <w:rPr>
                <w:rFonts w:ascii="Times New Roman" w:cs="Times New Roman" w:eastAsia="Times New Roman" w:hAnsi="Times New Roman"/>
                <w:sz w:val="18"/>
                <w:szCs w:val="18"/>
                <w:color w:val="auto"/>
                <w:w w:val="95"/>
              </w:rPr>
              <w:t>F-1</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Ocean Power Technologies, Inc. (and subsidiaries) (the “Company”) as of April 30, 2025, the related consolidated statements of operations, shareholders’ equity and cash flows for the year then ended, and the related notes (collectively referred to as the “consolidated financial statements”). In our opinion, the consolidated financial statements present fairly, in all material respects, the consolidated financial position of the Company as of April 30, 2025, and the consolidated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Ocean Power Technologies, Inc. and Subsidiaries (the “Company”) as of April 30, 2024, and the related consolidated statement of operations, shareholders’ equity, and cash flows for the year then ended, and the related notes (collectively referred to as the “financial statements”). In our opinion, the financial statements present fairly, in all material respects, the consolidated financial position of the Company as of April 30, 2024, and the consolidated results of their operations and their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served as the Company’s auditor from 2020 to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EisnerAmper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 except as to Note 15 which is as of July 24,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April 30, 2025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April 30, 2024</w:t>
            </w:r>
          </w:p>
        </w:tc>
      </w:tr>
      <w:tr>
        <w:trPr>
          <w:trHeight w:val="209"/>
        </w:trPr>
        <w:tc>
          <w:tcPr>
            <w:tcW w:w="6840" w:type="dxa"/>
            <w:vAlign w:val="bottom"/>
            <w:tcBorders>
              <w:top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6,715</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r>
      <w:tr>
        <w:trPr>
          <w:trHeight w:val="21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r>
      <w:tr>
        <w:trPr>
          <w:trHeight w:val="263"/>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tcPr>
          <w:p>
            <w:pPr>
              <w:spacing w:after="0"/>
              <w:rPr>
                <w:sz w:val="22"/>
                <w:szCs w:val="22"/>
                <w:color w:val="auto"/>
              </w:rPr>
            </w:pPr>
          </w:p>
        </w:tc>
      </w:tr>
      <w:tr>
        <w:trPr>
          <w:trHeight w:val="196"/>
        </w:trPr>
        <w:tc>
          <w:tcPr>
            <w:tcW w:w="6840" w:type="dxa"/>
            <w:vAlign w:val="bottom"/>
            <w:shd w:val="clear" w:color="auto" w:fill="CCEEFF"/>
          </w:tcPr>
          <w:p>
            <w:pPr>
              <w:ind w:left="154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 out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 portion</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0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liabilities, less current portion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w:t>
            </w:r>
          </w:p>
        </w:tc>
      </w:tr>
      <w:tr>
        <w:trPr>
          <w:trHeight w:val="210"/>
        </w:trPr>
        <w:tc>
          <w:tcPr>
            <w:tcW w:w="6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300,000,000 and 100,000,000 shares, issued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172,050,563 and 61,352,731 shares, respectively, and outstanding 171,263,086 and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61,264,714 shares,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787,477 and 88,017 shares, respectively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356,588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327,276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(329,090)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(307,579)</w:t>
            </w: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Borders>
              <w:bottom w:val="single" w:sz="8" w:color="CCEEFF"/>
            </w:tcBorders>
          </w:tcPr>
          <w:p>
            <w:pPr>
              <w:spacing w:after="0"/>
              <w:rPr>
                <w:sz w:val="18"/>
                <w:szCs w:val="18"/>
                <w:color w:val="auto"/>
              </w:rPr>
            </w:pPr>
          </w:p>
        </w:tc>
      </w:tr>
      <w:tr>
        <w:trPr>
          <w:trHeight w:val="22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Loss/(Gain) from change in fair value of consideration</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23,346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32,229</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(expense)/income</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disposition of assets (Note 7)</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(loss)/gain</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3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126,913,998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59,031,736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300" w:type="dxa"/>
            <w:vAlign w:val="bottom"/>
          </w:tcPr>
          <w:p>
            <w:pPr>
              <w:spacing w:after="0"/>
              <w:rPr>
                <w:sz w:val="20"/>
                <w:szCs w:val="20"/>
                <w:color w:val="auto"/>
              </w:rPr>
            </w:pPr>
          </w:p>
        </w:tc>
        <w:tc>
          <w:tcPr>
            <w:tcW w:w="16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230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April 30,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56,304,642</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(27,483)</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(27,483)</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 bonus and earnout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2,403,846</w:t>
            </w:r>
          </w:p>
        </w:tc>
        <w:tc>
          <w:tcPr>
            <w:tcW w:w="38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787,498</w:t>
            </w: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Cantor At The Market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55,604</w:t>
            </w:r>
          </w:p>
        </w:tc>
        <w:tc>
          <w:tcPr>
            <w:tcW w:w="38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AGP At The Market offering,</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1,801,141</w:t>
            </w: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(47,103)</w:t>
            </w:r>
          </w:p>
        </w:tc>
        <w:tc>
          <w:tcPr>
            <w:tcW w:w="14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April 30,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61,352,731</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(21,511)</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(21,511)</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4,603</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 bonus and earnout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2,864,808</w:t>
            </w:r>
          </w:p>
        </w:tc>
        <w:tc>
          <w:tcPr>
            <w:tcW w:w="38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2,964,209</w:t>
            </w: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AGP At The Market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Offering, net of issuance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67,980,307</w:t>
            </w:r>
          </w:p>
        </w:tc>
        <w:tc>
          <w:tcPr>
            <w:tcW w:w="38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17,729</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Raise, net of issuance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21,446,079</w:t>
            </w: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net of</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15,442,429</w:t>
            </w:r>
          </w:p>
        </w:tc>
        <w:tc>
          <w:tcPr>
            <w:tcW w:w="38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4,008</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(699,460)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April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172,050,563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(787,477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(21,511)</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discount)/amortization of premium on investments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contingent consideration liability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2,414</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 out payable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Right-of-use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10"/>
        </w:trPr>
        <w:tc>
          <w:tcPr>
            <w:tcW w:w="67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short-term investments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35,975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10"/>
        </w:trPr>
        <w:tc>
          <w:tcPr>
            <w:tcW w:w="678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 withholding related to shares withheld</w:t>
            </w:r>
          </w:p>
        </w:tc>
        <w:tc>
          <w:tcPr>
            <w:tcW w:w="14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(649)</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At The Market offering, net of issuance costs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17,729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Capital Raise, net of issuance costs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8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18"/>
                <w:szCs w:val="18"/>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7,103</w:t>
            </w: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related to bonus and earnout payments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630</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related to conversion of convertible debt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 obtained in exchange for operating lease liability</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Liquidity</w:t>
      </w:r>
    </w:p>
    <w:p>
      <w:pPr>
        <w:spacing w:after="0" w:line="225"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1"/>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holds numerous patents and leverages decades of research including control systems, energy storage, and marine integration. Our headquarters and assembly operations are located in New Jersey, and we maintain an additional manufacturing and our robotics development facility in Richmond, CA.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 is committed to enabling a smarter, safer ocean economy through innovation in ocean intelligence and power. As we look forward, our strategic priorities include expanding our customer base, accelerating technology adoption, enhancing recurring revenue, and driving margin growth through platform scalability and supply chain efficiencies.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Liquidity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fiscal year ended April 30, 2025, the Company incurred net losses of approximately $21.5 million and used cash in operations of approximately $18.6 million. In addition, the Company has continued to make investments to support order backlog and future growth. For the fiscal year ended April 30, 2025 and through the date of filing of this Form 10-K, the Company has obtained additional capital financing through our capital raises with certain investors. Management believes the Company’s current cash, cash equivalents, and restricted cash balances at April 30, 2025 of $6.9 million and future financing including the May 2025 convertible debt proceeds will be sufficient to fund its planned expenditures through July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Basis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Marine Advanced Robotics Inc. (CA), referred to herein as MAR, 3dent Technologies LLC (3Dent), Oregon Wave Energy Partners I LLC (DE), and ReedSport OPT WavePark, LLC (OR). The Ocean Power Technologies Ltd. in the United Kingdom was dissolved on April 22, 2025. ReedSport OPT WavePark, LLC (OR) and Oregon Wave Energy Partners I, LLC (DE) were dissolved during the first quarter of fiscal 2024. 3dent was sold in November 2023 and the consolidated financial statements for the three and nine months ended January 31, 2024 include 3dent’s results of operations for the applicable periods through the date of sale. All significant intercompany balances and transactions have been eliminated in consolidation.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stock-based compensation based on actual and projected revenues, over time revenue recognition, valuation consideration related to business combinations, including contingent consideration based on actual and projected revenues, including discount rates and present values, and other assumptions and estimates used to evaluate the recoverability of long-lived assets, goodwill and other intangible assets. Actual results could differ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Business Combinations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Financial Accounting and Standards Board (“FASB”) Business Combinations (Topic 805).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April 30, 2025 or 2024.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fiscal year ended April 30, 2025 the Company recognized approximately $4.9 million in revenue related to performance obligations satisfied at a point in time and approximately $1.0 million in revenue related to performance obligations satisfied over time. During the fiscal year ended April 30, 2024 the Company recognized approximately $3.7 million in revenue related to performance obligations satisfied at a point in time and approximately $1.9 million in revenue related to performance obligations satisfied over time.</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the fiscal years ended April 30, 2025 and 2024, the majority of the Company’s contracts were classified as firm fixed-price and the remainder were cost-sharing.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As of April 30, 2025, the Company’s remaining performance obligations, also called contracted backlog, totaled $12.5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represents the total revenue recognized under ASC 606 and ASC 842 fiscal years ended April 30,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Fiscal year ended April 30, 2025</w:t>
            </w:r>
          </w:p>
        </w:tc>
        <w:tc>
          <w:tcPr>
            <w:tcW w:w="78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Fiscal year ended April 30, 2024</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ASC 842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9"/>
                <w:szCs w:val="19"/>
                <w:color w:val="auto"/>
              </w:rPr>
            </w:pPr>
          </w:p>
        </w:tc>
      </w:tr>
      <w:tr>
        <w:trPr>
          <w:trHeight w:val="209"/>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thousands)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thousands)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w:t>
            </w: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0"/>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 Restricted Cash, Security Agreements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The Company invests excess cash in a money market account or in short-term investments that are held-to-maturity. The Company had cash and cash equivalents of approximately $6.9 million and $3.3 million as of April 30,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short-term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long-term</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 Inventory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Pr>
          <w:p>
            <w:pPr>
              <w:spacing w:after="0"/>
              <w:rPr>
                <w:sz w:val="16"/>
                <w:szCs w:val="16"/>
                <w:color w:val="auto"/>
              </w:rPr>
            </w:pPr>
          </w:p>
        </w:tc>
      </w:tr>
      <w:tr>
        <w:trPr>
          <w:trHeight w:val="216"/>
        </w:trPr>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6,715</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-599440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260" w:space="720"/>
            <w:col w:w="4260"/>
          </w:cols>
          <w:pgMar w:left="320" w:top="688" w:right="339" w:bottom="1440" w:gutter="0" w:footer="0" w:header="0"/>
          <w:type w:val="continuous"/>
        </w:sectPr>
      </w:pPr>
    </w:p>
    <w:p>
      <w:pPr>
        <w:spacing w:after="0" w:line="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330 (ASC 330), inventory is stated at the lower of cost or net realizable value applicable to goods on hand. Items remain in inventory until they are shipped to the customer, at which time the costs are transferred on a FIFO basis to cost of revenues, or moved to leased assets as applicable, following the matching principle where costs and revenues are recognized in the same period. The Company has three classes of inventory; raw materials, work in process, and finished goods.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established the allowance for credit losses of approximately $100,000. Expected credit losses are written off in the period in which the financial assets are no longer collectible.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terms as long as the customer demonstrates the ability to make the payments. . Generally, invoicing occurs after the services are performed or control of the product has transferred to the customer. Accounts receivable represent an unconditional right to consideration arising from the Company’s performance under contracts with customers.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10"/>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Power Buoy assets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Leased WAM-V assets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 Foreign Exchange Gains and Losses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Transactions denominated in a foreign currency may result in realized and unrealized foreign exchange gains or losses from exchange rate fluctuations, which are included in “Foreign exchange gain” in the accompanying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 Concentration of 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and cash equivalents. The Company believes that its credit risk is limited because the Company’s current contracts are with entities with a reliable and predictable payment history. The Company invests its excess cash in a money market fund and does not believe that it is exposed to any significant risks related to its cash accounts, money market fund, or held-to-maturity investments.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year ended April 30, 2025 and 2024, the Company had three and four customers whose revenue accounted for at least 10% of the Company’s consolidated revenue, respectively. These customers accounted for approximately 53% and 52% of the Company’s total revenue for the respective periods.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 Net Loss per Common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restricted stock units (“RSUs”) issued to employees and non-employee directors, were excluded from the diluted loss per share calculation due to their anti-dilutive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 of Operations, warrants on common stock, options to purchase shares of common stock and unvested RSUs issued to employees and non-employee directors, totaling 24,929,864 and 5,859,072 for the years ended April 30, 2025 and 2024, respectively, were excluded from each of the computations as the effect would have been anti-dilutive due to the net loss for the periods. Share purchase rights, which include a contingency, are not included in the calculation until the contingency is resolved.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 Share-Based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2025 and 2024 was approximately $4.6 million and $1.2 million, respectively. The Company’s policy is to account for forfeitures of share-based compensation as they occur.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upon vesting of RSUs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obligation, the Company maintains those shares in the Company’s treasury stock account. Forfeited shares held in the Company’s treasury stock account are not available for future RSU grants.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Intangibles,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are being amortized over 20, 12 and 10 years respectively, which is consistent with the estimated pattern of economic benefit of the assets. Prior to their disposal during the fiscal year ended April 30, 2024, trade-name and customer relationship intangibles were amortized over 20, 12 and 10 years respectively The trademark is not subject to amortization.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impairment if indicators of potential impairment exist. There was no indication of impairment of intangible assets for the fiscal years ended April 30, 2025 and April 30, 2024. However, in connection with the sale of 3Dent in November of 2023, the trade-name and customer relationships were both expensed fully during the year ended April 30, 2024 under Loss on disposition of assets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 Goodwill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year ended April 30, 2025 and 2024.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fiscal year 2025 and 2024 and determined that it is more likely than not that no goodwill impairment existed as of April 30, 2025 and 2024.</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 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13 for additional disclosure.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monetize their attributes, the Company has historically sold the Net Operating Losses (NOL’s) generated in New Jersey. The Company has elected to recognize the gain on the sale as a component of tax expense at the time of the sale. Prior to the time of sale, the Company has elected to not factor the expected sales when assessing the realizability of the related deferred tax assets.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 Accumulated Other Comprehensive Loss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(Income) Loss within Shareholders’ Equity. For the year ended April 30, 2025 and 2024, there were no amounts recorded to other comprehensive (income) loss due to no longer having any foreign subsidiaries as of April 30, 2025.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 Warranty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include a right of return on its products other than rights related to standard warranty provisions that permit repair or replacement of defective goods. Warranty expense incurred to date has not been material.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 Product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related to research and development activities by the Company are expensed as incurred. The Company had approximately $3.6 million and $7.7 million in product development expense for the year ended April 30, 2025 and 2024, respectively. The year over year decrease related to the completion of the majority of research activities and a transition to a focus on development and enhancements to our existing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 Recent Accounting Standards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Company adopted this standard beginning in fiscal 2025 and all required segment related disclosures will be presented within this Form 10-K and in subsequent interim reports on Form 10-Q. Refer to Note 15 for further discussion.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 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amounts may have been reclassified to conform to the current period’s presentation. This reclassification had no impact on the previously reported net loss or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 Receivable, Contract Assets, and Contract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 from contracts with customers: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Fiscal year ended April 30,</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8"/>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8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to receivables from contract assets recognized</w:t>
            </w:r>
          </w:p>
        </w:tc>
        <w:tc>
          <w:tcPr>
            <w:tcW w:w="350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(768)</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and not billed</w:t>
            </w:r>
          </w:p>
        </w:tc>
        <w:tc>
          <w:tcPr>
            <w:tcW w:w="2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1,745</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assets</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8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F-16</w:t>
            </w: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8" w:name="page89"/>
    <w:bookmarkEnd w:id="8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conditional on completing additional tasks or services for a performance obligation. The increase in contract assets from the prior year is primarily a result of consulting services projects for which revenue was recognized in the prior year yet billed in the current year including two Bill-and-Hold agreements for $529,000. No impairments to contract assets were incurred during the fiscal years ended April 30,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4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5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(2,107)</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1,348</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liabilities</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and collected from customers in excess of revenue recognized. The decrease in contract liabilities from April 30, 2024 is primarily due to recognizing revenue on the DOE Phase II contract for which the Company was paid in prior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our products.</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6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8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3,586</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6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4,222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or to be shipped to a customer. The Company typically ships finished products as they are completed.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consist of the following at April 30, 2025 and 2024:</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6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10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Prepaid project costs</w:t>
            </w: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 materials</w:t>
            </w: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64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property and equipment as of April 30,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WAM-V’s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Leased Buoys</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w:t>
            </w:r>
          </w:p>
        </w:tc>
      </w:tr>
      <w:tr>
        <w:trPr>
          <w:trHeight w:val="223"/>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Leased WAM-V’s represent fixed assets that are associated with underlying operating leases with customers as discussed in revenue recognition section related to ASC 842 (see footnote 1(d) Revenue Recognition).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$771,000 and $420,000 for years ended April 30, 2025 and 2024, respectively. Additionally, the Company disposed of $170,000 in fully depreciated assets that were no longer in use as of April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components of intangible assets, net as of April 30, 2025 and 2024 consisted of the following:</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10"/>
        </w:trPr>
        <w:tc>
          <w:tcPr>
            <w:tcW w:w="44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w:t>
            </w:r>
          </w:p>
        </w:tc>
      </w:tr>
      <w:tr>
        <w:trPr>
          <w:trHeight w:val="223"/>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approximately $132,000 and $148,000 for the years ended April 30, 2025 and 2024, respectively. Trademarks are not subject to amortization.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Additionally, in connection with the sale of 3Dent in November of 2023, the trade-name and customer relationships were both expensed fully during the fiscal year ended April 30, 2024 under Loss on disposition of assets on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in the amount of $8.5 million was recognized in November 2021 related to the acquisition of MAR. There have been no additions to or impairment of goodwill during the years ended April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and 2024, the Company had three and five WAM-V’s, respectively, leased to customers which have been classified as operating leases per accounting guidance contained within ASC Topic 842, “Leases”, respectively. The remaining term on these operating leases is less than 2 years.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In February 2024, the Company extended the lease for its main headquarters in Monroe, NJ to April 30, 2026 and it was executed and recorded as an additional right of use asset and liability. The lease is classified as an operating lease and is included in right-of-use assets, right-of-use liabilities – current, and right-of-use liabilities- long-term on the Company’s Consolidated Balance Sheets.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a lease for office space located in Richmond, California. 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Variable lease expenses, if any, are recorded as incurred. The operating lease expense in the Consolidated Statement of Operations was $1.0 million and $0.7 million for the fiscal year ended April 30, 2025 and 2024, respectively. The operating lease cash flow payments for the year ended April 30, 2025 and 2024 were $994,000 and $745,000,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in the Consolidated Statement of Operations for the fiscal year ended April 30, 2025 and 2024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20" w:type="dxa"/>
            <w:vAlign w:val="bottom"/>
            <w:gridSpan w:val="8"/>
          </w:tcPr>
          <w:p>
            <w:pPr>
              <w:ind w:left="60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r>
      <w:tr>
        <w:trPr>
          <w:trHeight w:val="223"/>
        </w:trPr>
        <w:tc>
          <w:tcPr>
            <w:tcW w:w="118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9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April 30, 2025 is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1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28"/>
        </w:trPr>
        <w:tc>
          <w:tcPr>
            <w:tcW w:w="11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gridSpan w:val="2"/>
          </w:tcPr>
          <w:p>
            <w:pPr>
              <w:spacing w:after="0"/>
              <w:rPr>
                <w:sz w:val="19"/>
                <w:szCs w:val="19"/>
                <w:color w:val="auto"/>
              </w:rPr>
            </w:pPr>
          </w:p>
        </w:tc>
      </w:tr>
      <w:tr>
        <w:trPr>
          <w:trHeight w:val="198"/>
        </w:trPr>
        <w:tc>
          <w:tcPr>
            <w:tcW w:w="11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6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r>
      <w:tr>
        <w:trPr>
          <w:trHeight w:val="209"/>
        </w:trPr>
        <w:tc>
          <w:tcPr>
            <w:tcW w:w="118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Right-of-use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Right-of-use liabilities- long-term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Times New Roman" w:cs="Times New Roman" w:eastAsia="Times New Roman" w:hAnsi="Times New Roman"/>
          <w:sz w:val="18"/>
          <w:szCs w:val="18"/>
          <w:color w:val="auto"/>
        </w:rPr>
        <w:t>1,150</w:t>
      </w:r>
    </w:p>
    <w:p>
      <w:pPr>
        <w:spacing w:after="0" w:line="9"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3462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1,799</w:t>
      </w:r>
    </w:p>
    <w:p>
      <w:pPr>
        <w:spacing w:after="0" w:line="34" w:lineRule="exact"/>
        <w:rPr>
          <w:sz w:val="20"/>
          <w:szCs w:val="20"/>
          <w:color w:val="auto"/>
        </w:rPr>
      </w:pPr>
    </w:p>
    <w:p>
      <w:pPr>
        <w:sectPr>
          <w:pgSz w:w="11900" w:h="16838" w:orient="portrait"/>
          <w:cols w:equalWidth="0" w:num="2">
            <w:col w:w="8240" w:space="720"/>
            <w:col w:w="228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 years</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32"/>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0" w:type="dxa"/>
            <w:vAlign w:val="bottom"/>
          </w:tcPr>
          <w:p>
            <w:pPr>
              <w:spacing w:after="0"/>
              <w:rPr>
                <w:sz w:val="1"/>
                <w:szCs w:val="1"/>
                <w:color w:val="auto"/>
              </w:rPr>
            </w:pPr>
          </w:p>
        </w:tc>
      </w:tr>
      <w:tr>
        <w:trPr>
          <w:trHeight w:val="228"/>
        </w:trPr>
        <w:tc>
          <w:tcPr>
            <w:tcW w:w="8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9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type w:val="continuous"/>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 at April 30, 2025 and 2024:</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204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6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1,271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 Plans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Most recently in January 2025, the shareholders approved an amendment and restatement of the 2015 Plan to, among other things, provide an aggregate increase to the 2015 Plan of 20,000,000 shares resulting in total shares authorized for issuance of 27,282,036 as of April 30, 2025, based on 7,282,036 available before the amendment. The 2015 Plan will now terminate in January 2035, but is subject to earlier termination as provided in the 2015 Plan.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On February 9, 2022, the 2018 Inducement Plan was amended to increase the authorized shares by 250,000 to 275,000.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is based on the Company’s historical volatility over the expected life of the stock option granted. The Company did not grant any stock options during the periods ended April 30, 2025 and 2024,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734,543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(251,201)</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483,342</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as of April 30, 2025</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bottom w:val="single" w:sz="8" w:color="CCEEFF"/>
            </w:tcBorders>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2.85</w:t>
            </w:r>
          </w:p>
        </w:tc>
        <w:tc>
          <w:tcPr>
            <w:tcW w:w="17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425,440</w:t>
            </w: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2025, the total intrinsic value of outstanding and exercisable options was zero. As of April 30, 2025, approximately 58,000 additional options were unvested, which had an intrinsic value of zero and a weighted average remaining contractual term of 7.7 years. There was approximately $47,000 and $82,000 of total recognized compensation cost related to stock options during each of the fiscal year ended April 30, 2025 and 2024, respectively. As of April 30, 2025, there was approximately $26,000 of total unrecognized compensation cost related to non-vested stock options granted under the plans. This cost is expected to be recognized over a weighted-average period of 0.7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30, 2025 and 2024 there were no performance stock units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for restricted stock units (“RSUs”) is generally recorded based on the market value on the date of grant and recognized ratably over the associated service and performance period. During the years ended April 30, 2025 and 2024, the Company granted 21,079,453 and 4,439,257 shares, respectively, subject to service-based, performance, and market condition vesting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summary of unvested restricted stock units under our stock incentive plans is as follows:</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Average Price per</w:t>
            </w:r>
          </w:p>
        </w:tc>
      </w:tr>
      <w:tr>
        <w:trPr>
          <w:trHeight w:val="238"/>
        </w:trPr>
        <w:tc>
          <w:tcPr>
            <w:tcW w:w="6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at April 30, 2024</w:t>
            </w: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5,124,529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21,079,453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(2,964,280)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(778,069)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at April 30, 2025</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22,461,633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approximately $4.6 million and $1.0 million of total recognized compensation cost related to restricted stock units for the years ended April 30, 2025 and 2024, respectively. As of April 30, 2025, there was $15.2 million of unrecognized compensation cost remaining related to unvested restricted stock granted under our plans. This cost is expected to be recognized over a weighted-average period of 1.6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Company has the ability to access at the measurement date.</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the asset or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either of the fiscal years ended April 30,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Loss before income taxes for the years ended April 30, 2025 and 2024 consisted of the following components: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(22,545)</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income tax benefit for the years ended April 30, 2025 and 2024 consisted of $1.0 million and $1.3 million, respectively, from the sale of New Jersey net operating losses and research and development credits.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Rate Reconciliation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differed from the percentages computed by applying the U.S. federal income tax rate for the periods ended April 30, 2025 and 2024 to loss before income taxes as a result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220" w:type="dxa"/>
            <w:vAlign w:val="bottom"/>
            <w:tcBorders>
              <w:bottom w:val="single" w:sz="8" w:color="CCEEFF"/>
            </w:tcBorders>
          </w:tcPr>
          <w:p>
            <w:pPr>
              <w:spacing w:after="0"/>
              <w:rPr>
                <w:sz w:val="20"/>
                <w:szCs w:val="20"/>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(21.0)%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of sale of New Jersey tax benefits</w:t>
            </w:r>
          </w:p>
        </w:tc>
        <w:tc>
          <w:tcPr>
            <w:tcW w:w="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Expiration of net operating loss due to dissolution of subsidiary</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8.8%</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expiration of net operating loss</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6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5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5"/>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6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Deferred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the Company’s deferred tax assets and deferred tax liabilities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52,496</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48,745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operating loss carryforwards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New Jersey research and development tax credits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experimentation expenses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9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9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969</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(788)</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F-24</w:t>
            </w:r>
          </w:p>
        </w:tc>
        <w:tc>
          <w:tcPr>
            <w:tcW w:w="1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the deferred tax assets will not be realized. The ultimate realization of deferred tax assets is dependent upon the generation of future taxable income during the periods in which those temporary differences and carry forwards become deductible or are utilized. As of April 30, 2025 and 2024, based upon the level of historical taxable losses, valuation allowances of $62.2 million and $60.3 million, respectively, were recorded to fully offset deferred tax assets. The valuation allowance increased $1.9 million during the year ended April 30, 2025 and increased $5.7 million during the year ended 2024 respectively, due to continuing net operating losses.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April 30, 2025, the Company had net operating loss carry forwards for federal income tax purposes of approximately $250.0 million, which begin to expire in fiscal 2026; $116.2 million of the federal carryforward has no expiration, but the deductibility of such federal net operating losses may be limited to 80% of our taxable income in future years. The Company also had federal research and development tax credit carry forwards of approximately $5.2 million as of April 30, 2025, which begins to expire in 2026. The Tax Reform Act of 1986 contains provisions that limit the utilization of net operating loss and tax credit carry forwards if there has been an ownership change, as defined. The Company has determined that as a result of multiple ownership changes, as described in Section 382 of the Internal Revenue Code, its ability to utilize these NOL’s and research and development tax credit have been significantly limited.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of April 30, 2025, the Company had state net operating loss carry forwards of approximately $28.3 million which begin to expire in 2042, which also may be limited to utilization limitations. Further, as of April 30, 2025, the Company dissolved their UK subsidiary, Ocean Power Technologies Ltd., and thus have written off their outstanding net operating losses. The ability to utilize these carry forwards may also be limited due to ownership changes.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sold New Jersey State net operating losses and research development credits under the New Jersey Economic Development Authority Tax Transfer programs, which has resulted in $1.0 million and $1.3 million of tax benefit related to the fiscal year ended April 30, 2025 and 2024, respectively, from the sale of New Jersey net operating losses and research and development credits. New Jersey-based technology or biotechnology companies with fewer than 225 US employees may be eligible to sell net operating losses and research and development tax credits to unaffiliated corporations, up to a maximum lifetime benefit of $20.0 million per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2025 and 2024, the Company had no other unrecognized tax positions. The Company does not expect any material increase or decrease in its income tax expense in the next fiscal year, related to examinations or uncertain tax positions. Net operating loss and credit carry forwards since inception remain open to examination by taxing authorities and will continue to remain open for a period after utilization.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interest or penalties accrued related to uncertain tax positions as it does not have any unrecognized tax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Paragon Technologies, Inc.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10, 2023, Paragon Technologies, Inc. filed a complaint in the Court of Chancery of the State of 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fees and costs at that stage, which was material to FY’ 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On February 28, 2024, the Company successfully finalized its 2023 annual meeting of stockholders in spite of Paragon’s repeated attempts to contest the meeting. In an August 12, 2024 Press Release and its Form 10-Q report for the second quarter of 2024, Paragon announced that it was no longer pursuing litigation against the Company. Pursuant to a Court order dated January 9, 2025, Paragon was required “to file a status report within 30 days. Otherwise, the case will be dismissed under Rule 41(e).” Because Paragon did not file a status report by February 10, 2025, the Company anticipates that the Court will dismiss the case, with prejudice, due to Paragon’s failure to prosecute.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220 Demand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the Company received a shareholder demand under Section 220 of the General Corporation Law of the State of Delaware for inspection of certain books and records relating to prior equity grants made to officers and directors under the 2015 Plan in January 2023, February 2024 and January 2025. The Company has produced to the Plaintiff documents fully responsive to the Demand. The Company is reviewing and considering the demand and engaging with counsel for the shareholder but has not recorded any material liability for these matters as of April 30, 2025 as it cannot estimate the ultimate outcome at this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Legal Matters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97" w:name="page98"/>
    <w:bookmarkEnd w:id="97"/>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(the “CODM”) is its Chief Executive Officer, who reviews financial information on a consolidated basis and utilizes net loss for purposes of making operating decisions, assessing financial performance of the consolidated Company, and making resource allocation decisions. The CODM also reviews total assets. While assets may move throughout the world to support our revenue projects, for reporting purposes they are included in North America total assets. Revenue and expenses are generally attributed to the operating unit that bills the customers. Geographic information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Year Ended April 30, 2025</w:t>
            </w: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1460" w:type="dxa"/>
            <w:vAlign w:val="bottom"/>
            <w:gridSpan w:val="2"/>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North &amp; South</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ind w:left="440"/>
              <w:spacing w:after="0" w:line="191" w:lineRule="exact"/>
              <w:rPr>
                <w:sz w:val="20"/>
                <w:szCs w:val="20"/>
                <w:color w:val="auto"/>
              </w:rPr>
            </w:pPr>
            <w:r>
              <w:rPr>
                <w:rFonts w:ascii="Times New Roman" w:cs="Times New Roman" w:eastAsia="Times New Roman" w:hAnsi="Times New Roman"/>
                <w:sz w:val="18"/>
                <w:szCs w:val="18"/>
                <w:color w:val="auto"/>
              </w:rPr>
              <w:t>Asia and</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America</w:t>
            </w:r>
          </w:p>
        </w:tc>
        <w:tc>
          <w:tcPr>
            <w:tcW w:w="3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Europe</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Australia</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1,888</w:t>
            </w:r>
          </w:p>
        </w:tc>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118</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(22,835)</w:t>
            </w:r>
          </w:p>
        </w:tc>
        <w:tc>
          <w:tcPr>
            <w:tcW w:w="3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467</w:t>
            </w:r>
          </w:p>
        </w:tc>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3,444</w:t>
            </w:r>
          </w:p>
        </w:tc>
        <w:tc>
          <w:tcPr>
            <w:tcW w:w="3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30,793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30,793</w:t>
            </w:r>
          </w:p>
        </w:tc>
      </w:tr>
      <w:tr>
        <w:trPr>
          <w:trHeight w:val="446"/>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Year Ended April 30, 2024</w:t>
            </w: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200" w:type="dxa"/>
            <w:vAlign w:val="bottom"/>
          </w:tcPr>
          <w:p>
            <w:pPr>
              <w:spacing w:after="0"/>
              <w:rPr>
                <w:sz w:val="16"/>
                <w:szCs w:val="16"/>
                <w:color w:val="auto"/>
              </w:rPr>
            </w:pPr>
          </w:p>
        </w:tc>
        <w:tc>
          <w:tcPr>
            <w:tcW w:w="1460" w:type="dxa"/>
            <w:vAlign w:val="bottom"/>
            <w:gridSpan w:val="2"/>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North &amp; South</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ind w:left="440"/>
              <w:spacing w:after="0" w:line="191" w:lineRule="exact"/>
              <w:rPr>
                <w:sz w:val="20"/>
                <w:szCs w:val="20"/>
                <w:color w:val="auto"/>
              </w:rPr>
            </w:pPr>
            <w:r>
              <w:rPr>
                <w:rFonts w:ascii="Times New Roman" w:cs="Times New Roman" w:eastAsia="Times New Roman" w:hAnsi="Times New Roman"/>
                <w:sz w:val="18"/>
                <w:szCs w:val="18"/>
                <w:color w:val="auto"/>
              </w:rPr>
              <w:t>Asia and</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America</w:t>
            </w:r>
          </w:p>
        </w:tc>
        <w:tc>
          <w:tcPr>
            <w:tcW w:w="3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Europe</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Australia</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5,278</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w:t>
            </w:r>
          </w:p>
        </w:tc>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(29,548)</w:t>
            </w:r>
          </w:p>
        </w:tc>
        <w:tc>
          <w:tcPr>
            <w:tcW w:w="3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w:t>
            </w:r>
          </w:p>
        </w:tc>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(29,331)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3,443</w:t>
            </w:r>
          </w:p>
        </w:tc>
        <w:tc>
          <w:tcPr>
            <w:tcW w:w="3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28,704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and its significant segment expenses for the years ended April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5,861</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5,525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2,699</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5,027</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Employee-related costs</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11,045</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consulting and contractor fees</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4,705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9,024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3,829</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costs</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3"/>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Savings &amp; Retirement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offers a 401(k) Savings &amp; Retirement Plan to eligible employees meeting certain age and service requirements. This plan permits participants to contribute 100% of their salary, up to the maximum allowable by the Internal Revenue Service regulations. Participants are immediately vested in their voluntary contributions plus actual earnings or less actual losses thereon. Participants are eligible to participate in the Company match after one year of service and are fully vested in the Company match after two years of service.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matches employee contributions dollar for dollar up to the first 3% and fifty cents on the dollar for each additional 1% up to 9% for a maximum match contribution of 6%. The aggregate employer 401(k) match expense recorded in the Consolidated Statements of Operations for the years ended April 30, 2025 and 2024 was approximately $0.2 million and $0.3 million,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also provide for a voluntary contribution to the plan which is approved by the Company’s Board of Directors on an annual basis. All participants immediately vest on the date of distribution.</w:t>
      </w:r>
    </w:p>
    <w:p>
      <w:pPr>
        <w:spacing w:after="0" w:line="158" w:lineRule="exact"/>
        <w:rPr>
          <w:sz w:val="20"/>
          <w:szCs w:val="20"/>
          <w:color w:val="auto"/>
        </w:rPr>
      </w:pPr>
    </w:p>
    <w:p>
      <w:pPr>
        <w:ind w:right="9220" w:firstLine="8"/>
        <w:spacing w:after="0" w:line="532" w:lineRule="auto"/>
        <w:tabs>
          <w:tab w:leader="none" w:pos="345"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Convertible Note Issuance</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2025, the Company issued a $10.0 million unsecured convertible promissory note (“Notes”) to an institutional investor under its shelf registration statement on Form S-3. The Notes will not bear interest except that upon the occurrence and during the continuance of an event of default, interest will accrue on the Notes at an interest rate of 13% per annum. Unless earlier converted or redeemed, the Notes will mature on the twenty-four</w:t>
      </w:r>
    </w:p>
    <w:p>
      <w:pPr>
        <w:sectPr>
          <w:pgSz w:w="11900" w:h="16913" w:orient="portrait"/>
          <w:cols w:equalWidth="0" w:num="1">
            <w:col w:w="11240"/>
          </w:cols>
          <w:pgMar w:left="320" w:top="684" w:right="339" w:bottom="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18"/>
          <w:szCs w:val="18"/>
          <w:color w:val="auto"/>
        </w:rPr>
        <w:t>month anniversary of the issuance date at a premium of 13% to the face value of the Notes (the “Redemption Value”). At any time after the issuance date, the Notes are convertible, in whole or in part, and subject to certain beneficial ownership limitations, at the option of the holders, into shares of our common stock at a conversion price equal to $0.68 (the “Fixed Conversion Price”). The Fixed Conversion Price is subject to customary adjustments upon any stock split, stock dividend, stock combination, recapitalization or similar events. Starting on the closing date, the Notes amortize in installments, and we will make monthly payments on the first trading day of each monthly anniversary commencing on the closing date through the maturity date, payable in cash or shares of common stock. Upon the satisfaction of certain conditions, we may prepay outstanding Notes upon not less than 20 trading days’ written notice by paying an amount equal to the portion of the Notes being redeemed at a 12.5% premium. The Notes will rank senior to the right to payment of the holders of our unsecured debt. Net proceeds will be used for working capital and general corporate purposes. As of July 21, 2025 approximately $2 million of the original $10.0 million of the Notes have been converted into common equity shares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Update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was enacted, introducing significant and wide-ranging changes to the U.S. tax system. These include expanded deductions for certain expenses, the restoration of 100% bonus depreciation, expanded opportunity zones, and immediate expensing for U.S.-based research and development. The legislation also reinstates EBITDA-based interest deductions and makes several business tax incentives permanent.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assessing the potential impact of this legislation on its future financial position, results of operations, and cash flows. In accordance with U.S. GAAP, the effects will be recognized in the period of enactment.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par value $0.001 per share, and 5,000,000 shares of preferred stock, par value $0.001 per share, 100,000 of which are designated as Series A Participating Preferred Stock which may be issued upon the exercise of the preferred stock purchase rights described below under “Section 382 Tax Benefits Preservation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that may be declared by our Board,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preferential dividend rights of outstanding preferred stock.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 and Distribution</w:t>
      </w:r>
      <w:r>
        <w:rPr>
          <w:rFonts w:ascii="Times New Roman" w:cs="Times New Roman" w:eastAsia="Times New Roman" w:hAnsi="Times New Roman"/>
          <w:sz w:val="18"/>
          <w:szCs w:val="18"/>
          <w:color w:val="auto"/>
        </w:rPr>
        <w:t>. Upon our liquidation, dissolution or winding up, the holders of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shareholders.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ind w:left="40" w:firstLine="612"/>
        <w:spacing w:after="0" w:line="282" w:lineRule="auto"/>
        <w:rPr>
          <w:sz w:val="20"/>
          <w:szCs w:val="20"/>
          <w:color w:val="auto"/>
        </w:rPr>
      </w:pPr>
      <w:r>
        <w:rPr>
          <w:rFonts w:ascii="Times New Roman" w:cs="Times New Roman" w:eastAsia="Times New Roman" w:hAnsi="Times New Roman"/>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 Special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382 Tax Benefits Preservation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tax benefits preservation plan, OPT will distribute to its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the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and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0"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or other distributions;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Share Ownership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Its address is 250 Royall Street, Canton, MA 02021-1011, and its telephone number is 1-800-662-7232.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2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Advanced Robotics, Inc.</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86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333-261240, No. 333-275843, No. 333-273044 and No. 333-281283) and Form S-8 (No. 333-208522, No. 333-214316, No. 333-224436, No. 333-232755, No. 333-252372, No. 333-262684, No. 333-269344, No. 333-277728, No. 333-284643 and No. 333-288874) of Ocean Power Technologies, Inc. (the “Company”), of our report dated July 24, 2025, relating to the fiscal year ended April 30, 2025 consolidated financial statements of the Company, appearing in this Annual Report on Form 10-K of the Company for the year ended April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Ocean Power Technologies, Inc. on Form S-3 (Nos. 333-275843, 333-273044, and 333-281283) and Form S-8 (Nos. 333-208522, 333-214316, 333-224436, 333-232755, 333-252372, 333-262684, 333-269344, 333-277728, 333-284643, and 333-288874) of our report dated July 25, 2024, except for Note 15 as to which the date is July 24, 2025, on our audit of the financial statements as of April 30, 2024 and for the year then ended, which report is included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EisnerAmper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EISNERAMPER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Philipp Statman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Ocean Power Technologies, Inc. (the “Company”) for the year ended April 30, 2025 as filed with the Securities and Exchange Commission on the date hereof (the “Report”), the undersigned, Philipp Stratmann, Chief Executive Officer of the Company, hereby certifies, pursuant to 18 U.S.C. Section 1350, that:</w:t>
      </w:r>
    </w:p>
    <w:p>
      <w:pPr>
        <w:spacing w:after="0" w:line="176"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Ocean Power Technologies, Inc. (the “Company”) for the year ended April 30, 2025 as filed with the Securities and Exchange Commission on the date hereof (the “Report”), the undersigned, Robert Powers, Senior Vice President, Chief Financial Officer of the Company, hereby certifies, pursuant to 18 U.S.C. Section 1350, that:</w:t>
      </w:r>
    </w:p>
    <w:p>
      <w:pPr>
        <w:spacing w:after="0" w:line="176"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lvl w:ilvl="1">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lowerRoman"/>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4"/>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lowerRoman"/>
      <w:start w:val="2"/>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decimal"/>
      <w:start w:val="101"/>
    </w:lvl>
    <w:lvl w:ilvl="1">
      <w:lvlJc w:val="left"/>
      <w:lvlText w:val="+"/>
      <w:numFmt w:val="bullet"/>
      <w:start w:val="1"/>
    </w:lvl>
    <w:lvl w:ilvl="2">
      <w:lvlJc w:val="left"/>
      <w:lvlText w:val="(%3)"/>
      <w:numFmt w:val="lowerRoman"/>
      <w:start w:val="2"/>
    </w:lvl>
  </w:abstractNum>
  <w:abstractNum w:abstractNumId="50">
    <w:nsid w:val="47398C89"/>
    <w:multiLevelType w:val="hybridMultilevel"/>
    <w:lvl w:ilvl="0">
      <w:lvlJc w:val="left"/>
      <w:lvlText w:val="%1"/>
      <w:numFmt w:val="decimal"/>
      <w:start w:val="1"/>
    </w:lvl>
    <w:lvl w:ilvl="1">
      <w:lvlJc w:val="left"/>
      <w:lvlText w:val="+"/>
      <w:numFmt w:val="bullet"/>
      <w:start w:val="1"/>
    </w:lvl>
    <w:lvl w:ilvl="2">
      <w:lvlJc w:val="left"/>
      <w:lvlText w:val="(%3)"/>
      <w:numFmt w:val="lowerRoman"/>
      <w:start w:val="5"/>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lvl w:ilvl="1">
      <w:lvlJc w:val="left"/>
      <w:lvlText w:val="(%2)"/>
      <w:numFmt w:val="lowerLetter"/>
      <w:start w:val="1"/>
    </w:lvl>
  </w:abstractNum>
  <w:abstractNum w:abstractNumId="54">
    <w:nsid w:val="D34B6A8"/>
    <w:multiLevelType w:val="hybridMultilevel"/>
    <w:lvl w:ilvl="0">
      <w:lvlJc w:val="left"/>
      <w:lvlText w:val="(%1)"/>
      <w:numFmt w:val="decimal"/>
      <w:start w:val="17"/>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decimal"/>
      <w:start w:val="5"/>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5"/>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02" Type="http://schemas.openxmlformats.org/officeDocument/2006/relationships/image" Target="media/image71.png"/><Relationship Id="rId120"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78" Type="http://schemas.openxmlformats.org/officeDocument/2006/relationships/hyperlink" Target="https://www.sec.gov/Archives/edgar/data/1378140/000095012307012637/y39497exv3w1.txt" TargetMode="External"/><Relationship Id="rId79" Type="http://schemas.openxmlformats.org/officeDocument/2006/relationships/hyperlink" Target="https://www.sec.gov/Archives/edgar/data/1378140/000143774915018957/ex3-1.htm" TargetMode="External"/><Relationship Id="rId80" Type="http://schemas.openxmlformats.org/officeDocument/2006/relationships/hyperlink" Target="https://www.sec.gov/Archives/edgar/data/1378140/000143774916040048/ex3-1.htm" TargetMode="External"/><Relationship Id="rId81" Type="http://schemas.openxmlformats.org/officeDocument/2006/relationships/hyperlink" Target="https://www.sec.gov/Archives/edgar/data/1378140/000149315218017201/ex3-1.htm" TargetMode="External"/><Relationship Id="rId82" Type="http://schemas.openxmlformats.org/officeDocument/2006/relationships/hyperlink" Target="https://www.sec.gov/Archives/edgar/data/1378140/000149315219003045/ex3-1.htm" TargetMode="External"/><Relationship Id="rId83" Type="http://schemas.openxmlformats.org/officeDocument/2006/relationships/hyperlink" Target="https://www.sec.gov/Archives/edgar/data/1378140/000149315223023117/ex3-1.htm" TargetMode="External"/><Relationship Id="rId84" Type="http://schemas.openxmlformats.org/officeDocument/2006/relationships/hyperlink" Target="https://www.sec.gov/Archives/edgar/data/1378140/000149315224026337/ex3-1.htm" TargetMode="External"/><Relationship Id="rId85" Type="http://schemas.openxmlformats.org/officeDocument/2006/relationships/hyperlink" Target="https://www.sec.gov/Archives/edgar/data/1378140/000149315223025878/ex4-1.htm" TargetMode="External"/><Relationship Id="rId86" Type="http://schemas.openxmlformats.org/officeDocument/2006/relationships/hyperlink" Target="https://www.sec.gov/Archives/edgar/data/1378140/000143774916033412/ex4-1.htm" TargetMode="External"/><Relationship Id="rId87" Type="http://schemas.openxmlformats.org/officeDocument/2006/relationships/hyperlink" Target="https://www.sec.gov/Archives/edgar/data/1378140/000149315223023008/ex4-1.htm" TargetMode="External"/><Relationship Id="rId88" Type="http://schemas.openxmlformats.org/officeDocument/2006/relationships/hyperlink" Target="https://www.sec.gov/Archives/edgar/data/1378140/000149315224050911/ex4-1.htm" TargetMode="External"/><Relationship Id="rId89" Type="http://schemas.openxmlformats.org/officeDocument/2006/relationships/hyperlink" Target="https://www.sec.gov/Archives/edgar/data/1378140/000149315224050911/ex4-2.htm" TargetMode="External"/><Relationship Id="rId90" Type="http://schemas.openxmlformats.org/officeDocument/2006/relationships/hyperlink" Target="https://www.sec.gov/Archives/edgar/data/1378140/000143774913011400/optt20130826_def14a.htm" TargetMode="External"/><Relationship Id="rId91" Type="http://schemas.openxmlformats.org/officeDocument/2006/relationships/hyperlink" Target="https://www.sec.gov/Archives/edgar/data/1378140/000095012311025230/c14079exv10w1.htm" TargetMode="External"/><Relationship Id="rId92" Type="http://schemas.openxmlformats.org/officeDocument/2006/relationships/hyperlink" Target="https://www.sec.gov/Archives/edgar/data/1378140/000143774915016806/optt20150901_def14a.htm" TargetMode="External"/><Relationship Id="rId93" Type="http://schemas.openxmlformats.org/officeDocument/2006/relationships/hyperlink" Target="https://www.sec.gov/Archives/edgar/data/1378140/000149315218000778/ex10-1.htm" TargetMode="External"/><Relationship Id="rId94" Type="http://schemas.openxmlformats.org/officeDocument/2006/relationships/hyperlink" Target="https://www.sec.gov/Archives/edgar/data/1378140/000149315218000778/ex10-2.htm" TargetMode="External"/><Relationship Id="rId95" Type="http://schemas.openxmlformats.org/officeDocument/2006/relationships/hyperlink" Target="https://www.sec.gov/Archives/edgar/data/1378140/000149315218003541/ex10-1.htm" TargetMode="External"/><Relationship Id="rId96" Type="http://schemas.openxmlformats.org/officeDocument/2006/relationships/hyperlink" Target="https://www.sec.gov/Archives/edgar/data/1378140/000149315218010086/ex10-27.htm" TargetMode="External"/><Relationship Id="rId97" Type="http://schemas.openxmlformats.org/officeDocument/2006/relationships/hyperlink" Target="https://www.sec.gov/Archives/edgar/data/1378140/000149315218010119/ex10-2.htm" TargetMode="External"/><Relationship Id="rId98" Type="http://schemas.openxmlformats.org/officeDocument/2006/relationships/hyperlink" Target="https://www.sec.gov/Archives/edgar/data/1378140/000149315219003082/ex10-2.htm" TargetMode="External"/><Relationship Id="rId99" Type="http://schemas.openxmlformats.org/officeDocument/2006/relationships/hyperlink" Target="https://www.sec.gov/Archives/edgar/data/1378140/000149315219009701/ex10-1.htm" TargetMode="External"/><Relationship Id="rId100" Type="http://schemas.openxmlformats.org/officeDocument/2006/relationships/hyperlink" Target="https://www.sec.gov/Archives/edgar/data/1378140/000149315219010930/ex10-37.htm" TargetMode="External"/><Relationship Id="rId101" Type="http://schemas.openxmlformats.org/officeDocument/2006/relationships/hyperlink" Target="https://www.sec.gov/Archives/edgar/data/1378140/000149315219014434/ex10-1.htm" TargetMode="External"/><Relationship Id="rId103" Type="http://schemas.openxmlformats.org/officeDocument/2006/relationships/hyperlink" Target="https://www.sec.gov/Archives/edgar/data/1378140/000149315219014434/ex10-2.htm" TargetMode="External"/><Relationship Id="rId104" Type="http://schemas.openxmlformats.org/officeDocument/2006/relationships/hyperlink" Target="https://www.sec.gov/Archives/edgar/data/1378140/000149315220003608/ex10-1.htm" TargetMode="External"/><Relationship Id="rId105" Type="http://schemas.openxmlformats.org/officeDocument/2006/relationships/hyperlink" Target="https://www.sec.gov/Archives/edgar/data/1378140/000149315220019983/ex10-1.htm" TargetMode="External"/><Relationship Id="rId106" Type="http://schemas.openxmlformats.org/officeDocument/2006/relationships/hyperlink" Target="https://www.sec.gov/Archives/edgar/data/1378140/000149315221028854/ex10-1.htm" TargetMode="External"/><Relationship Id="rId107" Type="http://schemas.openxmlformats.org/officeDocument/2006/relationships/hyperlink" Target="https://www.sec.gov/Archives/edgar/data/1378140/000149315221031190/ex10-1.htm" TargetMode="External"/><Relationship Id="rId108" Type="http://schemas.openxmlformats.org/officeDocument/2006/relationships/hyperlink" Target="https://www.sec.gov/Archives/edgar/data/1378140/000149315221025554/def14a.htm#ed_009" TargetMode="External"/><Relationship Id="rId109" Type="http://schemas.openxmlformats.org/officeDocument/2006/relationships/hyperlink" Target="https://www.sec.gov/Archives/edgar/data/1378140/000149315222004072/ex10-1.htm" TargetMode="External"/><Relationship Id="rId110" Type="http://schemas.openxmlformats.org/officeDocument/2006/relationships/hyperlink" Target="https://www.sec.gov/Archives/edgar/data/1378140/000149315222028878/formdef14a.htm#ak_006" TargetMode="External"/><Relationship Id="rId111" Type="http://schemas.openxmlformats.org/officeDocument/2006/relationships/hyperlink" Target="https://www.sec.gov/Archives/edgar/data/1378140/000149315223007434/ex10-1.htm" TargetMode="External"/><Relationship Id="rId112" Type="http://schemas.openxmlformats.org/officeDocument/2006/relationships/hyperlink" Target="https://www.sec.gov/Archives/edgar/data/1378140/000149315223007434/ex10-2.htm" TargetMode="External"/><Relationship Id="rId113" Type="http://schemas.openxmlformats.org/officeDocument/2006/relationships/hyperlink" Target="https://www.sec.gov/Archives/edgar/data/1378140/000149315223007434/ex10-3.htm" TargetMode="External"/><Relationship Id="rId114" Type="http://schemas.openxmlformats.org/officeDocument/2006/relationships/hyperlink" Target="https://www.sec.gov/Archives/edgar/data/1378140/000149315223044704/ex10-1.htm" TargetMode="External"/><Relationship Id="rId115" Type="http://schemas.openxmlformats.org/officeDocument/2006/relationships/hyperlink" Target="https://www.sec.gov/Archives/edgar/data/1378140/000149315223044704/ex10-2.htm" TargetMode="External"/><Relationship Id="rId116" Type="http://schemas.openxmlformats.org/officeDocument/2006/relationships/hyperlink" Target="https://www.sec.gov/Archives/edgar/data/1378140/000149315224010814/ex10-1.htm" TargetMode="External"/><Relationship Id="rId117" Type="http://schemas.openxmlformats.org/officeDocument/2006/relationships/hyperlink" Target="https://www.sec.gov/Archives/edgar/data/1378140/000149315224037590/ex10-1.htm" TargetMode="External"/><Relationship Id="rId118" Type="http://schemas.openxmlformats.org/officeDocument/2006/relationships/hyperlink" Target="https://www.sec.gov/Archives/edgar/data/1378140/000149315224036423/ex10-2.htm" TargetMode="External"/><Relationship Id="rId119" Type="http://schemas.openxmlformats.org/officeDocument/2006/relationships/hyperlink" Target="https://www.sec.gov/Archives/edgar/data/1378140/000149315224050911/ex10-1.htm" TargetMode="External"/><Relationship Id="rId121" Type="http://schemas.openxmlformats.org/officeDocument/2006/relationships/hyperlink" Target="https://www.sec.gov/Archives/edgar/data/1378140/000149315224050911/ex10-2.htm" TargetMode="External"/><Relationship Id="rId122" Type="http://schemas.openxmlformats.org/officeDocument/2006/relationships/hyperlink" Target="https://www.sec.gov/Archives/edgar/data/1378140/000164117225010584/ex10-1.htm" TargetMode="External"/><Relationship Id="rId123" Type="http://schemas.openxmlformats.org/officeDocument/2006/relationships/hyperlink" Target="https://www.sec.gov/Archives/edgar/data/1378140/000164117225010584/ex10-2.htm" TargetMode="External"/><Relationship Id="rId124" Type="http://schemas.openxmlformats.org/officeDocument/2006/relationships/hyperlink" Target="https://www.sec.gov/Archives/edgar/data/1378140/000149315225003023/ex10-1.htm" TargetMode="External"/><Relationship Id="rId125" Type="http://schemas.openxmlformats.org/officeDocument/2006/relationships/hyperlink" Target="https://www.sec.gov/Archives/edgar/data/1378140/00016411722501366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2025-07-24T16:36:26Z</dcterms:created>
  <dcterms:modified xsi:type="dcterms:W3CDTF">2025-07-24T16:36:26Z</dcterms:modified>
</cp:coreProperties>
</file>