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right="880" w:firstLine="332"/>
        <w:spacing w:after="0" w:line="501" w:lineRule="auto"/>
        <w:tabs>
          <w:tab w:leader="none" w:pos="1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2014</w:t>
      </w: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670" w:right="239" w:bottom="1440" w:gutter="0" w:footer="0" w:header="0"/>
        </w:sectPr>
      </w:pPr>
    </w:p>
    <w:p>
      <w:pPr>
        <w:spacing w:after="0" w:line="25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7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70" w:right="23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jc w:val="center"/>
        <w:spacing w:after="0" w:line="23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00" w:space="720"/>
            <w:col w:w="1720" w:space="720"/>
            <w:col w:w="2580" w:space="640"/>
            <w:col w:w="2340"/>
          </w:cols>
          <w:pgMar w:left="240" w:top="670"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2014, the number of outstanding shares of common stock of the registrant was 13,755,519.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JANUARY 31, 2014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76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January 31, 2014 and April 30,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Operations for the Three and Nine Months Ended January 31, 2014 and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Comprehensive Loss for the Three and Nine Months Ended January 31, 2014 and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Nine Months Ended January 31, 2014 and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Stockholders' Equity for the Nine Months Ended January 31, 2014 and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 Controls and Procedures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Legal Proceedings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 Risk Factors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 Mine Safety Disclosures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 Other Information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6. Exhibits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2013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ind w:left="404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ind w:left="3820"/>
              <w:spacing w:after="0"/>
              <w:rPr>
                <w:sz w:val="20"/>
                <w:szCs w:val="20"/>
                <w:color w:val="auto"/>
              </w:rPr>
            </w:pPr>
            <w:r>
              <w:rPr>
                <w:rFonts w:ascii="Arial" w:cs="Arial" w:eastAsia="Arial" w:hAnsi="Arial"/>
                <w:sz w:val="18"/>
                <w:szCs w:val="18"/>
                <w:b w:val="1"/>
                <w:bCs w:val="1"/>
                <w:color w:val="auto"/>
                <w:w w:val="98"/>
              </w:rPr>
              <w:t>Ocean Power Technologies,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ind w:left="4600"/>
              <w:spacing w:after="0"/>
              <w:rPr>
                <w:sz w:val="20"/>
                <w:szCs w:val="20"/>
                <w:color w:val="auto"/>
              </w:rPr>
            </w:pPr>
            <w:r>
              <w:rPr>
                <w:rFonts w:ascii="Arial" w:cs="Arial" w:eastAsia="Arial" w:hAnsi="Arial"/>
                <w:sz w:val="18"/>
                <w:szCs w:val="18"/>
                <w:b w:val="1"/>
                <w:bCs w:val="1"/>
                <w:color w:val="auto"/>
              </w:rPr>
              <w:t>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020" w:type="dxa"/>
            <w:vAlign w:val="bottom"/>
          </w:tcPr>
          <w:p>
            <w:pPr>
              <w:ind w:left="366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January 31, 2014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5,916,638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11,496,164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8,499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18,081,630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21,446,385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562,586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Patents,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209,906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2,149,992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427,736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22,316,529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24,831,059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280,102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3,599,451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3,900,623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667,666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4,647,219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5,627,769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unearned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5,674,383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6,709,802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12,741,217 and 10,403,215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12,741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37,852 and 33,771 shares, respectively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165,663,826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159,155,365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(148,431,628)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(140,671,311)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(213,697)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(79,786)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16,900,535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(258,389)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(169,521)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16,642,146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18,121,257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22,316,529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24,831,059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004"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gridSpan w:val="7"/>
          </w:tcPr>
          <w:p>
            <w:pPr>
              <w:jc w:val="center"/>
              <w:ind w:left="36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8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24"/>
                <w:szCs w:val="24"/>
                <w:color w:val="auto"/>
              </w:rPr>
            </w:pPr>
          </w:p>
        </w:tc>
        <w:tc>
          <w:tcPr>
            <w:tcW w:w="24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890,051</w:t>
            </w: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1,115,925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3,116,188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 (loss)</w:t>
            </w: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601,748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3,666,980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1,771,560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2,367,849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6,128,211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6,856,815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2,557,506</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2,969,597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9,795,191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12,323,557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loss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(2,551,097)</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(2,994,095)</w:t>
            </w:r>
          </w:p>
        </w:tc>
        <w:tc>
          <w:tcPr>
            <w:tcW w:w="12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(9,786,959)</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(12,231,497)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6,573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Foreign exchange gain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23,448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21,778</w:t>
            </w: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152,575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(2,524,313)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(2,950,513)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(9,627,811)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(12,103,185)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tax benefit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1,745,895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1,453,243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1,745,895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1,453,243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24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(1,497,270)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(7,881,916)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(10,649,942)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 Ocean Power</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38,628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121,599</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96,578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loss attributable to Ocean Power Technologies, Inc</w:t>
            </w: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(1,465,771)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(7,760,317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(10,553,364)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2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(0.06)</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(0.71)</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12,163,239</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10,304,277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10,995,525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10,300,626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gridSpan w:val="7"/>
          </w:tcPr>
          <w:p>
            <w:pPr>
              <w:jc w:val="center"/>
              <w:ind w:left="36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gridSpan w:val="7"/>
          </w:tcPr>
          <w:p>
            <w:pPr>
              <w:jc w:val="center"/>
              <w:ind w:left="359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24"/>
                <w:szCs w:val="2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(1,497,270)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(10,649,942)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(42,395)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(820,813)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(1,480,721)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(7,983,096)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(10,657,353)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3"/>
          </w:tcPr>
          <w:p>
            <w:pPr>
              <w:jc w:val="right"/>
              <w:ind w:right="285"/>
              <w:spacing w:after="0" w:line="201" w:lineRule="exact"/>
              <w:rPr>
                <w:sz w:val="20"/>
                <w:szCs w:val="20"/>
                <w:color w:val="auto"/>
              </w:rPr>
            </w:pPr>
            <w:r>
              <w:rPr>
                <w:rFonts w:ascii="Arial" w:cs="Arial" w:eastAsia="Arial" w:hAnsi="Arial"/>
                <w:sz w:val="18"/>
                <w:szCs w:val="18"/>
                <w:color w:val="auto"/>
                <w:w w:val="93"/>
              </w:rPr>
              <w:t>Comprehensive loss attributable to the noncontrolling interest in Ocean Power</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18,802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32,260</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88,868</w:t>
            </w:r>
          </w:p>
        </w:tc>
        <w:tc>
          <w:tcPr>
            <w:tcW w:w="14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97,812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color w:val="auto"/>
                <w:w w:val="93"/>
              </w:rPr>
              <w:t>Comprehensive loss attributable to Ocean Power Technologies, Inc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(802,011)</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(1,448,461)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(7,894,228)</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(10,559,541)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(7,881,916)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(10,649,942)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Foreign exchange gain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(152,575)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doubtful accounts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(296,174)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(205,541)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(176,254)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(229,680)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(305,655)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(452,864)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unearned revenues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(8,052,017)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(8,213,751)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(18,494,272)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20,989,422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(21,191)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(387,626)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7,921,183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Proceeds from the sale of common stock, net of issuance costs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5,933,259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5,859,445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(456,150)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6,372,788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5,916,638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8,954,941</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Common Shares</w:t>
            </w:r>
          </w:p>
        </w:tc>
        <w:tc>
          <w:tcPr>
            <w:tcW w:w="180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rPr>
              <w:t>Treasury Shares</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5"/>
              </w:rPr>
              <w:t>Noncontrolling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gridSpan w:val="5"/>
            <w:vMerge w:val="continue"/>
          </w:tcPr>
          <w:p>
            <w:pPr>
              <w:spacing w:after="0"/>
              <w:rPr>
                <w:sz w:val="19"/>
                <w:szCs w:val="19"/>
                <w:color w:val="auto"/>
              </w:rPr>
            </w:pPr>
          </w:p>
        </w:tc>
        <w:tc>
          <w:tcPr>
            <w:tcW w:w="1800" w:type="dxa"/>
            <w:vAlign w:val="bottom"/>
            <w:gridSpan w:val="4"/>
            <w:vMerge w:val="continue"/>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Paid-In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Comprehensive</w:t>
            </w:r>
          </w:p>
        </w:tc>
        <w:tc>
          <w:tcPr>
            <w:tcW w:w="146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6"/>
              </w:rPr>
              <w:t>Shares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10,407,389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10,407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(102,388)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158,296,458</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(125,989,474)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(10,553,364)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(96,578)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(10,649,942)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713,635</w:t>
            </w:r>
          </w:p>
        </w:tc>
        <w:tc>
          <w:tcPr>
            <w:tcW w:w="1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713,635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tcBorders>
              <w:right w:val="single" w:sz="8" w:color="CCEEFF"/>
            </w:tcBorders>
            <w:gridSpan w:val="2"/>
            <w:vMerge w:val="continue"/>
            <w:shd w:val="clear" w:color="auto" w:fill="CCEEFF"/>
          </w:tcPr>
          <w:p>
            <w:pPr>
              <w:spacing w:after="0"/>
              <w:rPr>
                <w:sz w:val="10"/>
                <w:szCs w:val="10"/>
                <w:color w:val="auto"/>
              </w:rPr>
            </w:pPr>
          </w:p>
        </w:tc>
        <w:tc>
          <w:tcPr>
            <w:tcW w:w="1360" w:type="dxa"/>
            <w:vAlign w:val="bottom"/>
            <w:gridSpan w:val="2"/>
            <w:vMerge w:val="continue"/>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restricted stock,</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41,933</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January</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10,406,548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10,407</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(33,771)</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 (123,893)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159,052,026</w:t>
            </w:r>
          </w:p>
        </w:tc>
        <w:tc>
          <w:tcPr>
            <w:tcW w:w="16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(136,542,838)</w:t>
            </w: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(85,167)</w:t>
            </w: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(126,444)</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22,184,091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31, 2013</w:t>
            </w: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10,403,215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(123,893)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159,155,365</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(140,671,311)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(79,786)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(7,760,317)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(7,881,916)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499,985</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restricted stock,</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79,822</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69,475</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Stock issued upon</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Sale of stock,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5,931,005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(133,911)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32,731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January</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12,741,217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12,741</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(37,852)</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 (130,707)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165,663,826</w:t>
            </w:r>
          </w:p>
        </w:tc>
        <w:tc>
          <w:tcPr>
            <w:tcW w:w="160" w:type="dxa"/>
            <w:vAlign w:val="bottom"/>
            <w:shd w:val="clear" w:color="auto" w:fill="CCEEFF"/>
          </w:tcPr>
          <w:p>
            <w:pPr>
              <w:spacing w:after="0"/>
              <w:rPr>
                <w:sz w:val="16"/>
                <w:szCs w:val="16"/>
                <w:color w:val="auto"/>
              </w:rPr>
            </w:pPr>
          </w:p>
        </w:tc>
        <w:tc>
          <w:tcPr>
            <w:tcW w:w="12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8"/>
              </w:rPr>
              <w:t>(148,431,628)</w:t>
            </w: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(213,697)</w:t>
            </w:r>
          </w:p>
        </w:tc>
        <w:tc>
          <w:tcPr>
            <w:tcW w:w="1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(258,389)</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16,642,146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31, 2014</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use of cash in operating activities unless and until it achieves positive cash flow from the planned commercialization of its products and services.</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2013 filed with the Securities and Exchange Commission (“SEC”) and elsewhere in this Form 10-Q.</w:t>
      </w:r>
    </w:p>
    <w:p>
      <w:pPr>
        <w:spacing w:after="0" w:line="18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incurred net losses and negative operating cash flows since inception. As of January 31, 2014, the Company had an accumulated deficit of $148.4 million. As of January 31, 2014, the Company’s cash and cash equivalents, marketable securities and restricted cash balance was approximately $19.6 million. Based upon the Company’s cash and cash equivalents and marketable securities balance as of January 31, 2014, the Company believes that it will be able to finance its capital requirements and operations into the second calendar quarter of 2015.</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2014 and 2013,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competition, new products, technological change, recent economic activity and dependence on key personnel. In order to complete its future growth strategy, the Company will require additional equity and/or debt financing. There is no assurance that additional equity and/or debt financing will be available to the Company as needed. If financing is not achieved, the Company may be required to further curtail or limit certain product development costs, and/or selling, general and administrative activities, in order to reduce its cash expenditures.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2013, the Company filed with the SEC a shelf registration statement on Form S-3 registering the sale of up to $40,000,000 of debt, equity and other securities (the “S-3 Shelf”). The S-3 Shelf was declared effective in February 2013. On June 6, 2013, the Company entered into an At the Market Offering Agreement (the “Offering Agreement”) with Ascendiant Capital Markets, LLC (the “Manager”). Pursuant to the Offering Agreement, the Company may offer and sell shares of its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January 31, 2014, the Company sold 2,254,180 shares pursuant to the Offering Agreement for net proceeds of approximately $5,933,300 and subsequently sold 1,052,154 shares in February 2014 for net proceeds of approximately $3,765,100. Sales of shares under the Offering Agreement are made pursuant to the Company’s instructions (including any price, time or size limits or other customary conditions or parameters that it may impose) and are registered on the S-3 Shelf in reliance on, and subject to the limitations of, General Instruction I.B.6 of Form S-3 and other applicable law and regulations. In particular, Form S-3 limits the aggregate market value of securities that the Company is permitted to offer in any 12-month period under Form S-3, whether under the Offering Agreement or otherwise, to one third of the Company’s public float. The Company is under no obligation to sell, and the Manager is under no obligation to purchase or place, securities under the Offering Agreement, and there can be no assurance that the Company will continue to do so or will be able to do so on favorable terms or at all. Given the February 2014 share sales, the Company effectively reached the limit of the Offering Agreement and is currently assessing additional financing alternatives. Approximately $30 million remains available for issuance under the S-3 Shelf.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 and Cost Method Investment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2014,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2014, there were no such entities.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through its subsidiary Ocean Power Technologies, Ltd. (“OPT LTD”), had a 10% investment in Iberdrola Energias Marinas de Cantabria, S.A. (“Iberdrola Cantabria” or “Ibermar”) and certain outstanding receivables from Iberdrola Cantabria. The investment in Iberdrola Cantabria and net accounts receivable and unbilled receivables from Iberdrola Cantabria were $0 as of April 30, 2012. During the three months ended January 31, 2014, the dissolution of Iberdrola Cantabria, was approved by the shareholders of Ibermar. During the dissolution of this entity, OPT LTD. signed an agreement with Ibermar to cancel all obligations under the 2006 Spain Construction Agreement between Ibermar and the Company. See Note 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(if applicable),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4,826,436</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1,090,202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4,188,466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5,916,638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6,372,788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2014 and April 30, 2013,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an €800,000 ($979,992) credit facility established by Barclays Bank for Ocean Power Technologies Ltd. The credit facility is for the issuance of letters of credit and bank guarantees and carries a fee of 1% per annum of the amount of any such obligations issued by Barclays Bank. As of January 31, 2014, there were €544,828 ($741,565) in letters of credit outstanding under this agreement. The credit facility does not have an expiration date, but is cancelable at the discretion of the bank.</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Under this agreement, the Company annually assigns to the NJBPU a certificate of deposit in an amount equal to the outstanding grant balance. See Note 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agreement concerns two letters of credit issued by Ocean Power Technologies, Inc. for the benefit of Oregon Department of State Lands. The two letters of credit relate to the removal of certain of the Company’s anchoring and mooring equipment from the seabed off the coast of Oregon. These letters of credit are secured by two certificates of deposit with PNC Bank. The first letter of credit for $375,000 has a term through August 31, 2014 and the second letter of credit for $470,000 has a term through October 16,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Cash restricted under security agreements is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31, 2014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979,992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941,256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NJBPU agreement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Oregon Department of State Lands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2,149,992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1,366,256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7"/>
          </w:tcPr>
          <w:p>
            <w:pPr>
              <w:spacing w:after="0"/>
              <w:rPr>
                <w:sz w:val="20"/>
                <w:szCs w:val="20"/>
                <w:color w:val="auto"/>
              </w:rPr>
            </w:pPr>
            <w:r>
              <w:rPr>
                <w:rFonts w:ascii="Arial" w:cs="Arial" w:eastAsia="Arial" w:hAnsi="Arial"/>
                <w:sz w:val="18"/>
                <w:szCs w:val="18"/>
                <w:color w:val="auto"/>
                <w:w w:val="96"/>
              </w:rPr>
              <w:t>included in foreign exchange loss in the accompanying consolidated statements of operations.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2"/>
              </w:rPr>
              <w:t>Three Months Ended January</w:t>
            </w:r>
          </w:p>
        </w:tc>
        <w:tc>
          <w:tcPr>
            <w:tcW w:w="2600" w:type="dxa"/>
            <w:vAlign w:val="bottom"/>
            <w:gridSpan w:val="9"/>
          </w:tcPr>
          <w:p>
            <w:pPr>
              <w:spacing w:after="0"/>
              <w:rPr>
                <w:sz w:val="20"/>
                <w:szCs w:val="20"/>
                <w:color w:val="auto"/>
              </w:rPr>
            </w:pPr>
            <w:r>
              <w:rPr>
                <w:rFonts w:ascii="Arial" w:cs="Arial" w:eastAsia="Arial" w:hAnsi="Arial"/>
                <w:sz w:val="18"/>
                <w:szCs w:val="18"/>
                <w:b w:val="1"/>
                <w:bCs w:val="1"/>
                <w:color w:val="auto"/>
              </w:rPr>
              <w:t>Nine Months Ended January</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31,</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23,448</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21,778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152,575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733"/>
        </w:trPr>
        <w:tc>
          <w:tcPr>
            <w:tcW w:w="58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4"/>
              </w:rPr>
              <w:t xml:space="preserve">Foreign currency denominated certificates of </w:t>
            </w:r>
            <w:r>
              <w:rPr>
                <w:rFonts w:ascii="Arial" w:cs="Arial" w:eastAsia="Arial" w:hAnsi="Arial"/>
                <w:sz w:val="21"/>
                <w:szCs w:val="21"/>
                <w:color w:val="auto"/>
                <w:w w:val="94"/>
              </w:rPr>
              <w:t>deposit and cash accounts:</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8"/>
              </w:rPr>
              <w:t>January 31, 2014</w:t>
            </w:r>
          </w:p>
        </w:tc>
        <w:tc>
          <w:tcPr>
            <w:tcW w:w="1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April 30, 2013</w:t>
            </w:r>
          </w:p>
        </w:tc>
        <w:tc>
          <w:tcPr>
            <w:tcW w:w="3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979,992</w:t>
            </w:r>
          </w:p>
        </w:tc>
        <w:tc>
          <w:tcPr>
            <w:tcW w:w="640" w:type="dxa"/>
            <w:vAlign w:val="bottom"/>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Unrestricted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1,123,438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1,550,458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2,103,430</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2,491,714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nine months ended January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amount of the Company's revenues derived from customers for the three and nine months ended January 31, 2014 and 2013.</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Customer</w:t>
            </w:r>
          </w:p>
        </w:tc>
        <w:tc>
          <w:tcPr>
            <w:tcW w:w="3860" w:type="dxa"/>
            <w:vAlign w:val="bottom"/>
          </w:tcPr>
          <w:p>
            <w:pPr>
              <w:spacing w:after="0"/>
              <w:rPr>
                <w:sz w:val="18"/>
                <w:szCs w:val="18"/>
                <w:color w:val="auto"/>
              </w:rPr>
            </w:pPr>
          </w:p>
        </w:tc>
        <w:tc>
          <w:tcPr>
            <w:tcW w:w="29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January 31,</w:t>
            </w:r>
          </w:p>
        </w:tc>
        <w:tc>
          <w:tcPr>
            <w:tcW w:w="10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 millions)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 Government's Technology Strategy Board</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 Due to changes in the estimated cost at completion, revenue for the WavePort project was negative during the three months ended January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computing diluted net loss per share, outstanding options to purchase shares of common stock and non-vested restricted stock held by employees and non-employee directors, totaling 1,581,016 during the three and nine months ended January 31, 2014 and 1,462,731 during the three and nine months ended January 31, 2013, were excluded from the computations as the effect would be anti-dilutive due to the Company's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Accounting Standards issued during the quarter ended January 31, 2014 for the Company’s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4260" w:type="dxa"/>
            <w:vAlign w:val="bottom"/>
            <w:gridSpan w:val="2"/>
          </w:tcPr>
          <w:p>
            <w:pPr>
              <w:spacing w:after="0"/>
              <w:rPr>
                <w:sz w:val="18"/>
                <w:szCs w:val="18"/>
                <w:color w:val="auto"/>
              </w:rPr>
            </w:pPr>
          </w:p>
        </w:tc>
        <w:tc>
          <w:tcPr>
            <w:tcW w:w="28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1160" w:type="dxa"/>
            <w:vAlign w:val="bottom"/>
          </w:tcPr>
          <w:p>
            <w:pPr>
              <w:spacing w:after="0"/>
              <w:rPr>
                <w:sz w:val="22"/>
                <w:szCs w:val="2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Treasury obligations</w:t>
            </w:r>
          </w:p>
        </w:tc>
        <w:tc>
          <w:tcPr>
            <w:tcW w:w="2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11,496,164</w:t>
            </w: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13,996,705</w:t>
            </w:r>
          </w:p>
        </w:tc>
        <w:tc>
          <w:tcPr>
            <w:tcW w:w="80" w:type="dxa"/>
            <w:vAlign w:val="bottom"/>
            <w:shd w:val="clear" w:color="auto" w:fill="CCEEFF"/>
          </w:tcPr>
          <w:p>
            <w:pPr>
              <w:spacing w:after="0"/>
              <w:rPr>
                <w:sz w:val="22"/>
                <w:szCs w:val="22"/>
                <w:color w:val="auto"/>
              </w:rPr>
            </w:pPr>
          </w:p>
        </w:tc>
        <w:tc>
          <w:tcPr>
            <w:tcW w:w="1180" w:type="dxa"/>
            <w:vAlign w:val="bottom"/>
          </w:tcPr>
          <w:p>
            <w:pPr>
              <w:spacing w:after="0"/>
              <w:rPr>
                <w:sz w:val="22"/>
                <w:szCs w:val="22"/>
                <w:color w:val="auto"/>
              </w:rPr>
            </w:pPr>
          </w:p>
        </w:tc>
      </w:tr>
      <w:tr>
        <w:trPr>
          <w:trHeight w:val="872"/>
        </w:trPr>
        <w:tc>
          <w:tcPr>
            <w:tcW w:w="116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2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January 31, 2014</w:t>
            </w:r>
          </w:p>
        </w:tc>
        <w:tc>
          <w:tcPr>
            <w:tcW w:w="16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April 30, 2013</w:t>
            </w: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8,499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1,086,847</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(290,515)</w:t>
            </w: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8,499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796,332</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2,243,738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2,212,991</w:t>
            </w: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(1,681,152)</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(1,512,023)</w:t>
            </w:r>
          </w:p>
        </w:tc>
      </w:tr>
      <w:tr>
        <w:trPr>
          <w:trHeight w:val="250"/>
        </w:trPr>
        <w:tc>
          <w:tcPr>
            <w:tcW w:w="58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562,586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Patents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Patents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1,560,250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1,558,630</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amortization</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(675,571)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(513,728)</w:t>
            </w: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884,679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1,044,902</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Project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1,698,959</w:t>
            </w: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Contract loss reserves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785,000</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incentive payments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249,469</w:t>
            </w: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salary and benefits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465,281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547,404</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joint venture (note 9)</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173,842</w:t>
            </w:r>
          </w:p>
        </w:tc>
      </w:tr>
      <w:tr>
        <w:trPr>
          <w:trHeight w:val="216"/>
        </w:trPr>
        <w:tc>
          <w:tcPr>
            <w:tcW w:w="5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Legal and accounting fees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190,335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214,891</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231,058</w:t>
            </w: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3,599,451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3,900,623</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Noncurrent Receivables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portion of the Company’s accounts receivable is expected to be received over a period exceeding 12 months. This account receivable is for the Company’s project off the coast of Spain.</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The Company updates the certificate of deposit outstanding balance annually. See Note 2(f).</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January 31, 2014, the Company has not generated any emissions credits eligible for purchase under the agreement. The $600,000 has been classified as a noncurrent liability as of January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$570,000 and $756,000 for the nine months ended January 31, 2014 and 2013,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Nine Months Ended January 31, 2014 and 2013</w:t>
      </w:r>
    </w:p>
    <w:p>
      <w:pPr>
        <w:spacing w:after="0" w:line="22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nine months ended January 31, 2014 and 2013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the nine months ended January 31, 2014 and historical volatility for a peer group of companies for the nine months ended January 31, 2013 for a period equal to the stock option's expected life, calculated on a daily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412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Nine Months Ended January 31,</w:t>
            </w:r>
          </w:p>
        </w:tc>
        <w:tc>
          <w:tcPr>
            <w:tcW w:w="176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9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21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2013</w:t>
            </w:r>
          </w:p>
        </w:tc>
        <w:tc>
          <w:tcPr>
            <w:tcW w:w="17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1.7%</w:t>
            </w:r>
          </w:p>
        </w:tc>
        <w:tc>
          <w:tcPr>
            <w:tcW w:w="21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jc w:val="right"/>
              <w:ind w:right="730"/>
              <w:spacing w:after="0"/>
              <w:rPr>
                <w:sz w:val="20"/>
                <w:szCs w:val="20"/>
                <w:color w:val="auto"/>
              </w:rPr>
            </w:pPr>
            <w:r>
              <w:rPr>
                <w:rFonts w:ascii="Arial" w:cs="Arial" w:eastAsia="Arial" w:hAnsi="Arial"/>
                <w:sz w:val="18"/>
                <w:szCs w:val="18"/>
                <w:color w:val="auto"/>
              </w:rPr>
              <w:t>0.0%</w:t>
            </w:r>
          </w:p>
        </w:tc>
        <w:tc>
          <w:tcPr>
            <w:tcW w:w="2180" w:type="dxa"/>
            <w:vAlign w:val="bottom"/>
          </w:tcPr>
          <w:p>
            <w:pPr>
              <w:jc w:val="right"/>
              <w:ind w:right="790"/>
              <w:spacing w:after="0"/>
              <w:rPr>
                <w:sz w:val="20"/>
                <w:szCs w:val="20"/>
                <w:color w:val="auto"/>
              </w:rPr>
            </w:pPr>
            <w:r>
              <w:rPr>
                <w:rFonts w:ascii="Arial" w:cs="Arial" w:eastAsia="Arial" w:hAnsi="Arial"/>
                <w:sz w:val="18"/>
                <w:szCs w:val="18"/>
                <w:color w:val="auto"/>
              </w:rPr>
              <w:t>0.0%</w:t>
            </w:r>
          </w:p>
        </w:tc>
        <w:tc>
          <w:tcPr>
            <w:tcW w:w="17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9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5.9</w:t>
            </w:r>
          </w:p>
        </w:tc>
        <w:tc>
          <w:tcPr>
            <w:tcW w:w="2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6.1</w:t>
            </w:r>
          </w:p>
        </w:tc>
        <w:tc>
          <w:tcPr>
            <w:tcW w:w="1760" w:type="dxa"/>
            <w:vAlign w:val="bottom"/>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right"/>
              <w:ind w:right="730"/>
              <w:spacing w:after="0"/>
              <w:rPr>
                <w:sz w:val="20"/>
                <w:szCs w:val="20"/>
                <w:color w:val="auto"/>
              </w:rPr>
            </w:pPr>
            <w:r>
              <w:rPr>
                <w:rFonts w:ascii="Arial" w:cs="Arial" w:eastAsia="Arial" w:hAnsi="Arial"/>
                <w:sz w:val="18"/>
                <w:szCs w:val="18"/>
                <w:color w:val="auto"/>
              </w:rPr>
              <w:t>76.29%</w:t>
            </w:r>
          </w:p>
        </w:tc>
        <w:tc>
          <w:tcPr>
            <w:tcW w:w="2180" w:type="dxa"/>
            <w:vAlign w:val="bottom"/>
          </w:tcPr>
          <w:p>
            <w:pPr>
              <w:jc w:val="right"/>
              <w:ind w:right="790"/>
              <w:spacing w:after="0"/>
              <w:rPr>
                <w:sz w:val="20"/>
                <w:szCs w:val="20"/>
                <w:color w:val="auto"/>
              </w:rPr>
            </w:pPr>
            <w:r>
              <w:rPr>
                <w:rFonts w:ascii="Arial" w:cs="Arial" w:eastAsia="Arial" w:hAnsi="Arial"/>
                <w:sz w:val="18"/>
                <w:szCs w:val="18"/>
                <w:color w:val="auto"/>
              </w:rPr>
              <w:t>86.15%</w:t>
            </w:r>
          </w:p>
        </w:tc>
        <w:tc>
          <w:tcPr>
            <w:tcW w:w="1760" w:type="dxa"/>
            <w:vAlign w:val="bottom"/>
          </w:tcPr>
          <w:p>
            <w:pPr>
              <w:spacing w:after="0"/>
              <w:rPr>
                <w:sz w:val="20"/>
                <w:szCs w:val="20"/>
                <w:color w:val="auto"/>
              </w:rPr>
            </w:pPr>
          </w:p>
        </w:tc>
      </w:tr>
      <w:tr>
        <w:trPr>
          <w:trHeight w:val="661"/>
        </w:trPr>
        <w:tc>
          <w:tcPr>
            <w:tcW w:w="5580" w:type="dxa"/>
            <w:vAlign w:val="bottom"/>
          </w:tcPr>
          <w:p>
            <w:pPr>
              <w:spacing w:after="0"/>
              <w:rPr>
                <w:sz w:val="24"/>
                <w:szCs w:val="24"/>
                <w:color w:val="auto"/>
              </w:rPr>
            </w:pPr>
          </w:p>
        </w:tc>
        <w:tc>
          <w:tcPr>
            <w:tcW w:w="1940" w:type="dxa"/>
            <w:vAlign w:val="bottom"/>
          </w:tcPr>
          <w:p>
            <w:pPr>
              <w:jc w:val="right"/>
              <w:ind w:right="1630"/>
              <w:spacing w:after="0"/>
              <w:rPr>
                <w:sz w:val="20"/>
                <w:szCs w:val="20"/>
                <w:color w:val="auto"/>
              </w:rPr>
            </w:pPr>
            <w:r>
              <w:rPr>
                <w:rFonts w:ascii="Arial" w:cs="Arial" w:eastAsia="Arial" w:hAnsi="Arial"/>
                <w:sz w:val="18"/>
                <w:szCs w:val="18"/>
                <w:color w:val="auto"/>
                <w:w w:val="99"/>
              </w:rPr>
              <w:t>14</w:t>
            </w:r>
          </w:p>
        </w:tc>
        <w:tc>
          <w:tcPr>
            <w:tcW w:w="2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5"/>
        </w:trPr>
        <w:tc>
          <w:tcPr>
            <w:tcW w:w="55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61"/>
        </w:trPr>
        <w:tc>
          <w:tcPr>
            <w:tcW w:w="558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23"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$1.26 and $1.62 for stock options granted during the nine months ended January 31, 2014 and 2013,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6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left="253"/>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64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20" w:type="dxa"/>
            <w:vAlign w:val="bottom"/>
          </w:tcPr>
          <w:p>
            <w:pPr>
              <w:jc w:val="center"/>
              <w:ind w:left="253"/>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64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120" w:type="dxa"/>
            <w:vAlign w:val="bottom"/>
          </w:tcPr>
          <w:p>
            <w:pPr>
              <w:jc w:val="center"/>
              <w:ind w:left="253"/>
              <w:spacing w:after="0"/>
              <w:rPr>
                <w:sz w:val="20"/>
                <w:szCs w:val="20"/>
                <w:color w:val="auto"/>
              </w:rPr>
            </w:pPr>
            <w:r>
              <w:rPr>
                <w:rFonts w:ascii="Arial" w:cs="Arial" w:eastAsia="Arial" w:hAnsi="Arial"/>
                <w:sz w:val="18"/>
                <w:szCs w:val="18"/>
                <w:b w:val="1"/>
                <w:bCs w:val="1"/>
                <w:color w:val="auto"/>
                <w:w w:val="89"/>
              </w:rPr>
              <w:t>Exercise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640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120" w:type="dxa"/>
            <w:vAlign w:val="bottom"/>
          </w:tcPr>
          <w:p>
            <w:pPr>
              <w:jc w:val="center"/>
              <w:ind w:left="233"/>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7.43</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(304,084)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6.62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2.00</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1.30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1,483,406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5.60</w:t>
            </w: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197"/>
        </w:trPr>
        <w:tc>
          <w:tcPr>
            <w:tcW w:w="6400" w:type="dxa"/>
            <w:vAlign w:val="bottom"/>
          </w:tcPr>
          <w:p>
            <w:pPr>
              <w:spacing w:after="0" w:line="196" w:lineRule="exact"/>
              <w:rPr>
                <w:sz w:val="20"/>
                <w:szCs w:val="20"/>
                <w:color w:val="auto"/>
              </w:rPr>
            </w:pPr>
            <w:r>
              <w:rPr>
                <w:rFonts w:ascii="Arial" w:cs="Arial" w:eastAsia="Arial" w:hAnsi="Arial"/>
                <w:sz w:val="18"/>
                <w:szCs w:val="18"/>
                <w:color w:val="auto"/>
              </w:rPr>
              <w:t>Exercisable as of January 31, 2014</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888,796</w:t>
            </w:r>
          </w:p>
        </w:tc>
        <w:tc>
          <w:tcPr>
            <w:tcW w:w="160" w:type="dxa"/>
            <w:vAlign w:val="bottom"/>
          </w:tcPr>
          <w:p>
            <w:pPr>
              <w:spacing w:after="0"/>
              <w:rPr>
                <w:sz w:val="17"/>
                <w:szCs w:val="17"/>
                <w:color w:val="auto"/>
              </w:rPr>
            </w:pPr>
          </w:p>
        </w:tc>
        <w:tc>
          <w:tcPr>
            <w:tcW w:w="1220" w:type="dxa"/>
            <w:vAlign w:val="bottom"/>
            <w:gridSpan w:val="2"/>
          </w:tcPr>
          <w:p>
            <w:pPr>
              <w:jc w:val="right"/>
              <w:ind w:right="953"/>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1"/>
              </w:rPr>
              <w:t>8.09</w:t>
            </w:r>
          </w:p>
        </w:tc>
        <w:tc>
          <w:tcPr>
            <w:tcW w:w="15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5.2</w:t>
            </w:r>
          </w:p>
        </w:tc>
      </w:tr>
      <w:tr>
        <w:trPr>
          <w:trHeight w:val="20"/>
        </w:trPr>
        <w:tc>
          <w:tcPr>
            <w:tcW w:w="6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January 31, 2014, the total intrinsic value of outstanding options was approximately $581,000 and the total intrinsic value of exercisable options was approximately $71,000. As of January 31, 2014, approximately 590,000 additional options are expected to vest in the future, which options had approximately $499,000 of intrinsic value and a weighted average remaining contractual term of 8.9 years. There was approximately $500,000 and $714,000 of total recognized compensation cost related to stock options for the nine months ended January 31, 2014 and 2013, respectively. As of January 31, 2014, there was approximately $577,000 of total unrecognized compensation cost related to non-vested stock options granted under the plans. This cost is expected to be recognized over a weighted-average period of 2.4 years. The Company normally issues new shares to satisfy option exercises under these plans. During the nine months ended January 31, 2014, stock options granted included 125,520 stock options which are subject to performance-based vesting requirements. Stock options outstanding as of January 31, 2014 included 145,092 stock options subject to performance-based vesting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over the associated service and performance period. During the nine months ended January 31, 2014, there were 52,000 shares of non-vested restricted stock granted to employees with performance-based vesting requirements. During the nine months ended January 31, 2014, 16,417 shares of non-vested restricted stock subject to performance-based vesting requirements were forfeited in accordance with performance objectives. Restricted stock issued and unvested at January 31, 2014 included 57,331 shares of non-vested restricted stock subject to performance-based vesting requirements.</w:t>
      </w:r>
    </w:p>
    <w:p>
      <w:pPr>
        <w:sectPr>
          <w:pgSz w:w="11900" w:h="16838" w:orient="portrait"/>
          <w:cols w:equalWidth="0" w:num="1">
            <w:col w:w="11420"/>
          </w:cols>
          <w:pgMar w:left="240" w:top="580"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Issued and unvested at April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Issued and unvested at January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 per</w:t>
            </w:r>
          </w:p>
        </w:tc>
      </w:tr>
      <w:tr>
        <w:trPr>
          <w:trHeight w:val="234"/>
        </w:trPr>
        <w:tc>
          <w:tcPr>
            <w:tcW w:w="16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54,802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4.52</w:t>
            </w:r>
          </w:p>
        </w:tc>
        <w:tc>
          <w:tcPr>
            <w:tcW w:w="20" w:type="dxa"/>
            <w:vAlign w:val="bottom"/>
          </w:tcPr>
          <w:p>
            <w:pPr>
              <w:spacing w:after="0"/>
              <w:rPr>
                <w:sz w:val="16"/>
                <w:szCs w:val="16"/>
                <w:color w:val="auto"/>
              </w:rPr>
            </w:pPr>
          </w:p>
        </w:tc>
      </w:tr>
      <w:tr>
        <w:trPr>
          <w:trHeight w:val="216"/>
        </w:trPr>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96,239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r>
      <w:tr>
        <w:trPr>
          <w:trHeight w:val="216"/>
        </w:trPr>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(16,417)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r>
      <w:tr>
        <w:trPr>
          <w:trHeight w:val="230"/>
        </w:trPr>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(37,014)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r>
      <w:tr>
        <w:trPr>
          <w:trHeight w:val="210"/>
        </w:trPr>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97,610</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580"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$70,000 and $42,000 of total recognized compensation cost related to restricted stock for the nine months ended January 31, 2014 and 2013, respectively. As of January 31, 2014, there was approximately $105,000 of total unrecognized compensation cost related to non-vested restricted stock granted under the plans. This cost is expected to be recognized over a weighted average period of 2.3 years.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January 31, 2014 and 2013, 4,081 and 10,227 shares, respectively, of common stock were purchased by the Company from employees to pay taxes related to the vesting of restricted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Spain Construction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January 31, 2014, the dissolution of Ibermar, was approved by the shareholders of Ibermar. Ocean Power Technologies Limited held a 10% stake in this entity. During the dissolution of this entity, OPT LTD. signed an agreement with Ibermar to cancel all obligations under the 2006 Spain Construction Agreement between Ibermar and OPT LTD. In addition, the Company paid the final 5% stake in the entity that had been accrued in a prior period and received partial payment of an accounts receivable that had been fully reserved in a prior period.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31, 2014, the cancellation of this agreement did not have a material adverse effect on the Company's financial position or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Spain IVA (sales tax)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under the credit facility with Barclays Bank in the amount of €278,828 ($379,513) at the request of the Spanish tax authorities. This is a customary request during the inquiry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Commercial Dispute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subject to certain claims filed by a contractor and subcontractor in connection with a dispute over a contract to perform certain work for the Company related to the deployment of an anchor/mooring system off the Oregon coast. The Company has claimed that the contractor and subcontractor were responsible for damage to the system during the deployment process. The parties are currently scheduled to start mediation in late March 2014. As of January 31, 2014 and April 30, 2013, the Company has accounted for the estimated outcome of this matter in its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2014, the Company recorded an income tax benefit of $1,745,895, representing the proceeds from the sale of $15,347,000 of New Jersey net operating loss carryforwards and research and development tax credits. During the three and nine months ended January 31, 2013, the Company recorded an income tax benefit of $1,453,243, representing the proceeds from the sale of $18,675,000 of New Jersey net operating loss carryforwards and research and development tax credits.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a result of the sale of New Jersey net operating loss carryforwards, the Company did not recognize any consolidated income tax benefit (expense) for the three and nine month periods ended January 31, 2014 and 2013.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January 31, 2014, the Company had no material changes in uncertain tax positions.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Geographic information is as follows: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North</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Asia and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America</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Europe</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Australia</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196,783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2,839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199,622</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(2,062,915)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(165,977)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(322,205)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(2,551,097)</w:t>
            </w: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803,524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62,029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865,553</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(2,479,394)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(250,466)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(264,235)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(2,994,095)</w:t>
            </w: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January 31, 2014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945,372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178,785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1,124,157</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(7,900,261)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(877,902)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(1,008,796)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(9,786,959)</w:t>
            </w: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January 31, 2013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3,088,355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119,893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3,208,248</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(10,669,102)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(751,444)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(810,951)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(12,231,497)</w:t>
            </w: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January 31, 2014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547,791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14,356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562,586</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20,932,157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1,304,481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79,891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22,316,529</w:t>
            </w:r>
          </w:p>
        </w:tc>
      </w:tr>
      <w:tr>
        <w:trPr>
          <w:trHeight w:val="216"/>
        </w:trPr>
        <w:tc>
          <w:tcPr>
            <w:tcW w:w="580" w:type="dxa"/>
            <w:vAlign w:val="bottom"/>
          </w:tcPr>
          <w:p>
            <w:pPr>
              <w:spacing w:after="0"/>
              <w:rPr>
                <w:sz w:val="18"/>
                <w:szCs w:val="18"/>
                <w:color w:val="auto"/>
              </w:rPr>
            </w:pPr>
          </w:p>
        </w:tc>
        <w:tc>
          <w:tcPr>
            <w:tcW w:w="5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April 30, 2013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675,354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24,128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1,486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700,968</w:t>
            </w:r>
          </w:p>
        </w:tc>
      </w:tr>
      <w:tr>
        <w:trPr>
          <w:trHeight w:val="216"/>
        </w:trPr>
        <w:tc>
          <w:tcPr>
            <w:tcW w:w="5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23,097,183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1,518,496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215,380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24,831,059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January 31, 2014, the Company sold an additional 1,052,154 shares of common stock pursuant to the Offering Agreement for total net proceeds of approximately $3,765,100.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2013 refers to the year ended April 30,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operations and maintenance services for our PowerBuoy systems. In addition, we continue to develop and expect to market our undersea substation pod product and undersea power connection infrastructure services to other companies in the marine energy sector. Since fiscal 2002, government agencies have accounted for a significant portion of our revenues. These revenues were largely for the support of our product development efforts. Our goal is that an increased portion of our revenues be from the sale of products and maintenance services, as compared to revenue to support our product development efforts. As we continue to advance our proprietary technologies, we expect to have a net use of cash in operating activities unless or until we achieve positive cash flow from the planned commercialization of our products and services.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offshore oil and gas operations, tsunami warning, oceanographic data collection, and offshore aquaculture.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three wholly-owned subsidiaries: Ocean Power Technologies Ltd., organized under the laws of the United Kingdom and Reedsport OPT Wave Park LLC and Oregon Wave Energy Partners I, LLC, each organized under the laws of Delaware. We also own approximately 88% of the ordinary shares of Ocean Power Technologies (Australasia) Pty Ltd (“OPTA”), organized under the laws of Australia. OPTA owns 100% of Victorian Wave Partners Pty. Ltd. (“VWP”), which is also organized under the laws of Australia.</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or APB-350, incorporates a unique power take-off and on-board storage system, and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Mark 3 PowerBuoy were conducted. These ocean trials were conducted at a site approximately 33 nautical miles from Invergordon, off Scotland’s northeast coast. During the ocean trials, our Mark 3 PowerBuoy produced power in excess of our expectations of performance. Our utility-scale Mark 3 PowerBuoy structure and mooring system achieved independent certification from Lloyd’s Register in December 2010. This certification confirms that the Mark 3 PowerBuoy design complies with the requirements of Lloyd’s 1999 Rules and Regulations for the Classification of Floating Offshore Installations at Fixed Locations.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at the market offering facility (the “ATM Facility”) with Ascendiant Capital Markets, LLC (the “Manager”) via an At the Market Offering Agreement entered into in June 2013 (the “Offering Agreement”). Under the Offering Agreement, we may offer and sell shares of our common stock from time to time through or to the Manager, acting as sales agent and /or principal. Subject to certain limited exceptions, these sales are made in ordinary brokerage transactions at prevailing market prices. We have issued shares under the ATM Facility pursuant to an effective Form S-3 shelf registration statement (the “S-3 Shelf”).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During the nine months ended January 31, 2014, we sold 2,254,180 shares pursuant to the Offering Agreement for net proceeds of approximately $5,933,300 and subsequently sold 1,052,154 shares in February 2014 for net proceeds of approximately $3,765,100. Form S-3 limits the aggregate market value of securities that we are permitted to offer in any 12-month period under Form S-3, whether under the Offering Agreement or otherwise, to one third of our public float. Given the February 2014 share sales, we effectively reached the limit of the Offering Agreement and are currently assessing additional financing alternatives. Approximately $30.0 million remains available for issuance under the S-3 Shelf.</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2013, we worked on projects with Mitsui Engineering &amp; Shipbuilding (“MES”) and the US Department of Homeland Security, as well as our WavePort project in Spain and our Mark 3 PowerBuoy project in Oregon. We also worked on developing our Mark 4 PowerBuoy.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 months ended January 31, 2014, we announced that VWP, a project-specific operating entity wholly-owned by OPTA, has signed an agreement with the Australian Renewable Energy Agency ("ARENA"). This agreement is a Deed of Variation to the original Funding Deed through which an A$66.5 million grant was previously awarded by the Commonwealth of Australia. The grant is expected to be used towards the A$232 million proposed cost of building and deploying a 62.5MW estimated peak-rated wave power station off the coast of Australia (“VWP Project”). Among the important changes included in the new agreement are the incorporation of milestones for each of the three stages of the project, acceleration of reimbursement of eligible expenses for stages one and two, and an increase in the number of milestones to better support project cash flow requirements. This agreement also recognizes the role of Lockheed Martin as the lead for systems integration of the PowerBuoys and overall program management. The agreement defines the conditions for receiving grant funds including achievement of project milestones, obtaining of significant additional funding and other factors. We have engaged a financial advisor to lead efforts to structure power purchase agreements and assist us in securing appropriate financing for this project. We continued work on projects with the US Department of Energy, our WavePort project in Spain and our project with Mitsui Engineering &amp; Shipbuilding. We also continued our efforts to increase the power output and reliability of our utility and autonomous PowerBuoy systems.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Relative to our project off the coast of Oregon, the first phase would involve the deployment and commissioning of our Mark 3 PowerBuoy, which is conditional on various regulatory, business, and financial factors, including requirements of regulatory agencies and a significant use of funds. For the second phase, which would include grid connection of the first and nine additional buoys, we received a license from the Federal Energy Regulatory Commission (“FERC”) in August 2012 which authorized installation and operation of the grid connected wave energy array (the “License”). In addition, we signed a comprehensive settlement agreement among us and 13 federal and state agencies and non-governmental agencies in July 2010 (the “Settlement Agreement”).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FERC staff informed us in February 2013 of their view that the License’s various planning, reporting and other pre- and post-deployment requirements may extend to the first phase, non-grid connected buoy. We had understood that because the first buoy would not be grid-connected until a full array of 10 PowerBuoys was deployed, the first buoy would not be subject to the requirements of the License. Accordingly, in May 2013, we filed a Motion for Extensions to Comply with License Requirements with FERC. This motion sought to clarify this understanding by moving those various requirements into the future, aligning them with deployment of the full array of 10 PowerBuoys, so that they would not apply to the first non-grid connected buoy. In June 2013, FERC issued an order extending certain requirements for one year rather than aligning those requirements with the 10-buoy array as requested. By separate letter, we were informed by the FERC staff that the agency’s position remains that the License’s various requirements extend to the deployment of this initial buoy. We have chosen not to further contest this decision by FERC, and would be required to submit certain reports and perform additional studies associated with the deployment of the first buoy. This process would result in significant delay of the prospective deployment of the first Oregon PowerBuoy, as well as impose additional costs on us. Deployment and commissioning of the first buoy would need to take into consideration various regulatory requirements, business and financial factors, including the need to raise additional funding directly related to this project. As a result, we have suspended activity on this project as we assess these factors and consider the best path forward. The considerations important to this process include the raising of additional project-specific funding for the next steps under this project.</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third and final phase of the Oregon project has contemplated a 100-buoy, utility-scale wave power station. Our plans for phase three are sufficiently uncertain; and therefore we determined not to request an extension of the Preliminary Permit previously received from FERC. As a result, we informed FERC in February 2014 that we surrendered the Preliminary Permit for the third and final phase of this project.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January 31, 2014, our total negotiated backlog was $5.6 million compared with $4.3 million at January 31, 2013. We anticipate that a significant portion of our backlog will be recognized as revenue over a period exceeding 12 months. Approximately $1.2 million of our backlog at January 31, 2014 is for our Oregon project; our continuation of work on this project and the prospective realization of that backlog as revenues would depend on certain factors, including the resolution of regulatory matters, the availability of additional funding to specifically enable completion of this project and the result of discussions with key project stakeholders. Most of our backlog at January 31, 2014 and 2013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Our backlog was fully funded at January 31, 2014 and 2013. Further, we were selected for a $1.0 million award from the DOE to enhance the commercial viability of our PowerBuoy system through mechanical component design changes. As of January 31, 2014, the receipt of funds under this award was subject to the negotiation of a definitive contract and confirmation of cost sharing sources and this award is not included in our negotiated backlog.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For the three months ended January 31, 2014, we generated revenues of $0.2 million and incurred a net loss attributable to Ocean Power Technologies, Inc. of $0.7 million, compared to revenues of $0.9 million and a net loss attributable to Ocean Power Technologies, Inc. of $1.5 million for the three months ended January 31, 2013. As of January 31, 2014, our accumulated deficit was $148.4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continued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that the continuing global economic uncertainty will have a material negative impact on our sources of supply, as our products incorporate what are substantially non-custom standard parts found in many regions of the world.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and nine months ended January 31, 2014 and 2013 was from cost-sharing contracts.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2014 and 2013. During the three months ended January 31, 2014, we recognized negative revenues due to increased estimated costs associated with our WavePort project off the coast of Spain.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Customer</w:t>
            </w:r>
          </w:p>
        </w:tc>
        <w:tc>
          <w:tcPr>
            <w:tcW w:w="138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January 31,</w:t>
            </w: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3"/>
              </w:rPr>
              <w:t>Nine months ended January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 millions)</w:t>
            </w: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6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 Government's Technology Strategy Board</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focus our sales and marketing efforts on North America, the west coast of Europe, Australia and Japan. The following table provides information regarding the breakdown of our revenues by geographical location of our customers for the nine months ended January 31, 2014 and 2013:</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183"/>
        </w:trPr>
        <w:tc>
          <w:tcPr>
            <w:tcW w:w="51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980" w:type="dxa"/>
            <w:vAlign w:val="bottom"/>
          </w:tcPr>
          <w:p>
            <w:pPr>
              <w:jc w:val="right"/>
              <w:ind w:right="732"/>
              <w:spacing w:after="0" w:line="182" w:lineRule="exact"/>
              <w:rPr>
                <w:sz w:val="20"/>
                <w:szCs w:val="20"/>
                <w:color w:val="auto"/>
              </w:rPr>
            </w:pPr>
            <w:r>
              <w:rPr>
                <w:rFonts w:ascii="Arial" w:cs="Arial" w:eastAsia="Arial" w:hAnsi="Arial"/>
                <w:sz w:val="18"/>
                <w:szCs w:val="18"/>
                <w:b w:val="1"/>
                <w:bCs w:val="1"/>
                <w:color w:val="auto"/>
              </w:rPr>
              <w:t>2014</w:t>
            </w:r>
          </w:p>
        </w:tc>
        <w:tc>
          <w:tcPr>
            <w:tcW w:w="2020" w:type="dxa"/>
            <w:vAlign w:val="bottom"/>
            <w:gridSpan w:val="2"/>
          </w:tcPr>
          <w:p>
            <w:pPr>
              <w:jc w:val="right"/>
              <w:ind w:right="710"/>
              <w:spacing w:after="0" w:line="182"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34%</w:t>
            </w:r>
          </w:p>
        </w:tc>
        <w:tc>
          <w:tcPr>
            <w:tcW w:w="20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980" w:type="dxa"/>
            <w:vAlign w:val="bottom"/>
          </w:tcPr>
          <w:p>
            <w:pPr>
              <w:jc w:val="right"/>
              <w:ind w:right="872"/>
              <w:spacing w:after="0"/>
              <w:rPr>
                <w:sz w:val="20"/>
                <w:szCs w:val="20"/>
                <w:color w:val="auto"/>
              </w:rPr>
            </w:pPr>
            <w:r>
              <w:rPr>
                <w:rFonts w:ascii="Arial" w:cs="Arial" w:eastAsia="Arial" w:hAnsi="Arial"/>
                <w:sz w:val="18"/>
                <w:szCs w:val="18"/>
                <w:color w:val="auto"/>
              </w:rPr>
              <w:t>45%</w:t>
            </w:r>
          </w:p>
        </w:tc>
        <w:tc>
          <w:tcPr>
            <w:tcW w:w="2020" w:type="dxa"/>
            <w:vAlign w:val="bottom"/>
            <w:gridSpan w:val="2"/>
          </w:tcPr>
          <w:p>
            <w:pPr>
              <w:jc w:val="right"/>
              <w:ind w:right="7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980" w:type="dxa"/>
            <w:vAlign w:val="bottom"/>
          </w:tcPr>
          <w:p>
            <w:pPr>
              <w:jc w:val="right"/>
              <w:ind w:right="872"/>
              <w:spacing w:after="0" w:line="250" w:lineRule="exact"/>
              <w:rPr>
                <w:sz w:val="20"/>
                <w:szCs w:val="20"/>
                <w:color w:val="auto"/>
              </w:rPr>
            </w:pPr>
            <w:r>
              <w:rPr>
                <w:rFonts w:ascii="Arial" w:cs="Arial" w:eastAsia="Arial" w:hAnsi="Arial"/>
                <w:sz w:val="15"/>
                <w:szCs w:val="15"/>
                <w:color w:val="auto"/>
              </w:rPr>
              <w:t>100</w:t>
            </w:r>
            <w:r>
              <w:rPr>
                <w:rFonts w:ascii="Arial" w:cs="Arial" w:eastAsia="Arial" w:hAnsi="Arial"/>
                <w:sz w:val="28"/>
                <w:szCs w:val="28"/>
                <w:color w:val="auto"/>
                <w:vertAlign w:val="superscript"/>
              </w:rPr>
              <w:t>%</w:t>
            </w:r>
          </w:p>
        </w:tc>
        <w:tc>
          <w:tcPr>
            <w:tcW w:w="2020" w:type="dxa"/>
            <w:vAlign w:val="bottom"/>
            <w:gridSpan w:val="2"/>
          </w:tcPr>
          <w:p>
            <w:pPr>
              <w:jc w:val="right"/>
              <w:ind w:right="790"/>
              <w:spacing w:after="0" w:line="250" w:lineRule="exact"/>
              <w:rPr>
                <w:sz w:val="20"/>
                <w:szCs w:val="20"/>
                <w:color w:val="auto"/>
              </w:rPr>
            </w:pPr>
            <w:r>
              <w:rPr>
                <w:rFonts w:ascii="Arial" w:cs="Arial" w:eastAsia="Arial" w:hAnsi="Arial"/>
                <w:sz w:val="15"/>
                <w:szCs w:val="15"/>
                <w:color w:val="auto"/>
              </w:rPr>
              <w:t>100</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Most of our revenue recorded for the nine months ended January 31, 2014 and 2013 was generated from cost-sharing contracts, which result in zero gross profit. Our ability to generate a gross profit will depend on the nature of future contracts, our success at developing sales of our PowerBuoy systems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and autonomous PowerBuoy systems,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product development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$19.6 million as of January 31, 2014, compared to $24.5 million as of January 31,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2014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$2.1 million as of January 31, 2014 and $3.2 million as of January 31, 2013, compared to our total cash, cash equivalents, restricted cash, and marketable securities balances of $19.6 million as of January 31, 2014 and $24.5 million as of January 31, 2013.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nine months ended January 31, 2014 and 2013 were recorded in Euros, British pounds sterling or Japanese yen.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January 31, 2014 and 2013, we sold New Jersey net operating tax loss carryforwards and research and development credits resulting in income tax benefits of $1.7 million and $1.5 million, respectively. Previously, these carryforward amounts were subject to valuation allowances.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2014 Compared to Three Months Ended January 31, 2013</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2014 and 2013: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3"/>
              </w:rPr>
              <w:t>Three Months Ended January 31,</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2014 Period to</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2013 Period</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865,553</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193,213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890,051</w:t>
            </w:r>
          </w:p>
        </w:tc>
        <w:tc>
          <w:tcPr>
            <w:tcW w:w="1720" w:type="dxa"/>
            <w:vAlign w:val="bottom"/>
          </w:tcPr>
          <w:p>
            <w:pPr>
              <w:jc w:val="right"/>
              <w:ind w:right="73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(24,498)</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601,748</w:t>
            </w:r>
          </w:p>
        </w:tc>
        <w:tc>
          <w:tcPr>
            <w:tcW w:w="172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1,771,560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2,367,849</w:t>
            </w:r>
          </w:p>
        </w:tc>
        <w:tc>
          <w:tcPr>
            <w:tcW w:w="1720" w:type="dxa"/>
            <w:vAlign w:val="bottom"/>
          </w:tcPr>
          <w:p>
            <w:pPr>
              <w:jc w:val="right"/>
              <w:ind w:right="7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2,557,506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2,969,597</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(2,551,097)</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(2,994,095)</w:t>
            </w:r>
          </w:p>
        </w:tc>
        <w:tc>
          <w:tcPr>
            <w:tcW w:w="1720" w:type="dxa"/>
            <w:vAlign w:val="bottom"/>
          </w:tcPr>
          <w:p>
            <w:pPr>
              <w:jc w:val="right"/>
              <w:ind w:right="7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21,804</w:t>
            </w:r>
          </w:p>
        </w:tc>
        <w:tc>
          <w:tcPr>
            <w:tcW w:w="17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Foreign exchange gain</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23,448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21,778</w:t>
            </w:r>
          </w:p>
        </w:tc>
        <w:tc>
          <w:tcPr>
            <w:tcW w:w="1720" w:type="dxa"/>
            <w:vAlign w:val="bottom"/>
          </w:tcPr>
          <w:p>
            <w:pPr>
              <w:jc w:val="right"/>
              <w:ind w:right="79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(2,524,313)</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(2,950,513)</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1,745,895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1,453,243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200" w:type="dxa"/>
            <w:vAlign w:val="bottom"/>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(1,497,270)</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5320" w:type="dxa"/>
            <w:vAlign w:val="bottom"/>
          </w:tcPr>
          <w:p>
            <w:pPr>
              <w:ind w:left="320"/>
              <w:spacing w:after="0" w:line="201" w:lineRule="exact"/>
              <w:rPr>
                <w:sz w:val="20"/>
                <w:szCs w:val="20"/>
                <w:color w:val="auto"/>
              </w:rPr>
            </w:pPr>
            <w:r>
              <w:rPr>
                <w:rFonts w:ascii="Arial" w:cs="Arial" w:eastAsia="Arial" w:hAnsi="Arial"/>
                <w:sz w:val="18"/>
                <w:szCs w:val="18"/>
                <w:color w:val="auto"/>
                <w:w w:val="96"/>
              </w:rPr>
              <w:t>Less: Net loss attributable to the noncontrolling interest in Ocean</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38,628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31,499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480"/>
              <w:spacing w:after="0"/>
              <w:rPr>
                <w:sz w:val="20"/>
                <w:szCs w:val="20"/>
                <w:color w:val="auto"/>
              </w:rPr>
            </w:pPr>
            <w:r>
              <w:rPr>
                <w:rFonts w:ascii="Arial" w:cs="Arial" w:eastAsia="Arial" w:hAnsi="Arial"/>
                <w:sz w:val="18"/>
                <w:szCs w:val="18"/>
                <w:color w:val="auto"/>
              </w:rPr>
              <w:t>Power Technologies (Australasia) Pty Ltd</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20" w:type="dxa"/>
            <w:vAlign w:val="bottom"/>
          </w:tcPr>
          <w:p>
            <w:pPr>
              <w:jc w:val="right"/>
              <w:ind w:right="7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(739,790)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(1,465,771)</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631"/>
              <w:spacing w:after="0" w:line="210" w:lineRule="exact"/>
              <w:rPr>
                <w:sz w:val="20"/>
                <w:szCs w:val="20"/>
                <w:color w:val="auto"/>
              </w:rPr>
            </w:pPr>
            <w:r>
              <w:rPr>
                <w:rFonts w:ascii="Arial" w:cs="Arial" w:eastAsia="Arial" w:hAnsi="Arial"/>
                <w:sz w:val="14"/>
                <w:szCs w:val="14"/>
                <w:color w:val="auto"/>
              </w:rPr>
              <w:t>50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decreased by $0.7 million, or 77%, to $0.2 million in the three months ended January 31, 2014, as compared to $0.9 million in the three months ended January 31, 2013. The decrease in revenue resulted from the suspension of our Mark 3 PowerBuoy project off the coast of Oregon, decreased billable work on our PowerBuoy development projects and increased estimated costs associated with our WavePort project off the coast of Spain. These decreases were partially offset by an increase related to work performed under the $2.6 million contract entered into in October 2013 with 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revenues decreased by $0.7 million, or 78%, to $0.2 million in the three months ended January 31, 2014, as compared to $0.9 million in the three months ended January 31, 2013. The decrease in cost of revenues resulted from the suspension of our Mark 3 PowerBuoy project off the coast of Oregon, decreased billable work on our PowerBuoy development projects and increased estimated costs associated with our WavePort project off the coast of Spain. These decreases were partially offset by an increase related to work performed under the $2.6 million contract entered into in October 2013 with MES.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operated at a slight gross profit in the three month period ended January 31, 2014 as compared to a gross loss in the three months ended January 31, 2013. Most of our projects in the three month periods ended January 31, 2014 and 2013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Product development costs increased by $0.2 million, or 31%, to $0.8 million in the three months ended January 31, 2014, as compared to $0.6 million in the three months ended January 31, 2013. Product development costs were attributable primarily to our efforts to increase the power output and reliability of our utility and autonomous PowerBuoy systems. Over the next several years, it is our intent to fund the majority of our product development expenses, including cost-sharing arrangements, with sources of external funding. If we are unable to obtain external funding, we may curtail our product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decreased by approximately $0.6 million, or 25%, to $1.8 million for the three months ended January 31, 2014 as compared to $2.4 million for the three months ended January 31, 2013. The decrease was due primarily to decreased employee related costs and the collection of an accounts receivable that had been fully reserved for in a prior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decreased approximately 85% to $3,300 for the three months ended January 31, 2014, as compared to approximately $22,000 in the three months ended January 31, 2013, due to a decrease in cash, cash equivalents and marketable securities and a decrease in average yield.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Foreign exchange gain was $23,000 for the three months ended January 31, 2014, compared to $22,000 for the three months ended January 31, 2013. The difference was attributable primarily to the relative change in value of the British pound sterling, Euro, Australian dollar and Japanese yen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nine months ended January 31, 2014 and 2013, we sold New Jersey net operating tax loss carryforwards and research and development credits resulting in income tax benefits of $1.7 million and $1.5 million, respectively. Previously, these carryforward amounts were subject to valuation allowances.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Nine Months Ended January 31, 2014 Compared to Nine Months Ended January 31, 2013</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2014 and 2013:</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w w:val="94"/>
              </w:rPr>
              <w:t>Nine Months Ended January 31,</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1"/>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5"/>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2014 Period to</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2013 Period</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3,208,248</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1,115,925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3,116,188</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92,060</w:t>
            </w: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3,666,980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5,466,742</w:t>
            </w:r>
          </w:p>
        </w:tc>
        <w:tc>
          <w:tcPr>
            <w:tcW w:w="172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24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6,128,211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6,856,815</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9,795,191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12,323,557</w:t>
            </w: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(9,786,959)</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(12,231,497)</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112,116</w:t>
            </w:r>
          </w:p>
        </w:tc>
        <w:tc>
          <w:tcPr>
            <w:tcW w:w="172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exchange gain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152,575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16,196</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(9,627,811)</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(12,103,185)</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1,745,895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1,453,243</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(7,881,916)</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(10,649,942)</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524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Net loss attributable to the noncontrolling interest in Ocean</w:t>
            </w: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121,599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96,578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320"/>
              <w:spacing w:after="0"/>
              <w:rPr>
                <w:sz w:val="20"/>
                <w:szCs w:val="20"/>
                <w:color w:val="auto"/>
              </w:rPr>
            </w:pPr>
            <w:r>
              <w:rPr>
                <w:rFonts w:ascii="Arial" w:cs="Arial" w:eastAsia="Arial" w:hAnsi="Arial"/>
                <w:sz w:val="18"/>
                <w:szCs w:val="18"/>
                <w:color w:val="auto"/>
              </w:rPr>
              <w:t>Power Technologies (Australasia) Pty Ltd</w:t>
            </w: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(7,760,317)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(10,553,364)</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1"/>
              <w:spacing w:after="0" w:line="210" w:lineRule="exact"/>
              <w:rPr>
                <w:sz w:val="20"/>
                <w:szCs w:val="20"/>
                <w:color w:val="auto"/>
              </w:rPr>
            </w:pPr>
            <w:r>
              <w:rPr>
                <w:rFonts w:ascii="Arial" w:cs="Arial" w:eastAsia="Arial" w:hAnsi="Arial"/>
                <w:sz w:val="14"/>
                <w:szCs w:val="14"/>
                <w:color w:val="auto"/>
              </w:rPr>
              <w:t>26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by $2.1 million, or 65%, to $1.1 million in the nine months ended January 31, 2014, as compared to $3.2 million in the nine months ended January 31, 2013. The decrease in revenue related to the suspension of our Mark 3 PowerBuoy project off the coast of Oregon, decreased billable work on our PowerBuoy development projects, the completion of a project with MES in the prior fiscal year, and increased estimated costs associated with our WavePort project off the coast of Spain.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revenues decreased by $2.0 million, or 64%, to $1.1 million in the nine months ended January 31, 2014, as compared to $3.1 million in the nine months ended January 31, 2013. The decrease in cost of revenues related to the suspension of our Mark 3 PowerBuoy project off the coast of Oregon, decreased billable work on our PowerBuoy development projects, the completion of a project with MES in the prior fiscal year, and increased estimated costs associated with our WavePort project off the coast of Spain.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operated at a gross profit in the nine month periods ended January 31, 2014 and 2013. Most of our projects in the nine month periods ended January 31, 2014 and 2013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development costs decreased by $1.8 million, or 33%, to $3.7 million in the nine months ended January 31, 2014, as compared to $5.5 million in the nine months ended January 31, 2013. Product development costs were attributable primarily to our efforts to increase the power output and reliability of our utility and autonomous PowerBuoy systems. The decrease in product development costs was related primarily to a decrease in activity related to our PowerBuoy project off the coast of Oregon. Over the next several years, it is our intent to fund the majority of our product development expenses, including cost-sharing arrangements, with sources of external funding. If we are unable to obtain external funding, we may curtail our product development expenses. During the nine months ended January 31, 2014, the majority of funding for our PowerBuoy development project was from external 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costs decreased by approximately $0.8 million, or 11%, to $6.1 million for the nine months ended January 31, 2014 as compared to $6.9 million for the nine months ended January 31, 2013. The decrease was due primarily to decreased employee related costs and third party consultant costs and the collection of the Ibermar account receivable that had been fully reserved for in a prior period. These decreases were partially offset by fees associated with the establishment of the At the Market Offering Agreement and site development expenses related to the VWP project in Australia.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decreased approximately 94% to $6,600 for the nine months ended January 31, 2014, as compared to approximately $112,000 in the nine months ended January 31, 2013, due to a decrease in cash, cash equivalents and marketable securities and a decrease in average yield.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Foreign exchange gain was $153,000 for the nine months ended January 31, 2014, compared to $16,000 for the nine months ended January 31, 2013. The difference was attributable primarily to the relative change in value of the British pound sterling, Euro, Australian dollar and Japanese yen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January 31, 2014 and 2013, we sold New Jersey net operating tax loss carryforwards and research and development credits resulting in income tax benefits of $1.7 million and $1.5 million, respectively. Previously, these carryforward amounts were subject to valuation allowances.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2013, our net losses were $30.0 million and our net cash used in operating activities was $24.8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Cash flows for the nine months ended January 31, 2014 and 2013 were as follows: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6"/>
              </w:rPr>
              <w:t>Nine Months Ended January 31,</w:t>
            </w: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(10,649,942)</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1,143,387</w:t>
            </w:r>
          </w:p>
        </w:tc>
      </w:tr>
      <w:tr>
        <w:trPr>
          <w:trHeight w:val="210"/>
        </w:trPr>
        <w:tc>
          <w:tcPr>
            <w:tcW w:w="860" w:type="dxa"/>
            <w:vAlign w:val="bottom"/>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(7,434,497)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(9,506,555)</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(617,520)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1,292,804</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(8,052,017)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(8,213,751)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56"/>
        </w:trPr>
        <w:tc>
          <w:tcPr>
            <w:tcW w:w="86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1,728,959</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7,921,183</w:t>
            </w:r>
          </w:p>
        </w:tc>
      </w:tr>
      <w:tr>
        <w:trPr>
          <w:trHeight w:val="197"/>
        </w:trPr>
        <w:tc>
          <w:tcPr>
            <w:tcW w:w="860" w:type="dxa"/>
            <w:vAlign w:val="bottom"/>
          </w:tcPr>
          <w:p>
            <w:pPr>
              <w:spacing w:after="0"/>
              <w:rPr>
                <w:sz w:val="17"/>
                <w:szCs w:val="17"/>
                <w:color w:val="auto"/>
              </w:rPr>
            </w:pPr>
          </w:p>
        </w:tc>
        <w:tc>
          <w:tcPr>
            <w:tcW w:w="6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6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5,859,445</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(96,505)</w:t>
            </w:r>
          </w:p>
        </w:tc>
      </w:tr>
      <w:tr>
        <w:trPr>
          <w:trHeight w:val="197"/>
        </w:trPr>
        <w:tc>
          <w:tcPr>
            <w:tcW w:w="860" w:type="dxa"/>
            <w:vAlign w:val="bottom"/>
          </w:tcPr>
          <w:p>
            <w:pPr>
              <w:spacing w:after="0"/>
              <w:rPr>
                <w:sz w:val="17"/>
                <w:szCs w:val="17"/>
                <w:color w:val="auto"/>
              </w:rPr>
            </w:pPr>
          </w:p>
        </w:tc>
        <w:tc>
          <w:tcPr>
            <w:tcW w:w="6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(9,446)</w:t>
            </w:r>
          </w:p>
        </w:tc>
      </w:tr>
      <w:tr>
        <w:trPr>
          <w:trHeight w:val="20"/>
        </w:trPr>
        <w:tc>
          <w:tcPr>
            <w:tcW w:w="86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$8.0 million and $8.2 million for the nine months ended January 31, 2014 and 2013, respectively. The change was the result of a decrease in net loss of $2.8 million and decreases in noncash operating items of $0.7 million, offset by a decrease in cash used by the net change in operating assets and liabilities of $1.9 million.</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net loss for the nine months ended January 31, 2014 compared to the nine months ended January 31, 2014 reflects a decrease in product development costs of $1.8 million relating primarily to a decrease in activity related to our PowerBuoy project off the coast of Oregon.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noncash operating items during the nine months January 31, 2014 reflects a decrease in equity compensation of $0.2 million, a gain on foreign exchange of $0.1 million, and the reversal of a prior period allowance for doubtful accounts receivable of $0.3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operating assets and liabilities during the nine months January 31, 2014 reflects the collection of $0.6 million in accounts receivable, a net decrease in accounts payable and accrued expenses of $0.5 million, offset by an increase of $0.2 million for prepaid insurance and unbilled receivables, and a net increase of $0.3 million in other noncurrent assets, during the nine months ended January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$1.7 million for the nine months ended January 31, 2014 and $7.9 million for the nine months ended January 31, 2013. The change was primarily the result of a net decrease in purchases of marketable securities of $5.7 million, an increase in restricted cash of $0.8 million, offset by decreased purchases of equipment of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$5.9 million for the nine months ended January 31, 2014 compared to net cash used in financing activities of $97,000 for the nine months ended January 31, 2013. The change was primarily the result of proceeds of $5.9 million received in the current year period from the sale of common stock pursuant to the ATM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$7,000 and a decrease of $9,000 in the nine months ended January 31, 2014 and 2013,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incurred negative operating cash flows since our inception. As of January 31, 2014, our cash and cash equivalents, marketable securities and restricted cash balance was approximately $19.6 million. Based upon our cash and cash equivalents and marketable securities balance as of January 31, 2014, we believe that we will be able to finance our capital requirements and operations into the second calendar quarter of 2015.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2013, we filed with the SEC a shelf registration statement on Form S-3 registering the sale of up to $40,000,000 of debt, equity and other securities (the “S-3 Shelf”). The S-3 Shelf was declared effective in February 2013 and affords us additional financial flexibility. On June 6, 2013, we entered into an At the Market Offering Agreement (the “Offering Agreement”) with Ascendiant Capital Markets, LLC (the “Manager”).</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nine months ended January 31, 2014, we sold 2,254,180 shares pursuant to the Offering Agreement for net proceeds of approximately $5,933,300 and subsequently sold 1,052,154 shares in February 2014 for net proceeds of approximately $3,765,100. Form S-3 limits the aggregate market value of securities that we are permitted to offer in any 12-month period under Form S-3, whether under the Offering Agreement or otherwise, to one third of our public float. With the February 2014 share sales, we effectively reached the limit of the Offering Agreement and are currently assessing additional financing alternatives. Approximately $30.0 million remains available under the S-3 Shelf.</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ARENA agreement related to the VWP Project, conditions for receiving grant funds include achievement of project milestones, obtaining significant additional funding and other factors. Raising such additional funding for the VWP Project is in addition to financing requirements which may otherwise be needed for other Company operations. As additional equity related to the VWP Project is raised, our ownership percentage of OPTA and VWP may be diluted.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January 31, 2014,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January 31, 2014 that has materially affected, or is reasonably likely to materially affect, our internal control over financial reporting.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2013.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Changes in our risk factors from those disclosed in our Annual Report on Form 10-K filed with the SEC on July 12, 2013 are included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manage our growth could adversely affect our business and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growth, we may add sales, marketing and engineering offices in our existing and/or additional locations, which may include Australia, Japan, and continental Europe and which may result in additional organizational complexity.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and other regulatory proceedings that may negatively impact our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litigation and regulatory actions relating to our business. The initiation or defense of litigation or regulatory actions would require us to make certain expenditures and can divert the attention of our management away from operating our business. In addition, an unfavorable decision or outcome could result in further, potentially significant, expenditures. Where disclosure is required, we will discuss current legal proceedings in which we are involved in our periodic reports filed with the SEC.</w:t>
      </w:r>
    </w:p>
    <w:p>
      <w:pPr>
        <w:spacing w:after="0" w:line="200" w:lineRule="exact"/>
        <w:rPr>
          <w:sz w:val="20"/>
          <w:szCs w:val="20"/>
          <w:color w:val="auto"/>
        </w:rPr>
      </w:pPr>
    </w:p>
    <w:p>
      <w:pPr>
        <w:spacing w:after="0" w:line="25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unregistered sales of equity securities or purchases of equity securities by the Company that are required to be disclosed.</w:t>
      </w:r>
    </w:p>
    <w:p>
      <w:pPr>
        <w:spacing w:after="0" w:line="200" w:lineRule="exact"/>
        <w:rPr>
          <w:sz w:val="20"/>
          <w:szCs w:val="20"/>
          <w:color w:val="auto"/>
        </w:rPr>
      </w:pP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December 2, 2013, between Mark A. Featherstone and Ocean Power Technologies, Inc.</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letter to Employment Agreement, dated December 11, 2013, between George W. Taylor and Ocean Power Technologies, Inc.</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letter to Employment Agreement, dated December 11, 2013, between Charles F. Dunleavy and Ocean Power Technologies, Inc.</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1140" w:hanging="848"/>
        <w:spacing w:after="0" w:line="293"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2014, filed March 14, 2014: (i) Consolidated Balance Sheets – January 31, 2014 (unaudited) and April 30, 2013, (ii) Consolidated Statements of Operations (unaudited) – Three and Nine Months Ended January 31, 2014 and 2013, (iii) Consolidated Statements of Comprehensive Loss (unaudited) – Three and Nine Months Ended January 31, 2014 and 2013, (iv) Consolidated Statements of Cash Flows (unaudited) – Nine Months Ended January 31, 2014 and 2013, (v) Consolidated Statements of Stockholders’ Equity (unaudited) – Nine Months Ended January 31, 2014 and 2013 and (vi)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F. Dunleavy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Featherstone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6327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center"/>
        <w:ind w:right="260"/>
        <w:spacing w:after="0"/>
        <w:rPr>
          <w:sz w:val="20"/>
          <w:szCs w:val="20"/>
          <w:color w:val="auto"/>
        </w:rPr>
      </w:pPr>
      <w:r>
        <w:rPr>
          <w:rFonts w:ascii="Arial" w:cs="Arial" w:eastAsia="Arial" w:hAnsi="Arial"/>
          <w:sz w:val="18"/>
          <w:szCs w:val="18"/>
          <w:b w:val="1"/>
          <w:bCs w:val="1"/>
          <w:color w:val="auto"/>
        </w:rPr>
        <w:t>EXHIBITS INDEX</w:t>
      </w:r>
    </w:p>
    <w:p>
      <w:pPr>
        <w:spacing w:after="0" w:line="2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December 2, 2013, between Mark A. Featherstone and Ocean Power Technologies, Inc.</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letter to Employment Agreement, dated December 11, 2013, between George W. Taylor and Ocean Power Technologies, Inc.</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letter to Employment Agreement, dated December 11, 2013, between Charles F. Dunleavy and Ocean Power Technologies, Inc.</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880" w:hanging="841"/>
        <w:spacing w:after="0" w:line="293"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2014, filed March 14, 2014: (i) Consolidated Balance Sheets – January 31, 2014 (unaudited) and April 30, 2013, (ii) Consolidated Statements of Operations (unaudited) – Three and Nine Months Ended January 31, 2014 and 2012, (iii) Consolidated Statements of Comprehensive Loss (unaudited) – Three and Nine Months Ended January 31, 2014 and 2013, (iv) Consolidated Statements of Cash Flows (unaudited) – Nine Months Ended January 31, 2014 and 2013, (v) Consolidated Statements of Stockholders’ Equity (unaudited) – Nine Months Ended January 31, 2014 and 201 and (vi)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140"/>
          </w:cols>
          <w:pgMar w:left="52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17145</wp:posOffset>
            </wp:positionV>
            <wp:extent cx="2461260" cy="5918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1590 Reed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Pennington, NJ 08534 USA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609-730-0400 - Fax: 609-730-0404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Mark A. Featherstone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 (“OPT” or the “Company”) is very pleased to offer you a position as a full time employee.</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OPT hereby offers to you the position of Chief Financial Officer, Secretary and Treasurer of Ocean Power Technologies, Inc., reporting to me. As such, your duties and responsibilities will be those duties and responsibilities consistent with your position as may from time to time be assigned by me, including your focus on the Company’s financial, accounting, reporting and regulatory activities.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OPT may add to or alter your position and responsibilities as deemed appropriate in the future. In addition, you will have the following responsibilities: (a) devote attention, labor, skill and energy to the business of OPT and diligently, and to the best of your ability, perform all duties incident to your employment as described in this letter, and (b) use your best efforts to promote the interests, goodwill and welfare of OPT.</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Compensation for your services, subject to the terms of this letter, shall be a salary of </w:t>
      </w:r>
      <w:r>
        <w:rPr>
          <w:rFonts w:ascii="Arial" w:cs="Arial" w:eastAsia="Arial" w:hAnsi="Arial"/>
          <w:sz w:val="17"/>
          <w:szCs w:val="17"/>
          <w:b w:val="1"/>
          <w:bCs w:val="1"/>
          <w:color w:val="auto"/>
        </w:rPr>
        <w:t>$270,000.00 on an annual basis</w:t>
      </w:r>
      <w:r>
        <w:rPr>
          <w:rFonts w:ascii="Arial" w:cs="Arial" w:eastAsia="Arial" w:hAnsi="Arial"/>
          <w:sz w:val="17"/>
          <w:szCs w:val="17"/>
          <w:color w:val="auto"/>
        </w:rPr>
        <w:t xml:space="preserve">, to be paid semi-monthly in accordance with OPT’s payroll practices, for as long as you are employed or until a change is made by OPT to your salary. Also, subject to approval of the Board of Directors of OPT, subsequent to the commencement of your employment with the Company you will be awarded </w:t>
      </w:r>
      <w:r>
        <w:rPr>
          <w:rFonts w:ascii="Arial" w:cs="Arial" w:eastAsia="Arial" w:hAnsi="Arial"/>
          <w:sz w:val="17"/>
          <w:szCs w:val="17"/>
          <w:b w:val="1"/>
          <w:bCs w:val="1"/>
          <w:color w:val="auto"/>
        </w:rPr>
        <w:t>options to acquire 50,000 shares</w:t>
      </w:r>
      <w:r>
        <w:rPr>
          <w:rFonts w:ascii="Arial" w:cs="Arial" w:eastAsia="Arial" w:hAnsi="Arial"/>
          <w:sz w:val="17"/>
          <w:szCs w:val="17"/>
          <w:color w:val="auto"/>
        </w:rPr>
        <w:t xml:space="preserve"> of the common stock of OPT, and </w:t>
      </w:r>
      <w:r>
        <w:rPr>
          <w:rFonts w:ascii="Arial" w:cs="Arial" w:eastAsia="Arial" w:hAnsi="Arial"/>
          <w:sz w:val="17"/>
          <w:szCs w:val="17"/>
          <w:b w:val="1"/>
          <w:bCs w:val="1"/>
          <w:color w:val="auto"/>
        </w:rPr>
        <w:t>25,000 restricted shares</w:t>
      </w:r>
      <w:r>
        <w:rPr>
          <w:rFonts w:ascii="Arial" w:cs="Arial" w:eastAsia="Arial" w:hAnsi="Arial"/>
          <w:sz w:val="17"/>
          <w:szCs w:val="17"/>
          <w:color w:val="auto"/>
        </w:rPr>
        <w:t xml:space="preserve"> of the common stock of OPT, under and subject to the terms of the OPT 2006 Stock Incentive Plan, as amended, and the Company’s standard restricted stock and stock option agreements. The option grant will be vested over three years based on attainment of performance goals to be agreed upon with me, assuming you remain employed by the Company on such vesting dates. The term of these options will be for a period of ten (10) years from the date of grant, in accord with the Company’s standard form of stock option agreement. Of the restricted stock grant, the shares will be vested over three years, based on attainment of performance goals to be agreed upon with me, assuming you remain employed by the Company on such vesting dates.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You will also be eligible to participate in the Company’s 401(k) Plan, which currently provides for a </w:t>
      </w:r>
      <w:r>
        <w:rPr>
          <w:rFonts w:ascii="Arial" w:cs="Arial" w:eastAsia="Arial" w:hAnsi="Arial"/>
          <w:sz w:val="18"/>
          <w:szCs w:val="18"/>
          <w:b w:val="1"/>
          <w:bCs w:val="1"/>
          <w:color w:val="auto"/>
        </w:rPr>
        <w:t>50% employer match</w:t>
      </w:r>
      <w:r>
        <w:rPr>
          <w:rFonts w:ascii="Arial" w:cs="Arial" w:eastAsia="Arial" w:hAnsi="Arial"/>
          <w:sz w:val="18"/>
          <w:szCs w:val="18"/>
          <w:color w:val="auto"/>
        </w:rPr>
        <w:t xml:space="preserve"> to employee contributions, under stated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472440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You shall be expected to work during OPT’s normal operating hours, as well as any additional hours needed in order to complete your assigned tasks.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to you shall be less all amounts required to be withheld by Federal, State and all applicable income tax laws, regulations and rulings.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will receive reviews of your job performance in accordance with OPT’s policies. Adjustments to your compensation, if any, will generally be considered on an annual basis. In connection with reviews of your job performance and overall performance of the Company, you will be </w:t>
      </w:r>
      <w:r>
        <w:rPr>
          <w:rFonts w:ascii="Arial" w:cs="Arial" w:eastAsia="Arial" w:hAnsi="Arial"/>
          <w:sz w:val="18"/>
          <w:szCs w:val="18"/>
          <w:b w:val="1"/>
          <w:bCs w:val="1"/>
          <w:color w:val="auto"/>
        </w:rPr>
        <w:t>eligible for consideration of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bonus award with a target of 35% </w:t>
      </w:r>
      <w:r>
        <w:rPr>
          <w:rFonts w:ascii="Arial" w:cs="Arial" w:eastAsia="Arial" w:hAnsi="Arial"/>
          <w:sz w:val="18"/>
          <w:szCs w:val="18"/>
          <w:color w:val="auto"/>
        </w:rPr>
        <w:t>of your base salary and with a</w:t>
      </w:r>
      <w:r>
        <w:rPr>
          <w:rFonts w:ascii="Arial" w:cs="Arial" w:eastAsia="Arial" w:hAnsi="Arial"/>
          <w:sz w:val="18"/>
          <w:szCs w:val="18"/>
          <w:b w:val="1"/>
          <w:bCs w:val="1"/>
          <w:color w:val="auto"/>
        </w:rPr>
        <w:t xml:space="preserve"> maximum upside of 150% of that target </w:t>
      </w:r>
      <w:r>
        <w:rPr>
          <w:rFonts w:ascii="Arial" w:cs="Arial" w:eastAsia="Arial" w:hAnsi="Arial"/>
          <w:sz w:val="18"/>
          <w:szCs w:val="18"/>
          <w:color w:val="auto"/>
        </w:rPr>
        <w:t>if goals are exceeded; also, you will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consideration of awards of stock-based compensation.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to the compensation stated in this offer, during your employment you will be entitled to participate in all employee benefit plans and programs now or in the future maintained by OPT, so long as you meet any applicable eligibility requirements. You also will receive vacation time to be accrued in accordance with OPT’s policies, of </w:t>
      </w:r>
      <w:r>
        <w:rPr>
          <w:rFonts w:ascii="Arial" w:cs="Arial" w:eastAsia="Arial" w:hAnsi="Arial"/>
          <w:sz w:val="18"/>
          <w:szCs w:val="18"/>
          <w:b w:val="1"/>
          <w:bCs w:val="1"/>
          <w:color w:val="auto"/>
        </w:rPr>
        <w:t>four weeks’ annual paid vacation</w:t>
      </w:r>
      <w:r>
        <w:rPr>
          <w:rFonts w:ascii="Arial" w:cs="Arial" w:eastAsia="Arial" w:hAnsi="Arial"/>
          <w:sz w:val="18"/>
          <w:szCs w:val="18"/>
          <w:color w:val="auto"/>
        </w:rPr>
        <w:t xml:space="preserve">. In addition, you will be permitted to use up to </w:t>
      </w:r>
      <w:r>
        <w:rPr>
          <w:rFonts w:ascii="Arial" w:cs="Arial" w:eastAsia="Arial" w:hAnsi="Arial"/>
          <w:sz w:val="18"/>
          <w:szCs w:val="18"/>
          <w:b w:val="1"/>
          <w:bCs w:val="1"/>
          <w:color w:val="auto"/>
        </w:rPr>
        <w:t>five paid sick days</w:t>
      </w:r>
      <w:r>
        <w:rPr>
          <w:rFonts w:ascii="Arial" w:cs="Arial" w:eastAsia="Arial" w:hAnsi="Arial"/>
          <w:sz w:val="18"/>
          <w:szCs w:val="18"/>
          <w:color w:val="auto"/>
        </w:rPr>
        <w:t xml:space="preserve">. You will also receive a total of </w:t>
      </w:r>
      <w:r>
        <w:rPr>
          <w:rFonts w:ascii="Arial" w:cs="Arial" w:eastAsia="Arial" w:hAnsi="Arial"/>
          <w:sz w:val="18"/>
          <w:szCs w:val="18"/>
          <w:b w:val="1"/>
          <w:bCs w:val="1"/>
          <w:color w:val="auto"/>
        </w:rPr>
        <w:t>ten holidays with pay</w:t>
      </w:r>
      <w:r>
        <w:rPr>
          <w:rFonts w:ascii="Arial" w:cs="Arial" w:eastAsia="Arial" w:hAnsi="Arial"/>
          <w:sz w:val="18"/>
          <w:szCs w:val="18"/>
          <w:color w:val="auto"/>
        </w:rPr>
        <w:t>, each year.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accepting this offer, you recognize and acknowledge that you may have access to certain ideas, processes, strategies, trade secrets, methods of operation or other non-public information (“Confidential Information”) of OPT and that all such information constitutes valuable, special and unique property of OPT. You agree that you will not, without the prior written consent of OPT, disclose or authorize or permit anyone under your direction to disclose to anyone not properly entitled thereto any such Confidential Information relative to the business, technology, operations, financial condition or services of OPT or any subsidiary. Accordingly, as part of your acceptance of this offer, you agree to execute and be bound by the attached Proprietary Information, Restrictive Covenant and Inventions Agreement (Agreement).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accepting this offer, you further represent that you are not bound by any employment contract, restrictive covenant or other restriction preventing you from entering into employment with OPT and carrying out your responsibilities to the Company or which in any way otherwise interferes with or is in conflict with such employment.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letter shall not be construed as an agreement, either express or implied, to employ you for any stated term, and shall in no way alter OPT’s policy of employment at-will, under which both you and OPT remain free to terminate the employment relationship at any time, with or without notice and with or without Cause (as defined below). Notwithstanding the above, the Company shall provide you with two (2) weeks’ notice prior to terminating your employment; provided, however, that the Company may, in its sole discretion, pay to you in lieu of such notice an amount equal to the Base Salary that would otherwise be payable to you for such two-week period. This payment will be made in accordance with the Company’s regular payroll policies.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you terminate your employment with the Company for Good Reason or the Company terminates your employment for any reason other than (i) for Cause or (ii) because you cannot perform your services as a result of physical or mental incapacitation, you will receive the following severance: for a period of 12 months following your date of termination the Company will continue to pay to you your Base Salary, and will pay medical and dental benefits under the Company’s medical and dental plans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7"/>
          <w:szCs w:val="17"/>
          <w:b w:val="1"/>
          <w:bCs w:val="1"/>
          <w:color w:val="auto"/>
        </w:rPr>
        <w:t>Exhibit 10.1</w:t>
      </w:r>
    </w:p>
    <w:p>
      <w:pPr>
        <w:spacing w:after="0" w:line="24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Any such severance will be paid by the Company as salary continuation in accordance with its regular payroll practices, and will be conditioned upon the execution and nonrevocation by you of a severance and release agreement provided by the Company and releasing all claims against it and its affiliates (to the extent permitted by applicable law). All payments to you hereunder shall be less taxes and any other deductions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“Cause” means a termination of your employment by the Company because you have done any of the following: (a) materially breached or materially failed to perform your duties under applicable law, (b) failed to follow lawful and reasonable directives of the Board, or any executive officer to whom you report,</w:t>
      </w:r>
    </w:p>
    <w:p>
      <w:pPr>
        <w:jc w:val="both"/>
        <w:ind w:right="40" w:firstLine="8"/>
        <w:spacing w:after="0" w:line="270" w:lineRule="auto"/>
        <w:tabs>
          <w:tab w:leader="none" w:pos="252"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failed to follow the Company’s policies and procedures in effect from time to time, (d) committed an act of dishonesty in the performance of your duties or engaged in willful misconduct detrimental to the business of the Company, (e) been indicted on felony charges, (f) been convicted of misdemeanor charges involving any crime of moral turpitude, (g) breached in any material respect or failed to perform in any material respect your obligations and duties or any Agreement between you and the Company, or (h) violated your restrictive covenants with the Company (including, without limit, your noncompete, nonsolicit, nonhire, confidentiality obligations, and intellectual property transfer obligations regarding the ownership of intellectual property created or developed, in whole or in part, by you while an employee of the Company.</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“Good Reason” means a material diminution of your duties or responsibilities or a material change in the position to which you report. A termination by you for Good Reason can only occur if (i) within sixty (60) days after the initial occurrence of the condition giving rise to Good Reason, you have given a written notice of such to the Company, (ii) the Company has not cured the condition within thirty (30) days after receipt of such notice, and (iii) you actually cease employment within thirty (30) days after the period set forth in clause (ii).</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letter and the Agreement attached constitute the entire offer to you and, if you accept, they shall constitute the entire agreement and shall be governed by the laws of the state of New Jersey. If you agree to the terms of this offer, please sign and date below, as well as on the attached Agreement and return the originals to me.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offer is valid through December 4, 2013.</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Should you have any questions concerning this offer, or any other question about the Company and this position, please contact me. I look forward to hearing from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understand this letter. The foregoing correctly sets forth the terms of my employment with OPT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/s/Mark A. Featherstone</w:t>
            </w:r>
          </w:p>
        </w:tc>
        <w:tc>
          <w:tcPr>
            <w:tcW w:w="9580" w:type="dxa"/>
            <w:vAlign w:val="bottom"/>
          </w:tcPr>
          <w:p>
            <w:pPr>
              <w:ind w:left="1540"/>
              <w:spacing w:after="0"/>
              <w:rPr>
                <w:sz w:val="20"/>
                <w:szCs w:val="20"/>
                <w:color w:val="auto"/>
              </w:rPr>
            </w:pPr>
            <w:r>
              <w:rPr>
                <w:rFonts w:ascii="Arial" w:cs="Arial" w:eastAsia="Arial" w:hAnsi="Arial"/>
                <w:sz w:val="18"/>
                <w:szCs w:val="18"/>
                <w:color w:val="auto"/>
              </w:rPr>
              <w:t>DATE: December 2, 2013</w:t>
            </w: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Mark A. Featherstone</w:t>
            </w:r>
          </w:p>
        </w:tc>
        <w:tc>
          <w:tcPr>
            <w:tcW w:w="9580" w:type="dxa"/>
            <w:vAlign w:val="bottom"/>
          </w:tcPr>
          <w:p>
            <w:pPr>
              <w:spacing w:after="0"/>
              <w:rPr>
                <w:sz w:val="20"/>
                <w:szCs w:val="20"/>
                <w:color w:val="auto"/>
              </w:rPr>
            </w:pPr>
          </w:p>
        </w:tc>
      </w:tr>
      <w:tr>
        <w:trPr>
          <w:trHeight w:val="780"/>
        </w:trPr>
        <w:tc>
          <w:tcPr>
            <w:tcW w:w="188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61"/>
        </w:trPr>
        <w:tc>
          <w:tcPr>
            <w:tcW w:w="1880" w:type="dxa"/>
            <w:vAlign w:val="bottom"/>
            <w:shd w:val="clear" w:color="auto" w:fill="808080"/>
          </w:tcPr>
          <w:p>
            <w:pPr>
              <w:spacing w:after="0"/>
              <w:rPr>
                <w:sz w:val="5"/>
                <w:szCs w:val="5"/>
                <w:color w:val="auto"/>
              </w:rPr>
            </w:pPr>
          </w:p>
        </w:tc>
        <w:tc>
          <w:tcPr>
            <w:tcW w:w="9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RESTRICTIVE COVENANT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AGREEMENT</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an employee of OCEAN POWER TECHNOLOGIES, INC., or any of its subsidiaries or affiliates (together, the “Company”), and as a condition of my employment by the Company and in consideration of the compensation now and hereafter paid to me, I agree to the following:</w:t>
      </w:r>
    </w:p>
    <w:p>
      <w:pPr>
        <w:spacing w:after="0" w:line="166"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MAINTAINING CONFIDENTIAL INFORMATION</w:t>
      </w:r>
    </w:p>
    <w:p>
      <w:pPr>
        <w:spacing w:after="0" w:line="225" w:lineRule="exact"/>
        <w:rPr>
          <w:rFonts w:ascii="Arial" w:cs="Arial" w:eastAsia="Arial" w:hAnsi="Arial"/>
          <w:sz w:val="18"/>
          <w:szCs w:val="18"/>
          <w:color w:val="auto"/>
        </w:rPr>
      </w:pPr>
    </w:p>
    <w:p>
      <w:pPr>
        <w:jc w:val="both"/>
        <w:ind w:left="500" w:hanging="6"/>
        <w:spacing w:after="0" w:line="255" w:lineRule="auto"/>
        <w:tabs>
          <w:tab w:leader="none" w:pos="745"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Company Information </w:t>
      </w:r>
      <w:r>
        <w:rPr>
          <w:rFonts w:ascii="Arial" w:cs="Arial" w:eastAsia="Arial" w:hAnsi="Arial"/>
          <w:sz w:val="18"/>
          <w:szCs w:val="18"/>
          <w:color w:val="auto"/>
        </w:rPr>
        <w:t>- I agree at all times during the term of my employment and thereafter to hold in strictest confidence, and not to use,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the Company, or to disclose to any person, firm or corporation, without the written authorization of the Board of Directors of the Company, any trade secrets, confidential knowledge, data or other proprietary information of the Company. By way of illustration and not limitation, such Company information shall include information relating to products, processes, know-how, designs, formulas, methods, samples, media and/or cell lines, developmental or experimental work, improvements, discoveries, plans for research, new products, marketing and selling, business plans, budgets and unpublished financial statements, licenses, prices and costs, suppliers and customers, and information regarding the skills and compensation of other employees of the Company.</w:t>
      </w:r>
    </w:p>
    <w:p>
      <w:pPr>
        <w:spacing w:after="0" w:line="189" w:lineRule="exact"/>
        <w:rPr>
          <w:rFonts w:ascii="Arial" w:cs="Arial" w:eastAsia="Arial" w:hAnsi="Arial"/>
          <w:sz w:val="18"/>
          <w:szCs w:val="18"/>
          <w:color w:val="auto"/>
        </w:rPr>
      </w:pPr>
    </w:p>
    <w:p>
      <w:pPr>
        <w:jc w:val="both"/>
        <w:ind w:left="500" w:hanging="6"/>
        <w:spacing w:after="0" w:line="261" w:lineRule="auto"/>
        <w:tabs>
          <w:tab w:leader="none" w:pos="768"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Former Employer Information </w:t>
      </w:r>
      <w:r>
        <w:rPr>
          <w:rFonts w:ascii="Arial" w:cs="Arial" w:eastAsia="Arial" w:hAnsi="Arial"/>
          <w:sz w:val="18"/>
          <w:szCs w:val="18"/>
          <w:color w:val="auto"/>
        </w:rPr>
        <w:t>- I agree that I will not, during my employment with the Company, improperly use or disclose any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or trade secrets of my former or concurrent employers or companies, if any, and that I will not bring onto the premises of the Company any unpublished documents or any property belonging to my former or concurrent employers or companies unless previously and specifically consented to in writing by said employers or companies.</w:t>
      </w:r>
    </w:p>
    <w:p>
      <w:pPr>
        <w:spacing w:after="0" w:line="180" w:lineRule="exact"/>
        <w:rPr>
          <w:rFonts w:ascii="Arial" w:cs="Arial" w:eastAsia="Arial" w:hAnsi="Arial"/>
          <w:sz w:val="18"/>
          <w:szCs w:val="18"/>
          <w:color w:val="auto"/>
        </w:rPr>
      </w:pPr>
    </w:p>
    <w:p>
      <w:pPr>
        <w:jc w:val="both"/>
        <w:ind w:left="500" w:hanging="6"/>
        <w:spacing w:after="0" w:line="295" w:lineRule="auto"/>
        <w:tabs>
          <w:tab w:leader="none" w:pos="745"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Third Party Information </w:t>
      </w:r>
      <w:r>
        <w:rPr>
          <w:rFonts w:ascii="Arial" w:cs="Arial" w:eastAsia="Arial" w:hAnsi="Arial"/>
          <w:sz w:val="16"/>
          <w:szCs w:val="16"/>
          <w:color w:val="auto"/>
        </w:rPr>
        <w:t>- I recognize that the Company has received and in the future will receive confidential or proprietary information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subject to a duty on the Company’s part to maintain the confidentiality of such information and, in some cases, to use it only for certain limited purposes. I agree that I owe the Company and such third parties, both during the term of my employment and thereafter, a duty to hold all such confidential and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 unless expressly authorized to act otherwise by an officer of the Company.</w:t>
      </w:r>
    </w:p>
    <w:p>
      <w:pPr>
        <w:spacing w:after="0" w:line="155" w:lineRule="exact"/>
        <w:rPr>
          <w:rFonts w:ascii="Arial" w:cs="Arial" w:eastAsia="Arial" w:hAnsi="Arial"/>
          <w:sz w:val="16"/>
          <w:szCs w:val="16"/>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ASSIGNMENT OF INVENTIONS AND ORIGINAL WORKS</w:t>
      </w:r>
    </w:p>
    <w:p>
      <w:pPr>
        <w:spacing w:after="0" w:line="225" w:lineRule="exact"/>
        <w:rPr>
          <w:rFonts w:ascii="Arial" w:cs="Arial" w:eastAsia="Arial" w:hAnsi="Arial"/>
          <w:sz w:val="18"/>
          <w:szCs w:val="18"/>
          <w:color w:val="auto"/>
        </w:rPr>
      </w:pPr>
    </w:p>
    <w:p>
      <w:pPr>
        <w:jc w:val="both"/>
        <w:ind w:left="500" w:hanging="6"/>
        <w:spacing w:after="0" w:line="261" w:lineRule="auto"/>
        <w:tabs>
          <w:tab w:leader="none" w:pos="745"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Inventions and Original Works Assigned to the Company </w:t>
      </w:r>
      <w:r>
        <w:rPr>
          <w:rFonts w:ascii="Arial" w:cs="Arial" w:eastAsia="Arial" w:hAnsi="Arial"/>
          <w:sz w:val="18"/>
          <w:szCs w:val="18"/>
          <w:color w:val="auto"/>
        </w:rPr>
        <w:t>- I agree that I will make prompt written disclosure to the Company, will hold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sole right and benefit of the Company, and hereby assign to the Company all my right, title and interest in and to any ideas, inventions, original works or authorship, developments, improvements or trade secrets which I may solely or jointly conceive or reduce to practice, or cause to be conceived or reduced to practice, during the period of my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10472"/>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ind w:left="492"/>
        <w:spacing w:after="0" w:line="342" w:lineRule="auto"/>
        <w:rPr>
          <w:sz w:val="20"/>
          <w:szCs w:val="20"/>
          <w:color w:val="auto"/>
        </w:rPr>
      </w:pPr>
      <w:r>
        <w:rPr>
          <w:rFonts w:ascii="Arial" w:cs="Arial" w:eastAsia="Arial" w:hAnsi="Arial"/>
          <w:sz w:val="16"/>
          <w:szCs w:val="16"/>
          <w:color w:val="auto"/>
        </w:rPr>
        <w:t>I acknowledge that all original works of authorship which are made by me (solely or jointly with others) within the scope of my employment and which are protectable by copyright are “works made for hire,” as that term is defined in the United Stations Copyright Act (17 U.S.C., Section 101).</w:t>
      </w:r>
    </w:p>
    <w:p>
      <w:pPr>
        <w:spacing w:after="0" w:line="120" w:lineRule="exact"/>
        <w:rPr>
          <w:sz w:val="20"/>
          <w:szCs w:val="20"/>
          <w:color w:val="auto"/>
        </w:rPr>
      </w:pPr>
    </w:p>
    <w:p>
      <w:pPr>
        <w:jc w:val="both"/>
        <w:ind w:left="492" w:hanging="6"/>
        <w:spacing w:after="0" w:line="266" w:lineRule="auto"/>
        <w:tabs>
          <w:tab w:leader="none" w:pos="74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Inventions and Original Works Assigned to the United States </w:t>
      </w:r>
      <w:r>
        <w:rPr>
          <w:rFonts w:ascii="Arial" w:cs="Arial" w:eastAsia="Arial" w:hAnsi="Arial"/>
          <w:sz w:val="18"/>
          <w:szCs w:val="18"/>
          <w:color w:val="auto"/>
        </w:rPr>
        <w:t>- I hereby assign to the United States government all my right, title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any and all inventions, original works of authorship, developments, improvements or trade secrets whenever full title to same is required to be in the United States by a contract between the Company and the United States or any of its agencies.</w:t>
      </w:r>
    </w:p>
    <w:p>
      <w:pPr>
        <w:spacing w:after="0" w:line="176" w:lineRule="exact"/>
        <w:rPr>
          <w:rFonts w:ascii="Arial" w:cs="Arial" w:eastAsia="Arial" w:hAnsi="Arial"/>
          <w:sz w:val="18"/>
          <w:szCs w:val="18"/>
          <w:color w:val="auto"/>
        </w:rPr>
      </w:pPr>
    </w:p>
    <w:p>
      <w:pPr>
        <w:jc w:val="both"/>
        <w:ind w:left="492" w:hanging="6"/>
        <w:spacing w:after="0" w:line="272" w:lineRule="auto"/>
        <w:tabs>
          <w:tab w:leader="none" w:pos="737"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Obtaining Letters Patent, Copyright Registrations and Other Protections </w:t>
      </w:r>
      <w:r>
        <w:rPr>
          <w:rFonts w:ascii="Arial" w:cs="Arial" w:eastAsia="Arial" w:hAnsi="Arial"/>
          <w:sz w:val="17"/>
          <w:szCs w:val="17"/>
          <w:color w:val="auto"/>
        </w:rPr>
        <w:t>- I will assist the Company in every proper way to obtain and enforce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and foreign proprietary rights relating to any and all inventions, original works of authorship, developments, improvements or trade secrets of the Company in any and all countries. To that end I will execute, verify and deliver such documents and perform such other acts (including appearing as a witness) that the Company may reasonable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in any and all countries shall continue beyond the termination of my employment, but the Company shall compensate me at a reasonable rate after my termination for the time actually spent by me at the Company’s request on such assistance.</w:t>
      </w:r>
    </w:p>
    <w:p>
      <w:pPr>
        <w:spacing w:after="0" w:line="176" w:lineRule="exact"/>
        <w:rPr>
          <w:sz w:val="20"/>
          <w:szCs w:val="20"/>
          <w:color w:val="auto"/>
        </w:rPr>
      </w:pPr>
    </w:p>
    <w:p>
      <w:pPr>
        <w:jc w:val="both"/>
        <w:ind w:left="492"/>
        <w:spacing w:after="0" w:line="255" w:lineRule="auto"/>
        <w:rPr>
          <w:sz w:val="20"/>
          <w:szCs w:val="20"/>
          <w:color w:val="auto"/>
        </w:rPr>
      </w:pPr>
      <w:r>
        <w:rPr>
          <w:rFonts w:ascii="Arial" w:cs="Arial" w:eastAsia="Arial" w:hAnsi="Arial"/>
          <w:sz w:val="18"/>
          <w:szCs w:val="18"/>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attorney-in-fact,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to the Company.</w:t>
      </w:r>
    </w:p>
    <w:p>
      <w:pPr>
        <w:spacing w:after="0" w:line="189" w:lineRule="exact"/>
        <w:rPr>
          <w:sz w:val="20"/>
          <w:szCs w:val="20"/>
          <w:color w:val="auto"/>
        </w:rPr>
      </w:pPr>
    </w:p>
    <w:p>
      <w:pPr>
        <w:jc w:val="both"/>
        <w:ind w:left="492" w:hanging="6"/>
        <w:spacing w:after="0" w:line="258" w:lineRule="auto"/>
        <w:tabs>
          <w:tab w:leader="none" w:pos="747"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Obligation to Keep the Company Informed </w:t>
      </w:r>
      <w:r>
        <w:rPr>
          <w:rFonts w:ascii="Arial" w:cs="Arial" w:eastAsia="Arial" w:hAnsi="Arial"/>
          <w:sz w:val="18"/>
          <w:szCs w:val="18"/>
          <w:color w:val="auto"/>
        </w:rPr>
        <w:t>- In addition to my obligations under paragraph 2(a) above, during the period of my employment I</w:t>
      </w:r>
      <w:r>
        <w:rPr>
          <w:rFonts w:ascii="Arial" w:cs="Arial" w:eastAsia="Arial" w:hAnsi="Arial"/>
          <w:sz w:val="18"/>
          <w:szCs w:val="18"/>
          <w:b w:val="1"/>
          <w:bCs w:val="1"/>
          <w:color w:val="auto"/>
        </w:rPr>
        <w:t xml:space="preserve"> </w:t>
      </w:r>
      <w:r>
        <w:rPr>
          <w:rFonts w:ascii="Arial" w:cs="Arial" w:eastAsia="Arial" w:hAnsi="Arial"/>
          <w:sz w:val="18"/>
          <w:szCs w:val="18"/>
          <w:color w:val="auto"/>
        </w:rPr>
        <w:t>will promptly disclose to the Company fully and in writing all patent applications filed by me or on my behalf. I agree to keep and maintain adequate and current records (in the form of notes, sketches, drawings and in any other form that may be required by the Company) of all proprietary information developed by me and all inventions made by me during the period of my employment by the Company, which records shall be available to and remain the sole property of the Company at all times.</w:t>
      </w:r>
    </w:p>
    <w:p>
      <w:pPr>
        <w:spacing w:after="0" w:line="183" w:lineRule="exact"/>
        <w:rPr>
          <w:rFonts w:ascii="Arial" w:cs="Arial" w:eastAsia="Arial" w:hAnsi="Arial"/>
          <w:sz w:val="18"/>
          <w:szCs w:val="18"/>
          <w:color w:val="auto"/>
        </w:rPr>
      </w:pPr>
    </w:p>
    <w:p>
      <w:pPr>
        <w:ind w:left="532" w:hanging="532"/>
        <w:spacing w:after="0"/>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NON-COMPETITION</w:t>
      </w:r>
    </w:p>
    <w:p>
      <w:pPr>
        <w:spacing w:after="0" w:line="229" w:lineRule="exact"/>
        <w:rPr>
          <w:sz w:val="20"/>
          <w:szCs w:val="20"/>
          <w:color w:val="auto"/>
        </w:rPr>
      </w:pPr>
    </w:p>
    <w:p>
      <w:pPr>
        <w:jc w:val="both"/>
        <w:ind w:left="492"/>
        <w:spacing w:after="0" w:line="257" w:lineRule="auto"/>
        <w:rPr>
          <w:sz w:val="20"/>
          <w:szCs w:val="20"/>
          <w:color w:val="auto"/>
        </w:rPr>
      </w:pPr>
      <w:r>
        <w:rPr>
          <w:rFonts w:ascii="Arial" w:cs="Arial" w:eastAsia="Arial" w:hAnsi="Arial"/>
          <w:sz w:val="18"/>
          <w:szCs w:val="18"/>
          <w:color w:val="auto"/>
        </w:rPr>
        <w:t>I agree that, during my employment with the Company and for a period of one (1) year after termination of my employment with the Company, I will not, without the Company’s expressed written consent, engage in any consulting, employment or business that is directly or indirectly competitive with the Company or assist others in any business that is competitive with the Company. A company shall be considered “competitive” with the Company if such company engages in any line of business in competition with the ocean wave energy generation technology services and/or products with which I was, directly or indirectly, engaged while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NON-SOLICITATION/NON-INTERFERENCE</w:t>
      </w:r>
    </w:p>
    <w:p>
      <w:pPr>
        <w:spacing w:after="0" w:line="225" w:lineRule="exact"/>
        <w:rPr>
          <w:rFonts w:ascii="Arial" w:cs="Arial" w:eastAsia="Arial" w:hAnsi="Arial"/>
          <w:sz w:val="18"/>
          <w:szCs w:val="18"/>
          <w:color w:val="auto"/>
        </w:rPr>
      </w:pPr>
    </w:p>
    <w:p>
      <w:pPr>
        <w:jc w:val="both"/>
        <w:ind w:left="500" w:hanging="6"/>
        <w:spacing w:after="0" w:line="256" w:lineRule="auto"/>
        <w:tabs>
          <w:tab w:leader="none" w:pos="745"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Employees and Independent Contractors - </w:t>
      </w:r>
      <w:r>
        <w:rPr>
          <w:rFonts w:ascii="Arial" w:cs="Arial" w:eastAsia="Arial" w:hAnsi="Arial"/>
          <w:sz w:val="18"/>
          <w:szCs w:val="18"/>
          <w:color w:val="auto"/>
        </w:rPr>
        <w:t>During my employment and for a period of one (1) year after termination of my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will not recruit, solicit, or hire, or assist others in recruiting, soliciting or hiring, any past or present employee, director, contractor or other business associate (collectively each a “Business Relation”) or otherwise induce any Business Relation to terminate or cease his/her employment or other business relationship with the Company. The term Business Relation shall include those individuals or entities who were employed, engaged or associated with the Company during my employment or, if after the termination of my employment, within the twelve (12) month period prior to the termination of my employment.</w:t>
      </w:r>
    </w:p>
    <w:p>
      <w:pPr>
        <w:spacing w:after="0" w:line="187" w:lineRule="exact"/>
        <w:rPr>
          <w:rFonts w:ascii="Arial" w:cs="Arial" w:eastAsia="Arial" w:hAnsi="Arial"/>
          <w:sz w:val="18"/>
          <w:szCs w:val="18"/>
          <w:color w:val="auto"/>
        </w:rPr>
      </w:pPr>
    </w:p>
    <w:p>
      <w:pPr>
        <w:jc w:val="both"/>
        <w:ind w:left="500" w:hanging="6"/>
        <w:spacing w:after="0" w:line="261" w:lineRule="auto"/>
        <w:tabs>
          <w:tab w:leader="none" w:pos="755"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Clients, Customers and Business Contacts - </w:t>
      </w:r>
      <w:r>
        <w:rPr>
          <w:rFonts w:ascii="Arial" w:cs="Arial" w:eastAsia="Arial" w:hAnsi="Arial"/>
          <w:sz w:val="18"/>
          <w:szCs w:val="18"/>
          <w:color w:val="auto"/>
        </w:rPr>
        <w:t>During my employment and for the period of one (1) year after termination of my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 will not solicit, divert, or take away, or attempt to solicit, divert or take away the business or patronage of any of the clients, customers, business contacts or accounts of the Company which were contacted, solicited or served by me at any time during my employment with the Company or regarding which I had access to substantive confidential information.</w:t>
      </w:r>
    </w:p>
    <w:p>
      <w:pPr>
        <w:spacing w:after="0" w:line="180"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p>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I represent that my performance of all the terms of this Agreement and as an employee of the Company does not and will not breach any agreement or obligation of mine relating to any time prior to my employment by the Company. I have not entered into, and I agree I will not enter into, any agreement either written or oral in conflict herewith.</w:t>
      </w:r>
    </w:p>
    <w:p>
      <w:pPr>
        <w:spacing w:after="0" w:line="177"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RETURN OF COMPANY PROPERTY</w:t>
      </w:r>
    </w:p>
    <w:p>
      <w:pPr>
        <w:spacing w:after="0" w:line="229"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When I leave the employ of the Company or upon any request from the Company, I will deliver to the Company (and will not keep in my possession, recreate or deliver to anyone else) any and all devices, records, data, notes, reports, proposals, lists, correspondence, specifications, drawings, blueprints, sketches, materials, equipment, other documents or property, together with all copies thereof (in whatever medium recorded) belonging to the Company, its successors or assigns whether kept at the Company, home or elsewhere. I further agree that all Company property, including disks and other storage media and filing cabinets or other work areas, is subject to inspection by Company personnel at any time with or without notice.</w:t>
      </w:r>
    </w:p>
    <w:p>
      <w:pPr>
        <w:spacing w:after="0" w:line="15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NOTIFICATION OF NEW EMPLOYER</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the event that I leave the employ of the Company, I hereby consent to the notification of my new employer of my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LEGAL AND EQUITABLE REMEDIES</w:t>
      </w:r>
    </w:p>
    <w:p>
      <w:pPr>
        <w:spacing w:after="0" w:line="229"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Because my 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6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color w:val="auto"/>
        </w:rPr>
      </w:pPr>
    </w:p>
    <w:p>
      <w:pPr>
        <w:jc w:val="both"/>
        <w:ind w:left="500" w:hanging="6"/>
        <w:spacing w:after="0" w:line="266" w:lineRule="auto"/>
        <w:tabs>
          <w:tab w:leader="none" w:pos="745"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Not an Employment Contract </w:t>
      </w:r>
      <w:r>
        <w:rPr>
          <w:rFonts w:ascii="Arial" w:cs="Arial" w:eastAsia="Arial" w:hAnsi="Arial"/>
          <w:sz w:val="18"/>
          <w:szCs w:val="18"/>
          <w:color w:val="auto"/>
        </w:rPr>
        <w:t>- I agree and understand that nothing in this Agreement shall confer any right with respect to continuation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jc w:val="both"/>
        <w:ind w:left="500" w:hanging="6"/>
        <w:spacing w:after="0" w:line="266" w:lineRule="auto"/>
        <w:tabs>
          <w:tab w:leader="none" w:pos="768"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Consent to Personal Jurisdiction </w:t>
      </w:r>
      <w:r>
        <w:rPr>
          <w:rFonts w:ascii="Arial" w:cs="Arial" w:eastAsia="Arial" w:hAnsi="Arial"/>
          <w:sz w:val="18"/>
          <w:szCs w:val="18"/>
          <w:color w:val="auto"/>
        </w:rPr>
        <w:t>- This Agreement will be governed by and construed according to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Jersey, excluding conflicts of laws principles. I hereby expressly consent to the personal jurisdiction of the state and federal courts located in New Jersey for any lawsuit filed there against me by the Company arising from or relating to this Agreement.</w:t>
      </w:r>
    </w:p>
    <w:p>
      <w:pPr>
        <w:spacing w:after="0" w:line="176" w:lineRule="exact"/>
        <w:rPr>
          <w:rFonts w:ascii="Arial" w:cs="Arial" w:eastAsia="Arial" w:hAnsi="Arial"/>
          <w:sz w:val="18"/>
          <w:szCs w:val="18"/>
          <w:color w:val="auto"/>
        </w:rPr>
      </w:pPr>
    </w:p>
    <w:p>
      <w:pPr>
        <w:jc w:val="both"/>
        <w:ind w:left="500" w:hanging="6"/>
        <w:spacing w:after="0" w:line="258"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 This Agreement sets forth the final, complete and exclusive agreement and understanding between the Company and me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supersedes all prior and contemporaneous understandings and agreements relating to its subject matter. No modification of or amendment to this Agreement, nor any waiver of any rights under this Agreement, will be effective unless in writing and signed by both the Company and me. Any subsequent change or changes in my duties, salary or compensation will not affect the validity or scope of this Agreement.</w:t>
      </w:r>
    </w:p>
    <w:p>
      <w:pPr>
        <w:spacing w:after="0" w:line="183" w:lineRule="exact"/>
        <w:rPr>
          <w:rFonts w:ascii="Arial" w:cs="Arial" w:eastAsia="Arial" w:hAnsi="Arial"/>
          <w:sz w:val="18"/>
          <w:szCs w:val="18"/>
          <w:color w:val="auto"/>
        </w:rPr>
      </w:pPr>
    </w:p>
    <w:p>
      <w:pPr>
        <w:ind w:left="500" w:hanging="6"/>
        <w:spacing w:after="0" w:line="282" w:lineRule="auto"/>
        <w:tabs>
          <w:tab w:leader="none" w:pos="755"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 If one or more of the provisions in this Agreement are deemed unenforceable by law, then the remaining provisions will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1" w:lineRule="exact"/>
        <w:rPr>
          <w:rFonts w:ascii="Arial" w:cs="Arial" w:eastAsia="Arial" w:hAnsi="Arial"/>
          <w:sz w:val="18"/>
          <w:szCs w:val="18"/>
          <w:color w:val="auto"/>
        </w:rPr>
      </w:pPr>
    </w:p>
    <w:p>
      <w:pPr>
        <w:ind w:left="500" w:hanging="6"/>
        <w:spacing w:after="0" w:line="282" w:lineRule="auto"/>
        <w:tabs>
          <w:tab w:leader="none" w:pos="745"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 This Agreement will be binding upon my heirs, executors, administrators and other legal representatives and will be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Company, its successors and its assigns.</w:t>
      </w:r>
    </w:p>
    <w:p>
      <w:pPr>
        <w:spacing w:after="0" w:line="161" w:lineRule="exact"/>
        <w:rPr>
          <w:rFonts w:ascii="Arial" w:cs="Arial" w:eastAsia="Arial" w:hAnsi="Arial"/>
          <w:sz w:val="18"/>
          <w:szCs w:val="18"/>
          <w:color w:val="auto"/>
        </w:rPr>
      </w:pPr>
    </w:p>
    <w:p>
      <w:pPr>
        <w:ind w:left="500" w:hanging="6"/>
        <w:spacing w:after="0" w:line="282"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 The provisions of this Agreement shall survive the termination of my employment and the assignment of this Agreement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any successor in interest of other assignee.</w:t>
      </w:r>
    </w:p>
    <w:p>
      <w:pPr>
        <w:spacing w:after="0" w:line="161" w:lineRule="exact"/>
        <w:rPr>
          <w:rFonts w:ascii="Arial" w:cs="Arial" w:eastAsia="Arial" w:hAnsi="Arial"/>
          <w:sz w:val="18"/>
          <w:szCs w:val="18"/>
          <w:color w:val="auto"/>
        </w:rPr>
      </w:pPr>
    </w:p>
    <w:p>
      <w:pPr>
        <w:jc w:val="both"/>
        <w:ind w:left="500" w:hanging="6"/>
        <w:spacing w:after="0" w:line="266" w:lineRule="auto"/>
        <w:tabs>
          <w:tab w:leader="none" w:pos="755"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 No waiver by the Company of any breach of this Agreement shall be waiver of any preceding or succeeding breach. No waiver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any right under this Agreement shall be construed as a waiver of any other right. The Company shall not be required to give notice to enforce strict adherence to all terms of this Agreement.</w:t>
      </w:r>
    </w:p>
    <w:p>
      <w:pPr>
        <w:spacing w:after="0" w:line="176" w:lineRule="exact"/>
        <w:rPr>
          <w:rFonts w:ascii="Arial" w:cs="Arial" w:eastAsia="Arial" w:hAnsi="Arial"/>
          <w:sz w:val="18"/>
          <w:szCs w:val="18"/>
          <w:color w:val="auto"/>
        </w:rPr>
      </w:pPr>
    </w:p>
    <w:p>
      <w:pPr>
        <w:jc w:val="both"/>
        <w:ind w:left="500" w:hanging="6"/>
        <w:spacing w:after="0" w:line="266" w:lineRule="auto"/>
        <w:tabs>
          <w:tab w:leader="none" w:pos="755"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 Any notices required or permitted hereunder hall be given to the appropriate party at the address specified below or at such other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party shall specify in writing. Such notice shall be deemed given upon personal delivery, or sent by certified or registered mail, postage prepaid, three (3) days after the date of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9"/>
              </w:rPr>
              <w:t>This Agreement shall be effective as of the first day of my employment with the Company, namely:</w:t>
            </w:r>
          </w:p>
        </w:tc>
        <w:tc>
          <w:tcPr>
            <w:tcW w:w="112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 UNDERSTAND THAT THIS AGREEMENT AFFECTS MY RIGHTS TO INVENTIONS I MAKE DURING MY EMPLOYMENT, AND RESTRICTS MY RIGHT TO DISCLOSE OR USE THE COMPANY’S PROPRIETARY INFORMATION DURING OR SUBSEQUENT TO MY EMPLOYMENT.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AGREEMENT CAREFULLY AND UNDERSTAND ITS TERMS.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December 2,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/s/Mark A. Featherstone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ectPr>
          <w:pgSz w:w="11900" w:h="16838" w:orient="portrait"/>
          <w:cols w:equalWidth="0" w:num="3">
            <w:col w:w="480" w:space="280"/>
            <w:col w:w="4600" w:space="720"/>
            <w:col w:w="5340"/>
          </w:cols>
          <w:pgMar w:left="240" w:top="580" w:right="239" w:bottom="1440" w:gutter="0" w:footer="0" w:header="0"/>
          <w:type w:val="continuous"/>
        </w:sectPr>
      </w:pPr>
    </w:p>
    <w:p>
      <w:pPr>
        <w:spacing w:after="0" w:line="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A. Featherstone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Printed Name of Employee</w:t>
      </w:r>
    </w:p>
    <w:p>
      <w:pPr>
        <w:sectPr>
          <w:pgSz w:w="11900" w:h="16838" w:orient="portrait"/>
          <w:cols w:equalWidth="0" w:num="1">
            <w:col w:w="11420"/>
          </w:cols>
          <w:pgMar w:left="240" w:top="580"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W. Taylor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Terence J. Cryan, Chairman of Compensation Committee</w:t>
      </w:r>
    </w:p>
    <w:p>
      <w:pPr>
        <w:spacing w:after="0" w:line="21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Terry:</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7"/>
          <w:szCs w:val="17"/>
          <w:i w:val="1"/>
          <w:iCs w:val="1"/>
          <w:color w:val="auto"/>
        </w:rPr>
        <w:t>Employment Agreement</w:t>
      </w:r>
      <w:r>
        <w:rPr>
          <w:rFonts w:ascii="Arial" w:cs="Arial" w:eastAsia="Arial" w:hAnsi="Arial"/>
          <w:sz w:val="17"/>
          <w:szCs w:val="17"/>
          <w:color w:val="auto"/>
        </w:rPr>
        <w:t>”) and supersedes the letter agreement of July 11, 2013.</w:t>
      </w:r>
    </w:p>
    <w:p>
      <w:pPr>
        <w:spacing w:after="0" w:line="171" w:lineRule="exact"/>
        <w:rPr>
          <w:sz w:val="20"/>
          <w:szCs w:val="20"/>
          <w:color w:val="auto"/>
        </w:rPr>
      </w:pPr>
    </w:p>
    <w:p>
      <w:pPr>
        <w:ind w:right="460" w:firstLine="1305"/>
        <w:spacing w:after="0" w:line="277" w:lineRule="auto"/>
        <w:tabs>
          <w:tab w:leader="none" w:pos="16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2014 and shall continue in effect until July 31, 2014 (the “</w:t>
      </w:r>
      <w:r>
        <w:rPr>
          <w:rFonts w:ascii="Arial" w:cs="Arial" w:eastAsia="Arial" w:hAnsi="Arial"/>
          <w:sz w:val="18"/>
          <w:szCs w:val="18"/>
          <w:i w:val="1"/>
          <w:iCs w:val="1"/>
          <w:color w:val="auto"/>
        </w:rPr>
        <w:t>Temporary Salary Reduction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Temporary Salary Reduction Period, my annualized base salary shall be reduced from $475,000 to $420,000 (the</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$475,000, subject to further increases or decreases as may be made from time to time in accordance with the terms of the Employment Agreement.</w:t>
      </w:r>
    </w:p>
    <w:p>
      <w:pPr>
        <w:spacing w:after="0" w:line="190" w:lineRule="exact"/>
        <w:rPr>
          <w:sz w:val="20"/>
          <w:szCs w:val="20"/>
          <w:color w:val="auto"/>
        </w:rPr>
      </w:pPr>
    </w:p>
    <w:p>
      <w:pPr>
        <w:ind w:right="60" w:firstLine="1305"/>
        <w:spacing w:after="0" w:line="270" w:lineRule="auto"/>
        <w:tabs>
          <w:tab w:leader="none" w:pos="1657"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right="180" w:firstLine="1305"/>
        <w:spacing w:after="0" w:line="264" w:lineRule="auto"/>
        <w:tabs>
          <w:tab w:leader="none" w:pos="1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$475,000 for purposes of any severance or other benefits that I may be entitled to under the Employment Agreement based on such termination.</w:t>
      </w:r>
    </w:p>
    <w:p>
      <w:pPr>
        <w:spacing w:after="0" w:line="397"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confirm your acknowledgement and agreement with the foregoing matters by executing this letter agreement in the space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/s/George W. Taylor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_________________________________</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George W. Taylor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Terence J. Cryan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Terence J. Cryan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10.3</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F. Dunleavy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Terence J. Cryan, Chairman of Compensation Committee</w:t>
      </w:r>
    </w:p>
    <w:p>
      <w:pPr>
        <w:spacing w:after="0" w:line="21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Terry:</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7"/>
          <w:szCs w:val="17"/>
          <w:i w:val="1"/>
          <w:iCs w:val="1"/>
          <w:color w:val="auto"/>
        </w:rPr>
        <w:t>Company</w:t>
      </w:r>
      <w:r>
        <w:rPr>
          <w:rFonts w:ascii="Arial" w:cs="Arial" w:eastAsia="Arial" w:hAnsi="Arial"/>
          <w:sz w:val="17"/>
          <w:szCs w:val="17"/>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7"/>
          <w:szCs w:val="17"/>
          <w:i w:val="1"/>
          <w:iCs w:val="1"/>
          <w:color w:val="auto"/>
        </w:rPr>
        <w:t>Employment Agreement</w:t>
      </w:r>
      <w:r>
        <w:rPr>
          <w:rFonts w:ascii="Arial" w:cs="Arial" w:eastAsia="Arial" w:hAnsi="Arial"/>
          <w:sz w:val="17"/>
          <w:szCs w:val="17"/>
          <w:color w:val="auto"/>
        </w:rPr>
        <w:t>”) and supersedes the letter agreement of July 11, 2013.</w:t>
      </w:r>
    </w:p>
    <w:p>
      <w:pPr>
        <w:spacing w:after="0" w:line="171" w:lineRule="exact"/>
        <w:rPr>
          <w:sz w:val="20"/>
          <w:szCs w:val="20"/>
          <w:color w:val="auto"/>
        </w:rPr>
      </w:pPr>
    </w:p>
    <w:p>
      <w:pPr>
        <w:ind w:right="460" w:firstLine="1305"/>
        <w:spacing w:after="0" w:line="277" w:lineRule="auto"/>
        <w:tabs>
          <w:tab w:leader="none" w:pos="16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2014 and shall continue in effect until July 31, 2014 (the “</w:t>
      </w:r>
      <w:r>
        <w:rPr>
          <w:rFonts w:ascii="Arial" w:cs="Arial" w:eastAsia="Arial" w:hAnsi="Arial"/>
          <w:sz w:val="18"/>
          <w:szCs w:val="18"/>
          <w:i w:val="1"/>
          <w:iCs w:val="1"/>
          <w:color w:val="auto"/>
        </w:rPr>
        <w:t>Temporary Salary Reduction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the Temporary Salary Reduction Period, my annualized base salary shall be reduced from $425,000 to $375,000 (the</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$425,000, subject to further increases or decreases as may be made from time to time in accordance with the terms of the Employment Agreement.</w:t>
      </w:r>
    </w:p>
    <w:p>
      <w:pPr>
        <w:spacing w:after="0" w:line="190" w:lineRule="exact"/>
        <w:rPr>
          <w:sz w:val="20"/>
          <w:szCs w:val="20"/>
          <w:color w:val="auto"/>
        </w:rPr>
      </w:pPr>
    </w:p>
    <w:p>
      <w:pPr>
        <w:ind w:right="60" w:firstLine="1305"/>
        <w:spacing w:after="0" w:line="270" w:lineRule="auto"/>
        <w:tabs>
          <w:tab w:leader="none" w:pos="16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w:t>
      </w:r>
    </w:p>
    <w:p>
      <w:pPr>
        <w:spacing w:after="0" w:line="256" w:lineRule="exact"/>
        <w:rPr>
          <w:sz w:val="20"/>
          <w:szCs w:val="20"/>
          <w:color w:val="auto"/>
        </w:rPr>
      </w:pPr>
    </w:p>
    <w:p>
      <w:pPr>
        <w:ind w:right="180" w:firstLine="1305"/>
        <w:spacing w:after="0" w:line="264" w:lineRule="auto"/>
        <w:tabs>
          <w:tab w:leader="none" w:pos="16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$425,000 for purposes of any severance or other benefits that I may be entitled to under the Employment Agreement based on such termination.</w:t>
      </w:r>
    </w:p>
    <w:p>
      <w:pPr>
        <w:spacing w:after="0" w:line="397"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confirm your acknowledgement and agreement with the foregoing matters by executing this letter agreement in the space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_________________________________</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Charles F. Dunleavy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Terence J. Cryan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Terence J. Cryan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420"/>
          </w:cols>
          <w:pgMar w:left="240" w:top="60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2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sz w:val="20"/>
          <w:szCs w:val="20"/>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0" w:lineRule="exact"/>
        <w:rPr>
          <w:sz w:val="20"/>
          <w:szCs w:val="20"/>
          <w:color w:val="auto"/>
        </w:rPr>
      </w:pPr>
    </w:p>
    <w:p>
      <w:pPr>
        <w:ind w:left="440" w:hanging="432"/>
        <w:spacing w:after="0" w:line="27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sz w:val="20"/>
          <w:szCs w:val="20"/>
          <w:color w:val="auto"/>
        </w:rPr>
      </w:pPr>
    </w:p>
    <w:p>
      <w:pPr>
        <w:jc w:val="both"/>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0" w:lineRule="exact"/>
        <w:rPr>
          <w:sz w:val="20"/>
          <w:szCs w:val="20"/>
          <w:color w:val="auto"/>
        </w:rPr>
      </w:pPr>
    </w:p>
    <w:p>
      <w:pPr>
        <w:ind w:left="440" w:hanging="432"/>
        <w:spacing w:after="0" w:line="277"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4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2014, as filed with the Securities and Exchange Commission on the date hereof (the "Report"), the undersigned, Charles F. Dunleavy, Chief Executive Officer of the Company, hereby certifies, pursuant to 18 U.S.C. Section 1350, that:</w:t>
      </w:r>
    </w:p>
    <w:p>
      <w:pPr>
        <w:spacing w:after="0" w:line="181"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2014, as filed with the Securities and Exchange Commission on the date hereof (the "Report"), the undersigned, Mark A. Featherstone, Chief Financial Officer of the Company, hereby certifies, pursuant to 18 U.S.C. Section 1350, that:</w:t>
      </w:r>
    </w:p>
    <w:p>
      <w:pPr>
        <w:spacing w:after="0" w:line="181"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3"/>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01"/>
    </w:lvl>
  </w:abstractNum>
  <w:abstractNum w:abstractNumId="5">
    <w:nsid w:val="7C83E458"/>
    <w:multiLevelType w:val="hybridMultilevel"/>
    <w:lvl w:ilvl="0">
      <w:lvlJc w:val="left"/>
      <w:lvlText w:val="%1"/>
      <w:numFmt w:val="decimal"/>
      <w:start w:val="101"/>
    </w:lvl>
  </w:abstractNum>
  <w:abstractNum w:abstractNumId="6">
    <w:nsid w:val="257130A3"/>
    <w:multiLevelType w:val="hybridMultilevel"/>
    <w:lvl w:ilvl="0">
      <w:lvlJc w:val="left"/>
      <w:lvlText w:val="(%1)"/>
      <w:numFmt w:val="lowerLetter"/>
      <w:start w:val="3"/>
    </w:lvl>
  </w:abstractNum>
  <w:abstractNum w:abstractNumId="7">
    <w:nsid w:val="62BBD95A"/>
    <w:multiLevelType w:val="hybridMultilevel"/>
    <w:lvl w:ilvl="0">
      <w:lvlJc w:val="left"/>
      <w:lvlText w:val="%1."/>
      <w:numFmt w:val="decimal"/>
      <w:start w:val="1"/>
    </w:lvl>
    <w:lvl w:ilvl="1">
      <w:lvlJc w:val="left"/>
      <w:lvlText w:val="(%2)"/>
      <w:numFmt w:val="lowerLetter"/>
      <w:start w:val="1"/>
    </w:lvl>
  </w:abstractNum>
  <w:abstractNum w:abstractNumId="8">
    <w:nsid w:val="436C6125"/>
    <w:multiLevelType w:val="hybridMultilevel"/>
    <w:lvl w:ilvl="0">
      <w:lvlJc w:val="left"/>
      <w:lvlText w:val="(%1)"/>
      <w:numFmt w:val="lowerLetter"/>
      <w:start w:val="2"/>
    </w:lvl>
  </w:abstractNum>
  <w:abstractNum w:abstractNumId="9">
    <w:nsid w:val="628C895D"/>
    <w:multiLevelType w:val="hybridMultilevel"/>
    <w:lvl w:ilvl="0">
      <w:lvlJc w:val="left"/>
      <w:lvlText w:val="%1"/>
      <w:numFmt w:val="decimal"/>
      <w:start w:val="1"/>
    </w:lvl>
    <w:lvl w:ilvl="1">
      <w:lvlJc w:val="left"/>
      <w:lvlText w:val="(%2)"/>
      <w:numFmt w:val="lowerLetter"/>
      <w:start w:val="4"/>
    </w:lvl>
  </w:abstractNum>
  <w:abstractNum w:abstractNumId="10">
    <w:nsid w:val="333AB105"/>
    <w:multiLevelType w:val="hybridMultilevel"/>
    <w:lvl w:ilvl="0">
      <w:lvlJc w:val="left"/>
      <w:lvlText w:val="%1."/>
      <w:numFmt w:val="decimal"/>
      <w:start w:val="3"/>
    </w:lvl>
    <w:lvl w:ilvl="1">
      <w:lvlJc w:val="left"/>
      <w:lvlText w:val="%2"/>
      <w:numFmt w:val="lowerLetter"/>
      <w:start w:val="1"/>
    </w:lvl>
  </w:abstractNum>
  <w:abstractNum w:abstractNumId="11">
    <w:nsid w:val="721DA317"/>
    <w:multiLevelType w:val="hybridMultilevel"/>
    <w:lvl w:ilvl="0">
      <w:lvlJc w:val="left"/>
      <w:lvlText w:val="%1."/>
      <w:numFmt w:val="decimal"/>
      <w:start w:val="4"/>
    </w:lvl>
    <w:lvl w:ilvl="1">
      <w:lvlJc w:val="left"/>
      <w:lvlText w:val="(%2)"/>
      <w:numFmt w:val="lowerLetter"/>
      <w:start w:val="1"/>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lvl w:ilvl="1">
      <w:lvlJc w:val="left"/>
      <w:lvlText w:val="(%2)"/>
      <w:numFmt w:val="lowerLetter"/>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1."/>
      <w:numFmt w:val="decimal"/>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2019-12-07T14:12:56Z</dcterms:created>
  <dcterms:modified xsi:type="dcterms:W3CDTF">2019-12-07T14:12:56Z</dcterms:modified>
</cp:coreProperties>
</file>