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700" w:right="1440" w:hanging="3493"/>
        <w:spacing w:after="0" w:line="500" w:lineRule="auto"/>
        <w:tabs>
          <w:tab w:leader="none" w:pos="651"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January 31, 2020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360" w:right="1420" w:hanging="3133"/>
        <w:spacing w:after="0" w:line="500" w:lineRule="auto"/>
        <w:tabs>
          <w:tab w:leader="none" w:pos="371"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For the Transition Period From __________ to </w:t>
      </w:r>
      <w:r>
        <w:rPr>
          <w:rFonts w:ascii="Arial" w:cs="Arial" w:eastAsia="Arial" w:hAnsi="Arial"/>
          <w:sz w:val="18"/>
          <w:szCs w:val="18"/>
          <w:color w:val="auto"/>
        </w:rPr>
        <w:t>__________</w:t>
      </w:r>
    </w:p>
    <w:p>
      <w:pPr>
        <w:spacing w:after="0" w:line="1" w:lineRule="exact"/>
        <w:rPr>
          <w:rFonts w:ascii="Arial" w:cs="Arial" w:eastAsia="Arial" w:hAnsi="Arial"/>
          <w:sz w:val="18"/>
          <w:szCs w:val="18"/>
          <w:color w:val="auto"/>
        </w:rPr>
      </w:pPr>
    </w:p>
    <w:p>
      <w:pPr>
        <w:ind w:left="424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001-33417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OCEAN POWER TECHNOLOGIES,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620" w:type="dxa"/>
        <w:tblCellMar>
          <w:top w:w="0" w:type="dxa"/>
          <w:left w:w="0" w:type="dxa"/>
          <w:bottom w:w="0" w:type="dxa"/>
          <w:right w:w="0" w:type="dxa"/>
        </w:tblCellMar>
      </w:tblPr>
      <w:tr>
        <w:trPr>
          <w:trHeight w:val="220"/>
        </w:trPr>
        <w:tc>
          <w:tcPr>
            <w:tcW w:w="4240" w:type="dxa"/>
            <w:vAlign w:val="bottom"/>
          </w:tcPr>
          <w:p>
            <w:pPr>
              <w:jc w:val="center"/>
              <w:ind w:right="187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center"/>
              <w:ind w:left="1870"/>
              <w:spacing w:after="0"/>
              <w:rPr>
                <w:sz w:val="20"/>
                <w:szCs w:val="20"/>
                <w:color w:val="auto"/>
              </w:rPr>
            </w:pPr>
            <w:r>
              <w:rPr>
                <w:rFonts w:ascii="Arial" w:cs="Arial" w:eastAsia="Arial" w:hAnsi="Arial"/>
                <w:sz w:val="18"/>
                <w:szCs w:val="18"/>
                <w:b w:val="1"/>
                <w:bCs w:val="1"/>
                <w:color w:val="auto"/>
                <w:w w:val="89"/>
              </w:rPr>
              <w:t>22-2535818</w:t>
            </w:r>
          </w:p>
        </w:tc>
      </w:tr>
      <w:tr>
        <w:trPr>
          <w:trHeight w:val="216"/>
        </w:trPr>
        <w:tc>
          <w:tcPr>
            <w:tcW w:w="4240" w:type="dxa"/>
            <w:vAlign w:val="bottom"/>
          </w:tcPr>
          <w:p>
            <w:pPr>
              <w:jc w:val="center"/>
              <w:ind w:right="1850"/>
              <w:spacing w:after="0"/>
              <w:rPr>
                <w:sz w:val="20"/>
                <w:szCs w:val="20"/>
                <w:color w:val="auto"/>
              </w:rPr>
            </w:pPr>
            <w:r>
              <w:rPr>
                <w:rFonts w:ascii="Arial" w:cs="Arial" w:eastAsia="Arial" w:hAnsi="Arial"/>
                <w:sz w:val="18"/>
                <w:szCs w:val="18"/>
                <w:i w:val="1"/>
                <w:iCs w:val="1"/>
                <w:color w:val="auto"/>
                <w:w w:val="93"/>
              </w:rPr>
              <w:t>(State or Other Jurisdiction of</w:t>
            </w:r>
          </w:p>
        </w:tc>
        <w:tc>
          <w:tcPr>
            <w:tcW w:w="3300" w:type="dxa"/>
            <w:vAlign w:val="bottom"/>
          </w:tcPr>
          <w:p>
            <w:pPr>
              <w:jc w:val="center"/>
              <w:ind w:left="18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240" w:type="dxa"/>
            <w:vAlign w:val="bottom"/>
          </w:tcPr>
          <w:p>
            <w:pPr>
              <w:jc w:val="center"/>
              <w:ind w:right="1870"/>
              <w:spacing w:after="0"/>
              <w:rPr>
                <w:sz w:val="20"/>
                <w:szCs w:val="20"/>
                <w:color w:val="auto"/>
              </w:rPr>
            </w:pPr>
            <w:r>
              <w:rPr>
                <w:rFonts w:ascii="Arial" w:cs="Arial" w:eastAsia="Arial" w:hAnsi="Arial"/>
                <w:sz w:val="18"/>
                <w:szCs w:val="18"/>
                <w:i w:val="1"/>
                <w:iCs w:val="1"/>
                <w:color w:val="auto"/>
                <w:w w:val="95"/>
              </w:rPr>
              <w:t>Incorporation or Organization)</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 ENGELHARD DRIVE, SUITE B, MONROE TOWNSHIP, NJ 08831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3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Title of each class</w:t>
            </w:r>
          </w:p>
        </w:tc>
        <w:tc>
          <w:tcPr>
            <w:tcW w:w="31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72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3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Pr>
          <w:p>
            <w:pPr>
              <w:spacing w:after="0"/>
              <w:rPr>
                <w:sz w:val="20"/>
                <w:szCs w:val="20"/>
                <w:color w:val="auto"/>
              </w:rPr>
            </w:pPr>
          </w:p>
        </w:tc>
        <w:tc>
          <w:tcPr>
            <w:tcW w:w="2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OPTT</w:t>
            </w:r>
          </w:p>
        </w:tc>
        <w:tc>
          <w:tcPr>
            <w:tcW w:w="2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22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11" w:lineRule="exact"/>
        <w:rPr>
          <w:sz w:val="24"/>
          <w:szCs w:val="24"/>
          <w:color w:val="auto"/>
        </w:rPr>
      </w:pPr>
    </w:p>
    <w:p>
      <w:pPr>
        <w:ind w:left="320"/>
        <w:spacing w:after="0"/>
        <w:tabs>
          <w:tab w:leader="none" w:pos="3200" w:val="left"/>
          <w:tab w:leader="none" w:pos="5980" w:val="left"/>
          <w:tab w:leader="none" w:pos="8680" w:val="left"/>
        </w:tabs>
        <w:rPr>
          <w:sz w:val="20"/>
          <w:szCs w:val="20"/>
          <w:color w:val="auto"/>
        </w:rPr>
      </w:pPr>
      <w:r>
        <w:rPr>
          <w:rFonts w:ascii="Arial" w:cs="Arial" w:eastAsia="Arial" w:hAnsi="Arial"/>
          <w:sz w:val="18"/>
          <w:szCs w:val="18"/>
          <w:color w:val="auto"/>
        </w:rPr>
        <w:t>Large accelerated filer [ ]</w:t>
      </w:r>
      <w:r>
        <w:rPr>
          <w:sz w:val="20"/>
          <w:szCs w:val="20"/>
          <w:color w:val="auto"/>
        </w:rPr>
        <w:tab/>
      </w:r>
      <w:r>
        <w:rPr>
          <w:rFonts w:ascii="Arial" w:cs="Arial" w:eastAsia="Arial" w:hAnsi="Arial"/>
          <w:sz w:val="18"/>
          <w:szCs w:val="18"/>
          <w:color w:val="auto"/>
        </w:rPr>
        <w:t>Accelerated filer [ ]</w:t>
      </w:r>
      <w:r>
        <w:rPr>
          <w:sz w:val="20"/>
          <w:szCs w:val="20"/>
          <w:color w:val="auto"/>
        </w:rPr>
        <w:tab/>
      </w:r>
      <w:r>
        <w:rPr>
          <w:rFonts w:ascii="Arial" w:cs="Arial" w:eastAsia="Arial" w:hAnsi="Arial"/>
          <w:sz w:val="18"/>
          <w:szCs w:val="18"/>
          <w:color w:val="auto"/>
        </w:rPr>
        <w:t>Non-accelerated filer [ ]</w:t>
      </w:r>
      <w:r>
        <w:rPr>
          <w:sz w:val="20"/>
          <w:szCs w:val="20"/>
          <w:color w:val="auto"/>
        </w:rPr>
        <w:tab/>
      </w:r>
      <w:r>
        <w:rPr>
          <w:rFonts w:ascii="Arial" w:cs="Arial" w:eastAsia="Arial" w:hAnsi="Arial"/>
          <w:sz w:val="16"/>
          <w:szCs w:val="16"/>
          <w:color w:val="auto"/>
        </w:rPr>
        <w:t>Smaller reporting company [X]</w:t>
      </w:r>
    </w:p>
    <w:p>
      <w:pPr>
        <w:spacing w:after="0" w:line="225" w:lineRule="exact"/>
        <w:rPr>
          <w:sz w:val="24"/>
          <w:szCs w:val="24"/>
          <w:color w:val="auto"/>
        </w:rPr>
      </w:pPr>
    </w:p>
    <w:p>
      <w:pPr>
        <w:jc w:val="center"/>
        <w:ind w:left="2480"/>
        <w:spacing w:after="0"/>
        <w:rPr>
          <w:sz w:val="20"/>
          <w:szCs w:val="20"/>
          <w:color w:val="auto"/>
        </w:rPr>
      </w:pPr>
      <w:r>
        <w:rPr>
          <w:rFonts w:ascii="Arial" w:cs="Arial" w:eastAsia="Arial" w:hAnsi="Arial"/>
          <w:sz w:val="18"/>
          <w:szCs w:val="18"/>
          <w:color w:val="auto"/>
        </w:rPr>
        <w:t>(Do not check if a smaller reporting</w:t>
      </w:r>
    </w:p>
    <w:p>
      <w:pPr>
        <w:spacing w:after="0" w:line="23" w:lineRule="exact"/>
        <w:rPr>
          <w:sz w:val="24"/>
          <w:szCs w:val="24"/>
          <w:color w:val="auto"/>
        </w:rPr>
      </w:pPr>
    </w:p>
    <w:p>
      <w:pPr>
        <w:jc w:val="center"/>
        <w:ind w:left="2480"/>
        <w:spacing w:after="0"/>
        <w:rPr>
          <w:sz w:val="20"/>
          <w:szCs w:val="20"/>
          <w:color w:val="auto"/>
        </w:rPr>
      </w:pPr>
      <w:r>
        <w:rPr>
          <w:rFonts w:ascii="Arial" w:cs="Arial" w:eastAsia="Arial" w:hAnsi="Arial"/>
          <w:sz w:val="18"/>
          <w:szCs w:val="18"/>
          <w:color w:val="auto"/>
        </w:rPr>
        <w:t>company)</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March 5, 2020, the number of outstanding shares of common stock of the registrant was 9,255,500.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145"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41"/>
        </w:trPr>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196"/>
        </w:trPr>
        <w:tc>
          <w:tcPr>
            <w:tcW w:w="32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7220" w:type="dxa"/>
            <w:vAlign w:val="bottom"/>
            <w:tcBorders>
              <w:bottom w:val="single" w:sz="8" w:color="CCEEFF"/>
            </w:tcBorders>
            <w:gridSpan w:val="10"/>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176"/>
        </w:trPr>
        <w:tc>
          <w:tcPr>
            <w:tcW w:w="10480" w:type="dxa"/>
            <w:vAlign w:val="bottom"/>
            <w:gridSpan w:val="21"/>
          </w:tcPr>
          <w:p>
            <w:pPr>
              <w:ind w:left="36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0"/>
        </w:trPr>
        <w:tc>
          <w:tcPr>
            <w:tcW w:w="3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6"/>
        </w:trPr>
        <w:tc>
          <w:tcPr>
            <w:tcW w:w="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760" w:type="dxa"/>
            <w:vAlign w:val="bottom"/>
            <w:gridSpan w:val="1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January 31, 2020 (unaudited) and April 30, 2019</w:t>
              </w:r>
            </w:hyperlink>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1"/>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760" w:type="dxa"/>
            <w:vAlign w:val="bottom"/>
            <w:gridSpan w:val="19"/>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Operations for the three and nine months ended January 31, 2020 and 2019</w:t>
              </w:r>
            </w:hyperlink>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760" w:type="dxa"/>
            <w:vAlign w:val="bottom"/>
            <w:gridSpan w:val="19"/>
            <w:shd w:val="clear" w:color="auto" w:fill="CCEEFF"/>
          </w:tcPr>
          <w:p>
            <w:pPr>
              <w:spacing w:after="0" w:line="17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Unaudited Consolidated Statements of Comprehensive Loss for the three and nine months ended January 31, 2020 and 2019</w:t>
              </w:r>
            </w:hyperlink>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176"/>
        </w:trPr>
        <w:tc>
          <w:tcPr>
            <w:tcW w:w="3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8960" w:type="dxa"/>
            <w:vAlign w:val="bottom"/>
            <w:tcBorders>
              <w:top w:val="single" w:sz="8" w:color="0000EE"/>
            </w:tcBorders>
            <w:gridSpan w:val="18"/>
          </w:tcPr>
          <w:p>
            <w:pPr>
              <w:spacing w:after="0" w:line="176"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Unaudited Consolidated Statement of Stockholders’ Equity for the three and nine months ended January 31, 2020</w:t>
              </w:r>
            </w:hyperlink>
          </w:p>
        </w:tc>
        <w:tc>
          <w:tcPr>
            <w:tcW w:w="80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760" w:type="dxa"/>
            <w:vAlign w:val="bottom"/>
            <w:gridSpan w:val="19"/>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Unaudited Consolidated Statements of Cash Flows for the nine months ended January 31, 2020 and 2019</w:t>
              </w:r>
            </w:hyperlink>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176"/>
        </w:trPr>
        <w:tc>
          <w:tcPr>
            <w:tcW w:w="3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758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Unaudited Consolidated Financial Statements</w:t>
              </w:r>
            </w:hyperlink>
          </w:p>
        </w:tc>
        <w:tc>
          <w:tcPr>
            <w:tcW w:w="2180" w:type="dxa"/>
            <w:vAlign w:val="bottom"/>
            <w:tcBorders>
              <w:top w:val="single" w:sz="8" w:color="CCEEFF"/>
            </w:tcBorders>
            <w:gridSpan w:val="4"/>
          </w:tcPr>
          <w:p>
            <w:pPr>
              <w:spacing w:after="0"/>
              <w:rPr>
                <w:sz w:val="15"/>
                <w:szCs w:val="15"/>
                <w:color w:val="auto"/>
              </w:rPr>
            </w:pPr>
          </w:p>
        </w:tc>
        <w:tc>
          <w:tcPr>
            <w:tcW w:w="7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8</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Item 2. Management’s Discussion and Analysis of Financial Condition and Results of Operations</w:t>
              </w:r>
            </w:hyperlink>
          </w:p>
        </w:tc>
        <w:tc>
          <w:tcPr>
            <w:tcW w:w="3100" w:type="dxa"/>
            <w:vAlign w:val="bottom"/>
            <w:tcBorders>
              <w:bottom w:val="single" w:sz="8" w:color="CCEEFF"/>
            </w:tcBorders>
            <w:gridSpan w:val="5"/>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175"/>
        </w:trPr>
        <w:tc>
          <w:tcPr>
            <w:tcW w:w="10480" w:type="dxa"/>
            <w:vAlign w:val="bottom"/>
            <w:gridSpan w:val="21"/>
          </w:tcPr>
          <w:p>
            <w:pPr>
              <w:ind w:left="36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Item 3. Quantitative and Qualitative Disclosures About Market Risk</w:t>
              </w:r>
            </w:hyperlink>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1"/>
        </w:trPr>
        <w:tc>
          <w:tcPr>
            <w:tcW w:w="3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Item 4. Controls and Procedures</w:t>
              </w:r>
            </w:hyperlink>
          </w:p>
        </w:tc>
        <w:tc>
          <w:tcPr>
            <w:tcW w:w="7780" w:type="dxa"/>
            <w:vAlign w:val="bottom"/>
            <w:tcBorders>
              <w:bottom w:val="single" w:sz="8" w:color="CCEEFF"/>
            </w:tcBorders>
            <w:gridSpan w:val="13"/>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176"/>
        </w:trPr>
        <w:tc>
          <w:tcPr>
            <w:tcW w:w="10480" w:type="dxa"/>
            <w:vAlign w:val="bottom"/>
            <w:gridSpan w:val="21"/>
          </w:tcPr>
          <w:p>
            <w:pPr>
              <w:spacing w:after="0" w:line="17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 — OTHER INFORMATION</w:t>
              </w:r>
            </w:hyperlink>
          </w:p>
        </w:tc>
        <w:tc>
          <w:tcPr>
            <w:tcW w:w="760" w:type="dxa"/>
            <w:vAlign w:val="bottom"/>
          </w:tcPr>
          <w:p>
            <w:pPr>
              <w:spacing w:after="0"/>
              <w:rPr>
                <w:sz w:val="15"/>
                <w:szCs w:val="15"/>
                <w:color w:val="auto"/>
              </w:rPr>
            </w:pPr>
          </w:p>
        </w:tc>
      </w:tr>
      <w:tr>
        <w:trPr>
          <w:trHeight w:val="20"/>
        </w:trPr>
        <w:tc>
          <w:tcPr>
            <w:tcW w:w="3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Item 1. Legal Proceedings</w:t>
              </w:r>
            </w:hyperlink>
          </w:p>
        </w:tc>
        <w:tc>
          <w:tcPr>
            <w:tcW w:w="8220" w:type="dxa"/>
            <w:vAlign w:val="bottom"/>
            <w:tcBorders>
              <w:bottom w:val="single" w:sz="8" w:color="CCEEFF"/>
            </w:tcBorders>
            <w:gridSpan w:val="15"/>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176"/>
        </w:trPr>
        <w:tc>
          <w:tcPr>
            <w:tcW w:w="10480" w:type="dxa"/>
            <w:vAlign w:val="bottom"/>
            <w:gridSpan w:val="21"/>
          </w:tcPr>
          <w:p>
            <w:pPr>
              <w:ind w:left="36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Item 1A. Risk Factors</w:t>
              </w:r>
            </w:hyperlink>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
        </w:trPr>
        <w:tc>
          <w:tcPr>
            <w:tcW w:w="3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360" w:type="dxa"/>
            <w:vAlign w:val="bottom"/>
            <w:shd w:val="clear" w:color="auto" w:fill="CCEEFF"/>
          </w:tcPr>
          <w:p>
            <w:pPr>
              <w:spacing w:after="0"/>
              <w:rPr>
                <w:sz w:val="17"/>
                <w:szCs w:val="17"/>
                <w:color w:val="auto"/>
              </w:rPr>
            </w:pPr>
          </w:p>
        </w:tc>
        <w:tc>
          <w:tcPr>
            <w:tcW w:w="10120" w:type="dxa"/>
            <w:vAlign w:val="bottom"/>
            <w:gridSpan w:val="20"/>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2. Unregistered Sales of Equity Securities and Use of Proceeds</w:t>
              </w:r>
            </w:hyperlink>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175"/>
        </w:trPr>
        <w:tc>
          <w:tcPr>
            <w:tcW w:w="360" w:type="dxa"/>
            <w:vAlign w:val="bottom"/>
            <w:tcBorders>
              <w:top w:val="single" w:sz="8" w:color="CCEEFF"/>
            </w:tcBorders>
          </w:tcPr>
          <w:p>
            <w:pPr>
              <w:spacing w:after="0"/>
              <w:rPr>
                <w:sz w:val="15"/>
                <w:szCs w:val="15"/>
                <w:color w:val="auto"/>
              </w:rPr>
            </w:pPr>
          </w:p>
        </w:tc>
        <w:tc>
          <w:tcPr>
            <w:tcW w:w="490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3. Defaults Upon Senior Securities</w:t>
              </w:r>
            </w:hyperlink>
          </w:p>
        </w:tc>
        <w:tc>
          <w:tcPr>
            <w:tcW w:w="5220" w:type="dxa"/>
            <w:vAlign w:val="bottom"/>
            <w:tcBorders>
              <w:top w:val="single" w:sz="8" w:color="CCEEFF"/>
            </w:tcBorders>
            <w:gridSpan w:val="8"/>
          </w:tcPr>
          <w:p>
            <w:pPr>
              <w:spacing w:after="0"/>
              <w:rPr>
                <w:sz w:val="15"/>
                <w:szCs w:val="15"/>
                <w:color w:val="auto"/>
              </w:rPr>
            </w:pPr>
          </w:p>
        </w:tc>
        <w:tc>
          <w:tcPr>
            <w:tcW w:w="7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1"/>
        </w:trPr>
        <w:tc>
          <w:tcPr>
            <w:tcW w:w="3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Item 4. Mine Safety Disclosures</w:t>
              </w:r>
            </w:hyperlink>
          </w:p>
        </w:tc>
        <w:tc>
          <w:tcPr>
            <w:tcW w:w="7780" w:type="dxa"/>
            <w:vAlign w:val="bottom"/>
            <w:tcBorders>
              <w:bottom w:val="single" w:sz="8" w:color="CCEEFF"/>
            </w:tcBorders>
            <w:gridSpan w:val="13"/>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176"/>
        </w:trPr>
        <w:tc>
          <w:tcPr>
            <w:tcW w:w="10480" w:type="dxa"/>
            <w:vAlign w:val="bottom"/>
            <w:gridSpan w:val="21"/>
          </w:tcPr>
          <w:p>
            <w:pPr>
              <w:ind w:left="36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5. Other Information</w:t>
              </w:r>
            </w:hyperlink>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0"/>
        </w:trPr>
        <w:tc>
          <w:tcPr>
            <w:tcW w:w="3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6"/>
        </w:trPr>
        <w:tc>
          <w:tcPr>
            <w:tcW w:w="10480" w:type="dxa"/>
            <w:vAlign w:val="bottom"/>
            <w:gridSpan w:val="21"/>
            <w:shd w:val="clear" w:color="auto" w:fill="CCEEFF"/>
          </w:tcPr>
          <w:p>
            <w:pPr>
              <w:ind w:left="36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6. Exhibits</w:t>
              </w:r>
            </w:hyperlink>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PowerBuoy® and the Ocean Power Technologies logo are trademarks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forward-looking statements contained in or incorporated by reference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including:</w:t>
      </w:r>
    </w:p>
    <w:p>
      <w:pPr>
        <w:spacing w:after="0" w:line="187"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PowerBuoys®, and achieve and sustain profitability;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manufacture a commercially viable PowerBuoy®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develop and market new products, such as a hybrid PowerBuoy® or subsea battery solutions;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PowerBuoys® and our wave energy technology;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power output, survivability and reliability of our PowerBuoys®;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relationships with our strategic partners may not be successful and we may not be successful in establishing additional relationships;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capital through our current equity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2019,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right"/>
              <w:ind w:right="540"/>
              <w:spacing w:after="0"/>
              <w:rPr>
                <w:sz w:val="20"/>
                <w:szCs w:val="20"/>
                <w:color w:val="auto"/>
              </w:rPr>
            </w:pPr>
            <w:r>
              <w:rPr>
                <w:rFonts w:ascii="Arial" w:cs="Arial" w:eastAsia="Arial" w:hAnsi="Arial"/>
                <w:sz w:val="18"/>
                <w:szCs w:val="18"/>
                <w:color w:val="auto"/>
                <w:w w:val="96"/>
              </w:rPr>
              <w:t>January 31, 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8"/>
                <w:szCs w:val="18"/>
                <w:color w:val="auto"/>
              </w:rPr>
              <w:t>April 30, 2019</w:t>
            </w: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9,877</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16,660</w:t>
            </w: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Restricted cash- short-term</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Contract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49"/>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r>
      <w:tr>
        <w:trPr>
          <w:trHeight w:val="203"/>
        </w:trPr>
        <w:tc>
          <w:tcPr>
            <w:tcW w:w="68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11,784</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17,619</w:t>
            </w:r>
          </w:p>
        </w:tc>
        <w:tc>
          <w:tcPr>
            <w:tcW w:w="100" w:type="dxa"/>
            <w:vAlign w:val="bottom"/>
            <w:tcBorders>
              <w:top w:val="single" w:sz="8" w:color="CCEEFF"/>
            </w:tcBorders>
          </w:tcPr>
          <w:p>
            <w:pPr>
              <w:spacing w:after="0"/>
              <w:rPr>
                <w:sz w:val="17"/>
                <w:szCs w:val="17"/>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Right-of-use asset, 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long-term</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r>
      <w:tr>
        <w:trPr>
          <w:trHeight w:val="256"/>
        </w:trPr>
        <w:tc>
          <w:tcPr>
            <w:tcW w:w="684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13,756</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18,366</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6840" w:type="dxa"/>
            <w:vAlign w:val="bottom"/>
            <w:shd w:val="clear" w:color="auto" w:fill="CCEEFF"/>
          </w:tcPr>
          <w:p>
            <w:pPr>
              <w:ind w:left="1540"/>
              <w:spacing w:after="0" w:line="196" w:lineRule="exact"/>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2,208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1,938</w:t>
            </w: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50"/>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liability- current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68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2,843</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2,444</w:t>
            </w:r>
          </w:p>
        </w:tc>
        <w:tc>
          <w:tcPr>
            <w:tcW w:w="100" w:type="dxa"/>
            <w:vAlign w:val="bottom"/>
            <w:tcBorders>
              <w:top w:val="single" w:sz="8" w:color="CCEEFF"/>
            </w:tcBorders>
          </w:tcPr>
          <w:p>
            <w:pPr>
              <w:spacing w:after="0"/>
              <w:rPr>
                <w:sz w:val="17"/>
                <w:szCs w:val="17"/>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Right-of-use liability</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r>
      <w:tr>
        <w:trPr>
          <w:trHeight w:val="236"/>
        </w:trPr>
        <w:tc>
          <w:tcPr>
            <w:tcW w:w="6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84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w w:val="90"/>
              </w:rPr>
              <w:t>Preferred stock, $0.001 par value; authorized 5,000,000 shares, none issued or outstanding</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8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Common stock, $0.001 par value; authorized 100,000,000 shares, issued 8,699,319 and</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5,425,517 shares, respectively</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Treasury stock, at cost; 4,251 and 3,770 shares, respectively</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229,167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226,026</w:t>
            </w: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(218,917)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(209,784)</w:t>
            </w:r>
          </w:p>
        </w:tc>
      </w:tr>
      <w:tr>
        <w:trPr>
          <w:trHeight w:val="250"/>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r>
      <w:tr>
        <w:trPr>
          <w:trHeight w:val="210"/>
        </w:trPr>
        <w:tc>
          <w:tcPr>
            <w:tcW w:w="68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9,774</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15,775</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13,756</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6"/>
          </w:tcPr>
          <w:p>
            <w:pPr>
              <w:jc w:val="right"/>
              <w:ind w:right="1021"/>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820" w:type="dxa"/>
            <w:vAlign w:val="bottom"/>
            <w:gridSpan w:val="7"/>
          </w:tcPr>
          <w:p>
            <w:pPr>
              <w:jc w:val="right"/>
              <w:ind w:right="8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January 31,</w:t>
            </w:r>
          </w:p>
        </w:tc>
        <w:tc>
          <w:tcPr>
            <w:tcW w:w="9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b w:val="1"/>
                <w:bCs w:val="1"/>
                <w:color w:val="auto"/>
              </w:rPr>
              <w:t>January 31,</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725</w:t>
            </w:r>
          </w:p>
        </w:tc>
        <w:tc>
          <w:tcPr>
            <w:tcW w:w="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268</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1,131</w:t>
            </w:r>
          </w:p>
        </w:tc>
        <w:tc>
          <w:tcPr>
            <w:tcW w:w="52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681</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1,335</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profit/(loss)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Engineering and product development costs</w:t>
            </w:r>
          </w:p>
        </w:tc>
        <w:tc>
          <w:tcPr>
            <w:tcW w:w="28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896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1,382</w:t>
            </w:r>
          </w:p>
        </w:tc>
        <w:tc>
          <w:tcPr>
            <w:tcW w:w="28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3,403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2,093</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2,008</w:t>
            </w: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5,629</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2,989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3,390</w:t>
            </w:r>
          </w:p>
        </w:tc>
        <w:tc>
          <w:tcPr>
            <w:tcW w:w="3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9,032</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10,014</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(10,754)</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Gain due to the change in fair value of warrant liabilities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(2,919)</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(3,461)</w:t>
            </w:r>
          </w:p>
        </w:tc>
        <w:tc>
          <w:tcPr>
            <w:tcW w:w="3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(9,133)</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(10,591)</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850</w:t>
            </w: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57"/>
        </w:trPr>
        <w:tc>
          <w:tcPr>
            <w:tcW w:w="47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(2,611</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(9,133</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(9,741</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47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share</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(0.46</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180"/>
              <w:spacing w:after="0" w:line="195" w:lineRule="exact"/>
              <w:rPr>
                <w:sz w:val="20"/>
                <w:szCs w:val="20"/>
                <w:color w:val="auto"/>
              </w:rPr>
            </w:pPr>
            <w:r>
              <w:rPr>
                <w:rFonts w:ascii="Arial" w:cs="Arial" w:eastAsia="Arial" w:hAnsi="Arial"/>
                <w:sz w:val="18"/>
                <w:szCs w:val="18"/>
                <w:color w:val="auto"/>
                <w:w w:val="93"/>
              </w:rPr>
              <w:t>Weighted average shares used to compute basic and diluted</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740" w:type="dxa"/>
            <w:vAlign w:val="bottom"/>
          </w:tcPr>
          <w:p>
            <w:pPr>
              <w:ind w:left="180"/>
              <w:spacing w:after="0"/>
              <w:rPr>
                <w:sz w:val="20"/>
                <w:szCs w:val="20"/>
                <w:color w:val="auto"/>
              </w:rPr>
            </w:pPr>
            <w:r>
              <w:rPr>
                <w:rFonts w:ascii="Arial" w:cs="Arial" w:eastAsia="Arial" w:hAnsi="Arial"/>
                <w:sz w:val="18"/>
                <w:szCs w:val="18"/>
                <w:color w:val="auto"/>
              </w:rPr>
              <w:t>net loss per share</w:t>
            </w:r>
          </w:p>
        </w:tc>
        <w:tc>
          <w:tcPr>
            <w:tcW w:w="280" w:type="dxa"/>
            <w:vAlign w:val="bottom"/>
          </w:tcPr>
          <w:p>
            <w:pPr>
              <w:spacing w:after="0"/>
              <w:rPr>
                <w:sz w:val="22"/>
                <w:szCs w:val="22"/>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6,318,162</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959,287</w:t>
            </w:r>
          </w:p>
        </w:tc>
        <w:tc>
          <w:tcPr>
            <w:tcW w:w="280" w:type="dxa"/>
            <w:vAlign w:val="bottom"/>
          </w:tcPr>
          <w:p>
            <w:pPr>
              <w:spacing w:after="0"/>
              <w:rPr>
                <w:sz w:val="22"/>
                <w:szCs w:val="22"/>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6,543,500</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931,052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58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6"/>
          </w:tcPr>
          <w:p>
            <w:pPr>
              <w:jc w:val="right"/>
              <w:ind w:right="801"/>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7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January 31,</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b w:val="1"/>
                <w:bCs w:val="1"/>
                <w:color w:val="auto"/>
              </w:rPr>
              <w:t>January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7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47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ind w:right="718"/>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1"/>
              </w:rPr>
              <w:t>(2,919)</w:t>
            </w:r>
          </w:p>
        </w:tc>
        <w:tc>
          <w:tcPr>
            <w:tcW w:w="102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4"/>
              </w:rPr>
              <w:t>(2,611)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(9,133)</w:t>
            </w:r>
          </w:p>
        </w:tc>
        <w:tc>
          <w:tcPr>
            <w:tcW w:w="52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(9,741)</w:t>
            </w: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880" w:type="dxa"/>
            <w:vAlign w:val="bottom"/>
          </w:tcPr>
          <w:p>
            <w:pPr>
              <w:spacing w:after="0"/>
              <w:rPr>
                <w:sz w:val="20"/>
                <w:szCs w:val="20"/>
                <w:color w:val="auto"/>
              </w:rPr>
            </w:pPr>
          </w:p>
        </w:tc>
        <w:tc>
          <w:tcPr>
            <w:tcW w:w="680" w:type="dxa"/>
            <w:vAlign w:val="bottom"/>
            <w:gridSpan w:val="2"/>
          </w:tcPr>
          <w:p>
            <w:pPr>
              <w:jc w:val="right"/>
              <w:ind w:right="61"/>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gridSpan w:val="2"/>
          </w:tcPr>
          <w:p>
            <w:pPr>
              <w:jc w:val="right"/>
              <w:ind w:right="241"/>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880" w:type="dxa"/>
            <w:vAlign w:val="bottom"/>
            <w:tcBorders>
              <w:top w:val="single" w:sz="8" w:color="auto"/>
              <w:bottom w:val="single" w:sz="8" w:color="auto"/>
            </w:tcBorders>
            <w:shd w:val="clear" w:color="auto" w:fill="CCEEFF"/>
          </w:tcPr>
          <w:p>
            <w:pPr>
              <w:jc w:val="right"/>
              <w:ind w:right="71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(2,930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(2,610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10"/>
          </w:tcPr>
          <w:p>
            <w:pPr>
              <w:jc w:val="right"/>
              <w:ind w:right="168"/>
              <w:spacing w:after="0"/>
              <w:rPr>
                <w:sz w:val="20"/>
                <w:szCs w:val="20"/>
                <w:color w:val="auto"/>
              </w:rPr>
            </w:pPr>
            <w:r>
              <w:rPr>
                <w:rFonts w:ascii="Arial" w:cs="Arial" w:eastAsia="Arial" w:hAnsi="Arial"/>
                <w:sz w:val="14"/>
                <w:szCs w:val="14"/>
                <w:b w:val="1"/>
                <w:bCs w:val="1"/>
                <w:color w:val="auto"/>
                <w:w w:val="95"/>
              </w:rPr>
              <w:t>Three Months Ended January 31, 2020</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68"/>
              <w:spacing w:after="0" w:line="126"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780" w:type="dxa"/>
            <w:vAlign w:val="bottom"/>
            <w:gridSpan w:val="6"/>
            <w:vMerge w:val="restart"/>
          </w:tcPr>
          <w:p>
            <w:pPr>
              <w:jc w:val="right"/>
              <w:ind w:right="480"/>
              <w:spacing w:after="0"/>
              <w:rPr>
                <w:sz w:val="20"/>
                <w:szCs w:val="20"/>
                <w:color w:val="auto"/>
              </w:rPr>
            </w:pPr>
            <w:r>
              <w:rPr>
                <w:rFonts w:ascii="Arial" w:cs="Arial" w:eastAsia="Arial" w:hAnsi="Arial"/>
                <w:sz w:val="14"/>
                <w:szCs w:val="14"/>
                <w:b w:val="1"/>
                <w:bCs w:val="1"/>
                <w:color w:val="auto"/>
              </w:rPr>
              <w:t>Common Shares</w:t>
            </w:r>
          </w:p>
        </w:tc>
        <w:tc>
          <w:tcPr>
            <w:tcW w:w="1760" w:type="dxa"/>
            <w:vAlign w:val="bottom"/>
            <w:gridSpan w:val="6"/>
            <w:vMerge w:val="restart"/>
          </w:tcPr>
          <w:p>
            <w:pPr>
              <w:jc w:val="right"/>
              <w:ind w:right="408"/>
              <w:spacing w:after="0"/>
              <w:rPr>
                <w:sz w:val="20"/>
                <w:szCs w:val="20"/>
                <w:color w:val="auto"/>
              </w:rPr>
            </w:pPr>
            <w:r>
              <w:rPr>
                <w:rFonts w:ascii="Arial" w:cs="Arial" w:eastAsia="Arial" w:hAnsi="Arial"/>
                <w:sz w:val="14"/>
                <w:szCs w:val="14"/>
                <w:b w:val="1"/>
                <w:bCs w:val="1"/>
                <w:color w:val="auto"/>
              </w:rPr>
              <w:t>Treasury Shares</w:t>
            </w:r>
          </w:p>
        </w:tc>
        <w:tc>
          <w:tcPr>
            <w:tcW w:w="8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300" w:type="dxa"/>
            <w:vAlign w:val="bottom"/>
          </w:tcPr>
          <w:p>
            <w:pPr>
              <w:spacing w:after="0"/>
              <w:rPr>
                <w:sz w:val="14"/>
                <w:szCs w:val="14"/>
                <w:color w:val="auto"/>
              </w:rPr>
            </w:pPr>
          </w:p>
        </w:tc>
        <w:tc>
          <w:tcPr>
            <w:tcW w:w="1780" w:type="dxa"/>
            <w:vAlign w:val="bottom"/>
            <w:gridSpan w:val="6"/>
            <w:vMerge w:val="continue"/>
          </w:tcPr>
          <w:p>
            <w:pPr>
              <w:spacing w:after="0"/>
              <w:rPr>
                <w:sz w:val="14"/>
                <w:szCs w:val="14"/>
                <w:color w:val="auto"/>
              </w:rPr>
            </w:pPr>
          </w:p>
        </w:tc>
        <w:tc>
          <w:tcPr>
            <w:tcW w:w="176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8"/>
              </w:rPr>
              <w:t>Paid-In</w:t>
            </w:r>
          </w:p>
        </w:tc>
        <w:tc>
          <w:tcPr>
            <w:tcW w:w="1020" w:type="dxa"/>
            <w:vAlign w:val="bottom"/>
            <w:gridSpan w:val="4"/>
          </w:tcPr>
          <w:p>
            <w:pPr>
              <w:ind w:left="80"/>
              <w:spacing w:after="0" w:line="158" w:lineRule="exact"/>
              <w:rPr>
                <w:sz w:val="20"/>
                <w:szCs w:val="20"/>
                <w:color w:val="auto"/>
              </w:rPr>
            </w:pPr>
            <w:r>
              <w:rPr>
                <w:rFonts w:ascii="Arial" w:cs="Arial" w:eastAsia="Arial" w:hAnsi="Arial"/>
                <w:sz w:val="14"/>
                <w:szCs w:val="14"/>
                <w:b w:val="1"/>
                <w:bCs w:val="1"/>
                <w:color w:val="auto"/>
              </w:rPr>
              <w:t>Accumulated</w:t>
            </w:r>
          </w:p>
        </w:tc>
        <w:tc>
          <w:tcPr>
            <w:tcW w:w="1160" w:type="dxa"/>
            <w:vAlign w:val="bottom"/>
            <w:gridSpan w:val="4"/>
          </w:tcPr>
          <w:p>
            <w:pPr>
              <w:ind w:left="80"/>
              <w:spacing w:after="0" w:line="158"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3300" w:type="dxa"/>
            <w:vAlign w:val="bottom"/>
          </w:tcPr>
          <w:p>
            <w:pPr>
              <w:spacing w:after="0"/>
              <w:rPr>
                <w:sz w:val="13"/>
                <w:szCs w:val="13"/>
                <w:color w:val="auto"/>
              </w:rPr>
            </w:pPr>
          </w:p>
        </w:tc>
        <w:tc>
          <w:tcPr>
            <w:tcW w:w="800" w:type="dxa"/>
            <w:vAlign w:val="bottom"/>
            <w:tcBorders>
              <w:top w:val="single" w:sz="8" w:color="auto"/>
            </w:tcBorders>
            <w:gridSpan w:val="2"/>
          </w:tcPr>
          <w:p>
            <w:pPr>
              <w:ind w:left="14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8"/>
              <w:spacing w:after="0" w:line="149"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3"/>
                <w:szCs w:val="13"/>
                <w:color w:val="auto"/>
              </w:rPr>
            </w:pPr>
          </w:p>
        </w:tc>
        <w:tc>
          <w:tcPr>
            <w:tcW w:w="800" w:type="dxa"/>
            <w:vAlign w:val="bottom"/>
            <w:tcBorders>
              <w:top w:val="single" w:sz="8" w:color="auto"/>
            </w:tcBorders>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68"/>
              <w:spacing w:after="0" w:line="149"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228"/>
              <w:spacing w:after="0" w:line="149"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October 31, 2019</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6,489,668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w:t>
            </w:r>
          </w:p>
        </w:tc>
        <w:tc>
          <w:tcPr>
            <w:tcW w:w="8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(4,251)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(302)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227,214</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(215,998)</w:t>
            </w: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(173)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10,749</w:t>
            </w:r>
          </w:p>
        </w:tc>
        <w:tc>
          <w:tcPr>
            <w:tcW w:w="0" w:type="dxa"/>
            <w:vAlign w:val="bottom"/>
          </w:tcPr>
          <w:p>
            <w:pPr>
              <w:spacing w:after="0"/>
              <w:rPr>
                <w:sz w:val="1"/>
                <w:szCs w:val="1"/>
                <w:color w:val="auto"/>
              </w:rPr>
            </w:pPr>
          </w:p>
        </w:tc>
      </w:tr>
      <w:tr>
        <w:trPr>
          <w:trHeight w:val="148"/>
        </w:trPr>
        <w:tc>
          <w:tcPr>
            <w:tcW w:w="33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(2,919)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(2,919)</w:t>
            </w:r>
          </w:p>
        </w:tc>
        <w:tc>
          <w:tcPr>
            <w:tcW w:w="0" w:type="dxa"/>
            <w:vAlign w:val="bottom"/>
          </w:tcPr>
          <w:p>
            <w:pPr>
              <w:spacing w:after="0"/>
              <w:rPr>
                <w:sz w:val="1"/>
                <w:szCs w:val="1"/>
                <w:color w:val="auto"/>
              </w:rPr>
            </w:pPr>
          </w:p>
        </w:tc>
      </w:tr>
      <w:tr>
        <w:trPr>
          <w:trHeight w:val="148"/>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8"/>
        </w:trPr>
        <w:tc>
          <w:tcPr>
            <w:tcW w:w="3300" w:type="dxa"/>
            <w:vAlign w:val="bottom"/>
          </w:tcPr>
          <w:p>
            <w:pPr>
              <w:spacing w:after="0" w:line="149" w:lineRule="exact"/>
              <w:rPr>
                <w:sz w:val="20"/>
                <w:szCs w:val="20"/>
                <w:color w:val="auto"/>
              </w:rPr>
            </w:pPr>
            <w:r>
              <w:rPr>
                <w:rFonts w:ascii="Arial" w:cs="Arial" w:eastAsia="Arial" w:hAnsi="Arial"/>
                <w:sz w:val="14"/>
                <w:szCs w:val="14"/>
                <w:color w:val="auto"/>
              </w:rPr>
              <w:t>Issuance of restricted stock, net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65,060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Exercise of prefunded warrants, net of issuance costs</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264,280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3300" w:type="dxa"/>
            <w:vAlign w:val="bottom"/>
          </w:tcPr>
          <w:p>
            <w:pPr>
              <w:spacing w:after="0" w:line="149" w:lineRule="exact"/>
              <w:rPr>
                <w:sz w:val="20"/>
                <w:szCs w:val="20"/>
                <w:color w:val="auto"/>
              </w:rPr>
            </w:pPr>
            <w:r>
              <w:rPr>
                <w:rFonts w:ascii="Arial" w:cs="Arial" w:eastAsia="Arial" w:hAnsi="Arial"/>
                <w:sz w:val="14"/>
                <w:szCs w:val="14"/>
                <w:color w:val="auto"/>
              </w:rPr>
              <w:t>Sale of stock to Aspire ELOC, net of financing costs</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1,024,205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48"/>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stock thru AGP ATM, net of financing costs</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856,106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1,046</w:t>
            </w:r>
          </w:p>
        </w:tc>
        <w:tc>
          <w:tcPr>
            <w:tcW w:w="0" w:type="dxa"/>
            <w:vAlign w:val="bottom"/>
          </w:tcPr>
          <w:p>
            <w:pPr>
              <w:spacing w:after="0"/>
              <w:rPr>
                <w:sz w:val="1"/>
                <w:szCs w:val="1"/>
                <w:color w:val="auto"/>
              </w:rPr>
            </w:pPr>
          </w:p>
        </w:tc>
      </w:tr>
      <w:tr>
        <w:trPr>
          <w:trHeight w:val="169"/>
        </w:trPr>
        <w:tc>
          <w:tcPr>
            <w:tcW w:w="330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January 31, 2020</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8,699,319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(4,251</w:t>
            </w:r>
          </w:p>
        </w:tc>
        <w:tc>
          <w:tcPr>
            <w:tcW w:w="14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220" w:type="dxa"/>
            <w:vAlign w:val="bottom"/>
            <w:tcBorders>
              <w:top w:val="single" w:sz="8" w:color="CCEEFF"/>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229,167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(218,917</w:t>
            </w:r>
          </w:p>
        </w:tc>
        <w:tc>
          <w:tcPr>
            <w:tcW w:w="14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4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3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Nine Months Ended January 31, 2020</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68"/>
              <w:spacing w:after="0" w:line="126"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780" w:type="dxa"/>
            <w:vAlign w:val="bottom"/>
            <w:gridSpan w:val="6"/>
            <w:vMerge w:val="restart"/>
          </w:tcPr>
          <w:p>
            <w:pPr>
              <w:jc w:val="right"/>
              <w:ind w:right="480"/>
              <w:spacing w:after="0"/>
              <w:rPr>
                <w:sz w:val="20"/>
                <w:szCs w:val="20"/>
                <w:color w:val="auto"/>
              </w:rPr>
            </w:pPr>
            <w:r>
              <w:rPr>
                <w:rFonts w:ascii="Arial" w:cs="Arial" w:eastAsia="Arial" w:hAnsi="Arial"/>
                <w:sz w:val="14"/>
                <w:szCs w:val="14"/>
                <w:b w:val="1"/>
                <w:bCs w:val="1"/>
                <w:color w:val="auto"/>
              </w:rPr>
              <w:t>Common Shares</w:t>
            </w:r>
          </w:p>
        </w:tc>
        <w:tc>
          <w:tcPr>
            <w:tcW w:w="1760" w:type="dxa"/>
            <w:vAlign w:val="bottom"/>
            <w:gridSpan w:val="6"/>
            <w:vMerge w:val="restart"/>
          </w:tcPr>
          <w:p>
            <w:pPr>
              <w:jc w:val="right"/>
              <w:ind w:right="408"/>
              <w:spacing w:after="0"/>
              <w:rPr>
                <w:sz w:val="20"/>
                <w:szCs w:val="20"/>
                <w:color w:val="auto"/>
              </w:rPr>
            </w:pPr>
            <w:r>
              <w:rPr>
                <w:rFonts w:ascii="Arial" w:cs="Arial" w:eastAsia="Arial" w:hAnsi="Arial"/>
                <w:sz w:val="14"/>
                <w:szCs w:val="14"/>
                <w:b w:val="1"/>
                <w:bCs w:val="1"/>
                <w:color w:val="auto"/>
              </w:rPr>
              <w:t>Treasury Shares</w:t>
            </w:r>
          </w:p>
        </w:tc>
        <w:tc>
          <w:tcPr>
            <w:tcW w:w="8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300" w:type="dxa"/>
            <w:vAlign w:val="bottom"/>
          </w:tcPr>
          <w:p>
            <w:pPr>
              <w:spacing w:after="0"/>
              <w:rPr>
                <w:sz w:val="14"/>
                <w:szCs w:val="14"/>
                <w:color w:val="auto"/>
              </w:rPr>
            </w:pPr>
          </w:p>
        </w:tc>
        <w:tc>
          <w:tcPr>
            <w:tcW w:w="1780" w:type="dxa"/>
            <w:vAlign w:val="bottom"/>
            <w:gridSpan w:val="6"/>
            <w:vMerge w:val="continue"/>
          </w:tcPr>
          <w:p>
            <w:pPr>
              <w:spacing w:after="0"/>
              <w:rPr>
                <w:sz w:val="14"/>
                <w:szCs w:val="14"/>
                <w:color w:val="auto"/>
              </w:rPr>
            </w:pPr>
          </w:p>
        </w:tc>
        <w:tc>
          <w:tcPr>
            <w:tcW w:w="176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8"/>
              </w:rPr>
              <w:t>Paid-In</w:t>
            </w:r>
          </w:p>
        </w:tc>
        <w:tc>
          <w:tcPr>
            <w:tcW w:w="1020" w:type="dxa"/>
            <w:vAlign w:val="bottom"/>
            <w:gridSpan w:val="4"/>
          </w:tcPr>
          <w:p>
            <w:pPr>
              <w:ind w:left="80"/>
              <w:spacing w:after="0" w:line="158" w:lineRule="exact"/>
              <w:rPr>
                <w:sz w:val="20"/>
                <w:szCs w:val="20"/>
                <w:color w:val="auto"/>
              </w:rPr>
            </w:pPr>
            <w:r>
              <w:rPr>
                <w:rFonts w:ascii="Arial" w:cs="Arial" w:eastAsia="Arial" w:hAnsi="Arial"/>
                <w:sz w:val="14"/>
                <w:szCs w:val="14"/>
                <w:b w:val="1"/>
                <w:bCs w:val="1"/>
                <w:color w:val="auto"/>
              </w:rPr>
              <w:t>Accumulated</w:t>
            </w:r>
          </w:p>
        </w:tc>
        <w:tc>
          <w:tcPr>
            <w:tcW w:w="1160" w:type="dxa"/>
            <w:vAlign w:val="bottom"/>
            <w:gridSpan w:val="4"/>
          </w:tcPr>
          <w:p>
            <w:pPr>
              <w:ind w:left="80"/>
              <w:spacing w:after="0" w:line="158"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800" w:type="dxa"/>
            <w:vAlign w:val="bottom"/>
            <w:tcBorders>
              <w:top w:val="single" w:sz="8" w:color="auto"/>
            </w:tcBorders>
            <w:gridSpan w:val="2"/>
          </w:tcPr>
          <w:p>
            <w:pPr>
              <w:ind w:left="14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8"/>
              <w:spacing w:after="0" w:line="149"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3"/>
                <w:szCs w:val="13"/>
                <w:color w:val="auto"/>
              </w:rPr>
            </w:pPr>
          </w:p>
        </w:tc>
        <w:tc>
          <w:tcPr>
            <w:tcW w:w="800" w:type="dxa"/>
            <w:vAlign w:val="bottom"/>
            <w:tcBorders>
              <w:top w:val="single" w:sz="8" w:color="auto"/>
            </w:tcBorders>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68"/>
              <w:spacing w:after="0" w:line="149"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228"/>
              <w:spacing w:after="0" w:line="149"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April 30, 2019</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5,425,517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8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(3,770)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(301)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226,026</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(209,784)</w:t>
            </w: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(171)</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15,775</w:t>
            </w: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(9,133)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(9,133)</w:t>
            </w:r>
          </w:p>
        </w:tc>
        <w:tc>
          <w:tcPr>
            <w:tcW w:w="0" w:type="dxa"/>
            <w:vAlign w:val="bottom"/>
          </w:tcPr>
          <w:p>
            <w:pPr>
              <w:spacing w:after="0"/>
              <w:rPr>
                <w:sz w:val="1"/>
                <w:szCs w:val="1"/>
                <w:color w:val="auto"/>
              </w:rPr>
            </w:pPr>
          </w:p>
        </w:tc>
      </w:tr>
      <w:tr>
        <w:trPr>
          <w:trHeight w:val="148"/>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48"/>
        </w:trPr>
        <w:tc>
          <w:tcPr>
            <w:tcW w:w="3300" w:type="dxa"/>
            <w:vAlign w:val="bottom"/>
          </w:tcPr>
          <w:p>
            <w:pPr>
              <w:spacing w:after="0" w:line="149" w:lineRule="exact"/>
              <w:rPr>
                <w:sz w:val="20"/>
                <w:szCs w:val="20"/>
                <w:color w:val="auto"/>
              </w:rPr>
            </w:pPr>
            <w:r>
              <w:rPr>
                <w:rFonts w:ascii="Arial" w:cs="Arial" w:eastAsia="Arial" w:hAnsi="Arial"/>
                <w:sz w:val="14"/>
                <w:szCs w:val="14"/>
                <w:color w:val="auto"/>
              </w:rPr>
              <w:t>Issuance of restricted stock, net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64,928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Exercise of prefunded warrants, net of issuance costs</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614,280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8"/>
        </w:trPr>
        <w:tc>
          <w:tcPr>
            <w:tcW w:w="3300" w:type="dxa"/>
            <w:vAlign w:val="bottom"/>
          </w:tcPr>
          <w:p>
            <w:pPr>
              <w:spacing w:after="0" w:line="149" w:lineRule="exact"/>
              <w:rPr>
                <w:sz w:val="20"/>
                <w:szCs w:val="20"/>
                <w:color w:val="auto"/>
              </w:rPr>
            </w:pPr>
            <w:r>
              <w:rPr>
                <w:rFonts w:ascii="Arial" w:cs="Arial" w:eastAsia="Arial" w:hAnsi="Arial"/>
                <w:sz w:val="14"/>
                <w:szCs w:val="14"/>
                <w:color w:val="auto"/>
              </w:rPr>
              <w:t>Common stock issued for commitment fee- Aspire</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194,805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stock to Aspire ELOC, net of financing costs</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1,024,205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48"/>
        </w:trPr>
        <w:tc>
          <w:tcPr>
            <w:tcW w:w="3300" w:type="dxa"/>
            <w:vAlign w:val="bottom"/>
          </w:tcPr>
          <w:p>
            <w:pPr>
              <w:spacing w:after="0" w:line="149" w:lineRule="exact"/>
              <w:rPr>
                <w:sz w:val="20"/>
                <w:szCs w:val="20"/>
                <w:color w:val="auto"/>
              </w:rPr>
            </w:pPr>
            <w:r>
              <w:rPr>
                <w:rFonts w:ascii="Arial" w:cs="Arial" w:eastAsia="Arial" w:hAnsi="Arial"/>
                <w:sz w:val="14"/>
                <w:szCs w:val="14"/>
                <w:color w:val="auto"/>
              </w:rPr>
              <w:t>Sale of stock thru AGP ATM, net of financing costs</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1,375,584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1,790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1,791</w:t>
            </w:r>
          </w:p>
        </w:tc>
        <w:tc>
          <w:tcPr>
            <w:tcW w:w="0" w:type="dxa"/>
            <w:vAlign w:val="bottom"/>
          </w:tcPr>
          <w:p>
            <w:pPr>
              <w:spacing w:after="0"/>
              <w:rPr>
                <w:sz w:val="1"/>
                <w:szCs w:val="1"/>
                <w:color w:val="auto"/>
              </w:rPr>
            </w:pPr>
          </w:p>
        </w:tc>
      </w:tr>
      <w:tr>
        <w:trPr>
          <w:trHeight w:val="148"/>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(481)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330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January 31, 2020</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8,699,319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(4,251</w:t>
            </w:r>
          </w:p>
        </w:tc>
        <w:tc>
          <w:tcPr>
            <w:tcW w:w="14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220" w:type="dxa"/>
            <w:vAlign w:val="bottom"/>
            <w:tcBorders>
              <w:top w:val="single" w:sz="8" w:color="CCEEFF"/>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229,167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(218,917</w:t>
            </w:r>
          </w:p>
        </w:tc>
        <w:tc>
          <w:tcPr>
            <w:tcW w:w="14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4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10"/>
          </w:tcPr>
          <w:p>
            <w:pPr>
              <w:jc w:val="center"/>
              <w:ind w:right="188"/>
              <w:spacing w:after="0"/>
              <w:rPr>
                <w:sz w:val="20"/>
                <w:szCs w:val="20"/>
                <w:color w:val="auto"/>
              </w:rPr>
            </w:pPr>
            <w:r>
              <w:rPr>
                <w:rFonts w:ascii="Arial" w:cs="Arial" w:eastAsia="Arial" w:hAnsi="Arial"/>
                <w:sz w:val="14"/>
                <w:szCs w:val="14"/>
                <w:b w:val="1"/>
                <w:bCs w:val="1"/>
                <w:color w:val="auto"/>
                <w:w w:val="94"/>
              </w:rPr>
              <w:t>Three Months Ended January 31, 2019</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68"/>
              <w:spacing w:after="0" w:line="126"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84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rPr>
              <w:t>Common Shares</w:t>
            </w:r>
          </w:p>
        </w:tc>
        <w:tc>
          <w:tcPr>
            <w:tcW w:w="1760" w:type="dxa"/>
            <w:vAlign w:val="bottom"/>
            <w:gridSpan w:val="6"/>
            <w:vMerge w:val="restart"/>
          </w:tcPr>
          <w:p>
            <w:pPr>
              <w:jc w:val="right"/>
              <w:ind w:right="408"/>
              <w:spacing w:after="0"/>
              <w:rPr>
                <w:sz w:val="20"/>
                <w:szCs w:val="20"/>
                <w:color w:val="auto"/>
              </w:rPr>
            </w:pPr>
            <w:r>
              <w:rPr>
                <w:rFonts w:ascii="Arial" w:cs="Arial" w:eastAsia="Arial" w:hAnsi="Arial"/>
                <w:sz w:val="14"/>
                <w:szCs w:val="14"/>
                <w:b w:val="1"/>
                <w:bCs w:val="1"/>
                <w:color w:val="auto"/>
              </w:rPr>
              <w:t>Treasury Shares</w:t>
            </w:r>
          </w:p>
        </w:tc>
        <w:tc>
          <w:tcPr>
            <w:tcW w:w="7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840" w:type="dxa"/>
            <w:vAlign w:val="bottom"/>
            <w:gridSpan w:val="6"/>
            <w:vMerge w:val="continue"/>
          </w:tcPr>
          <w:p>
            <w:pPr>
              <w:spacing w:after="0"/>
              <w:rPr>
                <w:sz w:val="14"/>
                <w:szCs w:val="14"/>
                <w:color w:val="auto"/>
              </w:rPr>
            </w:pPr>
          </w:p>
        </w:tc>
        <w:tc>
          <w:tcPr>
            <w:tcW w:w="176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8"/>
              </w:rPr>
              <w:t>Paid-In</w:t>
            </w:r>
          </w:p>
        </w:tc>
        <w:tc>
          <w:tcPr>
            <w:tcW w:w="1060" w:type="dxa"/>
            <w:vAlign w:val="bottom"/>
            <w:gridSpan w:val="4"/>
          </w:tcPr>
          <w:p>
            <w:pPr>
              <w:ind w:left="120"/>
              <w:spacing w:after="0" w:line="158" w:lineRule="exact"/>
              <w:rPr>
                <w:sz w:val="20"/>
                <w:szCs w:val="20"/>
                <w:color w:val="auto"/>
              </w:rPr>
            </w:pPr>
            <w:r>
              <w:rPr>
                <w:rFonts w:ascii="Arial" w:cs="Arial" w:eastAsia="Arial" w:hAnsi="Arial"/>
                <w:sz w:val="14"/>
                <w:szCs w:val="14"/>
                <w:b w:val="1"/>
                <w:bCs w:val="1"/>
                <w:color w:val="auto"/>
              </w:rPr>
              <w:t>Accumulated</w:t>
            </w:r>
          </w:p>
        </w:tc>
        <w:tc>
          <w:tcPr>
            <w:tcW w:w="1160" w:type="dxa"/>
            <w:vAlign w:val="bottom"/>
            <w:gridSpan w:val="4"/>
          </w:tcPr>
          <w:p>
            <w:pPr>
              <w:ind w:left="80"/>
              <w:spacing w:after="0" w:line="158"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324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8"/>
              <w:spacing w:after="0" w:line="149"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3"/>
                <w:szCs w:val="13"/>
                <w:color w:val="auto"/>
              </w:rPr>
            </w:pPr>
          </w:p>
        </w:tc>
        <w:tc>
          <w:tcPr>
            <w:tcW w:w="800" w:type="dxa"/>
            <w:vAlign w:val="bottom"/>
            <w:tcBorders>
              <w:top w:val="single" w:sz="8" w:color="auto"/>
            </w:tcBorders>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8"/>
              <w:spacing w:after="0" w:line="149"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68"/>
              <w:spacing w:after="0" w:line="149"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228"/>
              <w:spacing w:after="0" w:line="149"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October 31, 2018</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19,067,868</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w:t>
            </w:r>
          </w:p>
        </w:tc>
        <w:tc>
          <w:tcPr>
            <w:tcW w:w="8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(75,782)</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(301)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208,714</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(204,668)</w:t>
            </w: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(165)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3,599</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(2,611)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(2,611)</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Issuance of restricted stock, net</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(97,297)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stock thru AGP ATM, net of financing costs</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1,419,538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January 31, 2019</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20,390,109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(75,782</w:t>
            </w:r>
          </w:p>
        </w:tc>
        <w:tc>
          <w:tcPr>
            <w:tcW w:w="14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220" w:type="dxa"/>
            <w:vAlign w:val="bottom"/>
            <w:tcBorders>
              <w:top w:val="single" w:sz="8" w:color="CCEEFF"/>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209,173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(207,279</w:t>
            </w:r>
          </w:p>
        </w:tc>
        <w:tc>
          <w:tcPr>
            <w:tcW w:w="14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4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2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0"/>
          </w:tcPr>
          <w:p>
            <w:pPr>
              <w:jc w:val="center"/>
              <w:ind w:right="188"/>
              <w:spacing w:after="0"/>
              <w:rPr>
                <w:sz w:val="20"/>
                <w:szCs w:val="20"/>
                <w:color w:val="auto"/>
              </w:rPr>
            </w:pPr>
            <w:r>
              <w:rPr>
                <w:rFonts w:ascii="Arial" w:cs="Arial" w:eastAsia="Arial" w:hAnsi="Arial"/>
                <w:sz w:val="14"/>
                <w:szCs w:val="14"/>
                <w:b w:val="1"/>
                <w:bCs w:val="1"/>
                <w:color w:val="auto"/>
                <w:w w:val="94"/>
              </w:rPr>
              <w:t>Nine Months Ended January 31, 2019</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68"/>
              <w:spacing w:after="0" w:line="126"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84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rPr>
              <w:t>Common Shares</w:t>
            </w:r>
          </w:p>
        </w:tc>
        <w:tc>
          <w:tcPr>
            <w:tcW w:w="1760" w:type="dxa"/>
            <w:vAlign w:val="bottom"/>
            <w:gridSpan w:val="6"/>
            <w:vMerge w:val="restart"/>
          </w:tcPr>
          <w:p>
            <w:pPr>
              <w:jc w:val="right"/>
              <w:ind w:right="408"/>
              <w:spacing w:after="0"/>
              <w:rPr>
                <w:sz w:val="20"/>
                <w:szCs w:val="20"/>
                <w:color w:val="auto"/>
              </w:rPr>
            </w:pPr>
            <w:r>
              <w:rPr>
                <w:rFonts w:ascii="Arial" w:cs="Arial" w:eastAsia="Arial" w:hAnsi="Arial"/>
                <w:sz w:val="14"/>
                <w:szCs w:val="14"/>
                <w:b w:val="1"/>
                <w:bCs w:val="1"/>
                <w:color w:val="auto"/>
              </w:rPr>
              <w:t>Treasury Shares</w:t>
            </w:r>
          </w:p>
        </w:tc>
        <w:tc>
          <w:tcPr>
            <w:tcW w:w="7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840" w:type="dxa"/>
            <w:vAlign w:val="bottom"/>
            <w:gridSpan w:val="6"/>
            <w:vMerge w:val="continue"/>
          </w:tcPr>
          <w:p>
            <w:pPr>
              <w:spacing w:after="0"/>
              <w:rPr>
                <w:sz w:val="14"/>
                <w:szCs w:val="14"/>
                <w:color w:val="auto"/>
              </w:rPr>
            </w:pPr>
          </w:p>
        </w:tc>
        <w:tc>
          <w:tcPr>
            <w:tcW w:w="176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8"/>
              </w:rPr>
              <w:t>Paid-In</w:t>
            </w:r>
          </w:p>
        </w:tc>
        <w:tc>
          <w:tcPr>
            <w:tcW w:w="1060" w:type="dxa"/>
            <w:vAlign w:val="bottom"/>
            <w:gridSpan w:val="4"/>
          </w:tcPr>
          <w:p>
            <w:pPr>
              <w:ind w:left="120"/>
              <w:spacing w:after="0" w:line="158" w:lineRule="exact"/>
              <w:rPr>
                <w:sz w:val="20"/>
                <w:szCs w:val="20"/>
                <w:color w:val="auto"/>
              </w:rPr>
            </w:pPr>
            <w:r>
              <w:rPr>
                <w:rFonts w:ascii="Arial" w:cs="Arial" w:eastAsia="Arial" w:hAnsi="Arial"/>
                <w:sz w:val="14"/>
                <w:szCs w:val="14"/>
                <w:b w:val="1"/>
                <w:bCs w:val="1"/>
                <w:color w:val="auto"/>
              </w:rPr>
              <w:t>Accumulated</w:t>
            </w:r>
          </w:p>
        </w:tc>
        <w:tc>
          <w:tcPr>
            <w:tcW w:w="1160" w:type="dxa"/>
            <w:vAlign w:val="bottom"/>
            <w:gridSpan w:val="4"/>
          </w:tcPr>
          <w:p>
            <w:pPr>
              <w:ind w:left="80"/>
              <w:spacing w:after="0" w:line="158"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324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8"/>
              <w:spacing w:after="0" w:line="149"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3"/>
                <w:szCs w:val="13"/>
                <w:color w:val="auto"/>
              </w:rPr>
            </w:pPr>
          </w:p>
        </w:tc>
        <w:tc>
          <w:tcPr>
            <w:tcW w:w="800" w:type="dxa"/>
            <w:vAlign w:val="bottom"/>
            <w:tcBorders>
              <w:top w:val="single" w:sz="8" w:color="auto"/>
            </w:tcBorders>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8"/>
              <w:spacing w:after="0" w:line="149"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68"/>
              <w:spacing w:after="0" w:line="149"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228"/>
              <w:spacing w:after="0" w:line="149"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April 30, 2018</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18,424,939</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w:t>
            </w:r>
          </w:p>
        </w:tc>
        <w:tc>
          <w:tcPr>
            <w:tcW w:w="8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(74,012)</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208,216</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(197,538)</w:t>
            </w: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(160)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10,236</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(9,741)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(9,741)</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Issuance of restricted stock, net</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(82,939)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issued for commitment fee</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428,571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Sale of stock thru AGP ATM, net of financing costs</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1,619,538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(1,770)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January 31, 2019</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20,390,109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(75,782</w:t>
            </w:r>
          </w:p>
        </w:tc>
        <w:tc>
          <w:tcPr>
            <w:tcW w:w="14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220" w:type="dxa"/>
            <w:vAlign w:val="bottom"/>
            <w:tcBorders>
              <w:top w:val="single" w:sz="8" w:color="CCEEFF"/>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209,173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(207,279</w:t>
            </w:r>
          </w:p>
        </w:tc>
        <w:tc>
          <w:tcPr>
            <w:tcW w:w="14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4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31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 ended January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440" w:type="dxa"/>
            <w:vAlign w:val="bottom"/>
          </w:tcPr>
          <w:p>
            <w:pPr>
              <w:spacing w:after="0"/>
              <w:rPr>
                <w:sz w:val="20"/>
                <w:szCs w:val="20"/>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20" w:type="dxa"/>
            <w:vAlign w:val="bottom"/>
          </w:tcPr>
          <w:p>
            <w:pPr>
              <w:jc w:val="right"/>
              <w:ind w:right="9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(9,133)</w:t>
            </w: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(9,741)</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Foreign exchange loss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5</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43</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263</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135</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225</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200</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due to the change in fair value of warrant liabilities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105</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Unbilled receivables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71</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Contract assets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(20)</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19</w:t>
            </w:r>
          </w:p>
        </w:tc>
        <w:tc>
          <w:tcPr>
            <w:tcW w:w="1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(194)</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Accrued expenses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257</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281</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rent</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Deferred credit payable</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Unearned revenue</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Change in lease liability</w:t>
            </w:r>
          </w:p>
        </w:tc>
        <w:tc>
          <w:tcPr>
            <w:tcW w:w="1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(147)</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50"/>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Contract liabilities</w:t>
            </w:r>
          </w:p>
        </w:tc>
        <w:tc>
          <w:tcPr>
            <w:tcW w:w="1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107</w:t>
            </w:r>
          </w:p>
        </w:tc>
        <w:tc>
          <w:tcPr>
            <w:tcW w:w="1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256</w:t>
            </w:r>
          </w:p>
        </w:tc>
      </w:tr>
      <w:tr>
        <w:trPr>
          <w:trHeight w:val="210"/>
        </w:trPr>
        <w:tc>
          <w:tcPr>
            <w:tcW w:w="7440" w:type="dxa"/>
            <w:vAlign w:val="bottom"/>
            <w:tcBorders>
              <w:top w:val="single" w:sz="8" w:color="CCEEFF"/>
              <w:bottom w:val="single" w:sz="8" w:color="CCEEFF"/>
            </w:tcBorders>
          </w:tcPr>
          <w:p>
            <w:pPr>
              <w:ind w:left="720"/>
              <w:spacing w:after="0" w:line="203" w:lineRule="exact"/>
              <w:rPr>
                <w:sz w:val="20"/>
                <w:szCs w:val="20"/>
                <w:color w:val="auto"/>
              </w:rPr>
            </w:pPr>
            <w:r>
              <w:rPr>
                <w:rFonts w:ascii="Arial" w:cs="Arial" w:eastAsia="Arial" w:hAnsi="Arial"/>
                <w:sz w:val="18"/>
                <w:szCs w:val="18"/>
                <w:color w:val="auto"/>
              </w:rPr>
              <w:t>Net cash used in operating activities</w:t>
            </w:r>
          </w:p>
        </w:tc>
        <w:tc>
          <w:tcPr>
            <w:tcW w:w="1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(8,631</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(9,850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Maturities of marketable securities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w:t>
            </w:r>
          </w:p>
        </w:tc>
      </w:tr>
      <w:tr>
        <w:trPr>
          <w:trHeight w:val="236"/>
        </w:trPr>
        <w:tc>
          <w:tcPr>
            <w:tcW w:w="7440" w:type="dxa"/>
            <w:vAlign w:val="bottom"/>
          </w:tcPr>
          <w:p>
            <w:pPr>
              <w:ind w:left="180"/>
              <w:spacing w:after="0"/>
              <w:rPr>
                <w:sz w:val="20"/>
                <w:szCs w:val="20"/>
                <w:color w:val="auto"/>
              </w:rPr>
            </w:pPr>
            <w:r>
              <w:rPr>
                <w:rFonts w:ascii="Arial" w:cs="Arial" w:eastAsia="Arial" w:hAnsi="Arial"/>
                <w:sz w:val="18"/>
                <w:szCs w:val="18"/>
                <w:color w:val="auto"/>
              </w:rPr>
              <w:t>Purchase of computers, equipment and furniture</w:t>
            </w:r>
          </w:p>
        </w:tc>
        <w:tc>
          <w:tcPr>
            <w:tcW w:w="1120" w:type="dxa"/>
            <w:vAlign w:val="bottom"/>
          </w:tcPr>
          <w:p>
            <w:pPr>
              <w:spacing w:after="0"/>
              <w:rPr>
                <w:sz w:val="20"/>
                <w:szCs w:val="20"/>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(61)</w:t>
            </w:r>
          </w:p>
        </w:tc>
        <w:tc>
          <w:tcPr>
            <w:tcW w:w="1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36"/>
        </w:trPr>
        <w:tc>
          <w:tcPr>
            <w:tcW w:w="744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net of issuance costs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464</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issuance of common stock- Aspire financing net of issuance costs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850</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Proceeds from issuance of common stock- AGP At The Market offering, net of issuance costs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1,520</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Costs associated with exercise of pre-funded warrants</w:t>
            </w:r>
          </w:p>
        </w:tc>
        <w:tc>
          <w:tcPr>
            <w:tcW w:w="1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(16)</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capital lease obligations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Acquisition of treasury stock</w:t>
            </w:r>
          </w:p>
        </w:tc>
        <w:tc>
          <w:tcPr>
            <w:tcW w:w="1120" w:type="dxa"/>
            <w:vAlign w:val="bottom"/>
          </w:tcPr>
          <w:p>
            <w:pPr>
              <w:spacing w:after="0"/>
              <w:rPr>
                <w:sz w:val="20"/>
                <w:szCs w:val="20"/>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(1)</w:t>
            </w:r>
          </w:p>
        </w:tc>
        <w:tc>
          <w:tcPr>
            <w:tcW w:w="1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36"/>
        </w:trPr>
        <w:tc>
          <w:tcPr>
            <w:tcW w:w="744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4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Effect of exchange rate changes on cash, cash equivalents and restricted cash</w:t>
            </w: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decrease in cash, cash equivalents and restricted cash</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(6,354)</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(9,497)</w:t>
            </w:r>
          </w:p>
        </w:tc>
        <w:tc>
          <w:tcPr>
            <w:tcW w:w="100" w:type="dxa"/>
            <w:vAlign w:val="bottom"/>
            <w:shd w:val="clear" w:color="auto" w:fill="CCEEFF"/>
          </w:tcPr>
          <w:p>
            <w:pPr>
              <w:spacing w:after="0"/>
              <w:rPr>
                <w:sz w:val="18"/>
                <w:szCs w:val="18"/>
                <w:color w:val="auto"/>
              </w:rPr>
            </w:pPr>
          </w:p>
        </w:tc>
      </w:tr>
      <w:tr>
        <w:trPr>
          <w:trHeight w:val="236"/>
        </w:trPr>
        <w:tc>
          <w:tcPr>
            <w:tcW w:w="744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12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17,159</w:t>
            </w:r>
          </w:p>
        </w:tc>
        <w:tc>
          <w:tcPr>
            <w:tcW w:w="1100" w:type="dxa"/>
            <w:vAlign w:val="bottom"/>
          </w:tcPr>
          <w:p>
            <w:pPr>
              <w:spacing w:after="0"/>
              <w:rPr>
                <w:sz w:val="20"/>
                <w:szCs w:val="20"/>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12,225</w:t>
            </w: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120" w:type="dxa"/>
            <w:vAlign w:val="bottom"/>
            <w:tcBorders>
              <w:top w:val="single" w:sz="8" w:color="auto"/>
              <w:bottom w:val="single" w:sz="8" w:color="auto"/>
            </w:tcBorders>
            <w:shd w:val="clear" w:color="auto" w:fill="CCEEFF"/>
          </w:tcPr>
          <w:p>
            <w:pPr>
              <w:jc w:val="right"/>
              <w:ind w:right="96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cash flows information:</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1120" w:type="dxa"/>
            <w:vAlign w:val="bottom"/>
          </w:tcPr>
          <w:p>
            <w:pPr>
              <w:jc w:val="right"/>
              <w:ind w:right="9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1</w:t>
            </w:r>
          </w:p>
        </w:tc>
      </w:tr>
      <w:tr>
        <w:trPr>
          <w:trHeight w:val="216"/>
        </w:trPr>
        <w:tc>
          <w:tcPr>
            <w:tcW w:w="7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Supplemental disclosure of noncash operating activities: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financing costs reported in accrued expenses</w:t>
            </w:r>
          </w:p>
        </w:tc>
        <w:tc>
          <w:tcPr>
            <w:tcW w:w="1120" w:type="dxa"/>
            <w:vAlign w:val="bottom"/>
            <w:shd w:val="clear" w:color="auto" w:fill="CCEEFF"/>
          </w:tcPr>
          <w:p>
            <w:pPr>
              <w:jc w:val="right"/>
              <w:ind w:right="96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w:t>
            </w:r>
          </w:p>
        </w:tc>
        <w:tc>
          <w:tcPr>
            <w:tcW w:w="1100" w:type="dxa"/>
            <w:vAlign w:val="bottom"/>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Acquisition of computers, equipment and furniture through accounts payable</w:t>
            </w:r>
          </w:p>
        </w:tc>
        <w:tc>
          <w:tcPr>
            <w:tcW w:w="1120" w:type="dxa"/>
            <w:vAlign w:val="bottom"/>
          </w:tcPr>
          <w:p>
            <w:pPr>
              <w:jc w:val="right"/>
              <w:ind w:right="9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2</w:t>
            </w:r>
          </w:p>
        </w:tc>
      </w:tr>
      <w:tr>
        <w:trPr>
          <w:trHeight w:val="216"/>
        </w:trPr>
        <w:tc>
          <w:tcPr>
            <w:tcW w:w="7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issued for payment of commitment fee</w:t>
            </w:r>
          </w:p>
        </w:tc>
        <w:tc>
          <w:tcPr>
            <w:tcW w:w="1120" w:type="dxa"/>
            <w:vAlign w:val="bottom"/>
            <w:shd w:val="clear" w:color="auto" w:fill="CCEEFF"/>
          </w:tcPr>
          <w:p>
            <w:pPr>
              <w:jc w:val="right"/>
              <w:ind w:right="96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295</w:t>
            </w:r>
          </w:p>
        </w:tc>
        <w:tc>
          <w:tcPr>
            <w:tcW w:w="1100" w:type="dxa"/>
            <w:vAlign w:val="bottom"/>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295</w:t>
            </w: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Outstanding receivable for sale of shares through AGP At the Market program</w:t>
            </w:r>
          </w:p>
        </w:tc>
        <w:tc>
          <w:tcPr>
            <w:tcW w:w="1120" w:type="dxa"/>
            <w:vAlign w:val="bottom"/>
          </w:tcPr>
          <w:p>
            <w:pPr>
              <w:jc w:val="right"/>
              <w:ind w:right="9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271</w:t>
            </w: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Background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Ocean Power Technologies, Inc. (the “Company”) was founded in 1984 in New Jersey, commenced business operations in 1994 and re-incorporated in Delaware in 2007. The Company is developing and commercializing its proprietary systems that generate electricity by harnessing the renewable energy of ocean waves. The Company uses proprietary technologies that convert the mechanical energy created by the heaving motion of ocean waves into electricity. The Company has designed and continues to develop the PowerBuoy® product line which is based on modular, ocean-going buoys, which the Company has been periodically ocean testing since 1997. The Company markets its PowerBuoys® in the United States and internationally. Since fiscal 2002, government agencies have accounted for a significant portion of the Company’s revenues. These revenues were largely for the support of product development efforts relating to our technology. Today our goal is to generate the majority of our revenue from the sale or lease of products, and sales of services to support our business operations. As we continue to develop and commercialize our products and services, we expect to have a net decrease in cash due to the use of cash from operating activities unless and until we achieve positive cash flow from the commercialization of products and services.</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2019 and its Quarterly Reports on Form 10-Q for the quarters ended July 31, 2019 and October 31, 2019, each filed with the Securities and Exchange Commission (“SEC”), and elsewhere in this Form 10-Q.</w:t>
      </w:r>
    </w:p>
    <w:p>
      <w:pPr>
        <w:spacing w:after="0" w:line="19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Liquidity/Going Concern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consolidated financial statements have been prepared assuming the Company will continue as a going concern. The Company has experienced substantial and recurring losses from operations, which have contributed to an accumulated deficit of $218.9 million as of January 31, 2020. As of January 31, 2020, the Company had approximately $10.8 million in cash, cash equivalents, and restricted cash on hand. The Company generated revenues of $1.1 million and $0.4 million during the nine months ended January 31, 2020 and 2019, respectively. Based on the Company’s cash, cash equivalents and restricted cash balances as of January 31, 2020, the Company believes that it will be able to finance its capital requirements and operations into the quarter ending October 31, 2020. Among other things, the Company is currently evaluating a variety of different financing alternatives and we expect to continue to fund our business with sales of our securities and through generating revenue with customers. The Company will require additional equity and/or debt financing to continue its operations into Fiscal Year 2021. The Company cannot provide assurances that it will be able to secure additional funding when needed or at all, or, if secured, that such funding would be on favorable terms. These factors raise substantial doubt about the Company’s ability to continue as a going concern.</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consolidated financial statements have been prepared on a going concern basis, which contemplates the realization of assets and satisfaction of liabilities in the normal course of business. The consolidated financial statements do not include any adjustments relating to the recoverability and classification of recorded assets amounts or the amounts and classification of liabilities that might result from the outcome of this uncertainty.</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evaluating different strategies to obtain the required additional funding for future operations. These strategies may include, but are not limited to, continued pursuit of business opportunities, additional funding from current and /or new investors, officers and directors; borrowings of debt; a public offering of the Company’s equity or debt securities; partnerships and/or collaborations. There can be no assurance that any of these future-funding efforts will be successful.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both"/>
        <w:spacing w:after="0" w:line="286" w:lineRule="auto"/>
        <w:rPr>
          <w:sz w:val="20"/>
          <w:szCs w:val="20"/>
          <w:color w:val="auto"/>
        </w:rPr>
      </w:pPr>
      <w:r>
        <w:rPr>
          <w:rFonts w:ascii="Arial" w:cs="Arial" w:eastAsia="Arial" w:hAnsi="Arial"/>
          <w:sz w:val="16"/>
          <w:szCs w:val="16"/>
          <w:color w:val="auto"/>
        </w:rPr>
        <w:t>In fiscal 2019 and during the nine months ended January 31, 2020,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lack of available financing and insufficient capital, performance of PowerBuoys®, its inability to market and commercialize its PowerBuoys® and new products that it may develop, technology development, scalability of technology and production, dependence on skills of key personnel, concentration of customers and suppliers, deployment risks and laws, regulations and permitting. In order to continue to implement its business strategy, the Company requires additional equity and/or debt financing. The Company currently has committed sources of equity financing through its At the Market Offering Agreement with A.G.P/Alliance Global Partners (“AGP”) and the Aspire Capital financing (each discussed further below), but the Company cannot be sure that additional equity and/or debt financing will be available to the Company as needed on acceptable terms, or at all. Historically, the Company has raised capital through securities sales in the public capital markets. If sufficient additional financing is not obtained when needed, the Company may be required to further curtail or limit operations, product development costs, and/or selling, general and administrative activities in order to reduce its cash expenditures. This could cause the Company to be unable to execute its business plan, take advantage of future opportunities and may cause it to scale back, delay or eliminate some or all of its product development activities and/or reduce the scope of or cease its operations.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13, 2018, the Company entered into a common stock purchase agreement with Aspire Capital Fund, LLC (“Aspire Capital”) which provided that, subject to certain terms, conditions and limitations, Aspire Capital was committed to purchase up to an aggregate of $10.0 million of shares of the Company’s common stock over a 30-month period that does not exceed 19.99% of the outstanding common stock on the date of the agreement. The number of shares the Company could issue within the 19.99% limit is 183,591 shares. Shareholder approval was not needed since the number of common stock offered for sale in the common stock purchase agreement did not exceed 19.99% of the outstanding common stock on the date of the agreement. In consideration for entering into the agreement, the Company issued to Aspire Capital 21,429 shares of our common stock as a commitment fee. The agreement was cancelled on October 24, 2019, and as of that date, the Company had sold 162,162 shares of common stock with an aggregate market value of $949,259 at an average price of $5.85 per share pursuant to this common stock purchase agreement.</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24, 2019, the Company entered into a new common stock purchase agreement with Aspire Capital which provides that, subject to certain terms, conditions and limitations, Aspire Capital is committed to purchase up to an aggregate of $10.0 million of shares of the Company’s common stock over a 30-month period that does not exceed 19.99% of the outstanding common stock on the date of the agreement. The number of shares the Company can issue within the 19.99% limit is 1,219,010 shares including shares issued as a commitment fee. Shareholder approval is needed for sale of common stock over the 19.99% limit of the outstanding common stock on the date of the agreement. At the 2019 annual meeting of stockholders, held on December 20, 2019, the Company’s stockholders approved an additional 5,400,000 shares to be issued pursuant to the common stock purchase agreement. In consideration for entering into the agreement, the Company issued to Aspire Capital 194,805 shares of our common stock as a commitment fee. As of January 31, 2020, the Company has sold 1,024,205 shares of common stock with an aggregate market value of $901,206 at an average price of $0.88 per share pursuant to this common stock purchase agreement.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8, 2019, the Company sold 1,542,000 shares of common stock, which includes the sale of 642,000 shares of the Company’s common stock sold by the Company pursuant to the exercise, in full, of the over-allotment option by the underwriters in a public offering. As part of the public offering, the Company also sold prefunded warrants to purchase up to 3,385,680 shares of common stock and common warrants to purchase up to 4,927,680 shares of our common stock. The net proceeds to the Company from the offering were approximately $15.7 million, after deducting underwriter fees and offering expenses payable by the Company.</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7, 2019, the Company entered into an At the Market Offering Agreement (“2019 ATM Facility”) with AGP, under which the Company may issue and sell to or through AGP, acting as agent and/or principal, shares of the Company’s common stock having an aggregate offering price of up to $25 million. Through January 31, 2020, under the 2019 ATM Facility, the Company sold and issued 1,527,145 shares of its common stock with an aggregate market value of $2.9 million at an average price of $1.91 per share and paid AGP a sales commission of approximately $94,724 related to those shares.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sale of additional equity or convertible securities could result in dilution to stockholders. If additional funds are raised through the issuance of debt securities, these securities could have rights senior to those associated with the Company’s common stock and could contain covenants that would restrict its operations. Financing may not be available in amounts or on terms acceptable to the Company, or at all. If the Company is unable to obtain required financing, it may be required to reduce the scope of its operations, including its planned product development and marketing efforts, which could materially and adversely harm its financial condition and operating results. If the Company is unable to secure additional financing, it may be forced to cease operations.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our common stock is delisted from Nasdaq, our ability to raise capital through public offerings of our securities and to finance our operations could be adversely affected. See additional risk factors under “Part II, Item 1A – Risk Factors”. We also believe that delisting would likely result in decreased liquidity and/or increased volatility in our common stock and could harm our business and future prospects. In addition, we believe that, if our common stock is delisted, our stockholders would likely find it more difficult to obtain accurate quotations as to the price of the common stock and it may be more difficult for stockholders to buy or sell our common stock at competitive market prices, or at all.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(d) Reverse Stock-Split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initiated a 1-for-20 reverse stock split effective as of the close of markets on March 11, 2019. The common stock began trading on a reverse stock split-adjusted basis on the Nasdaq on March 12, 2019. All shares and per share data in these consolidated financial statements and notes thereto have been retroactively adjusted to give effect to the reverse stock split.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fair value of warrant liabilities, estimated costs to complete projects; and percentage of completion of customer contracts for purposes of revenue recognition.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Cash, Cash Equivalents, 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The Company invests excess cash in a money market account.</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January 31, 2020</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April 30,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1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14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Money market account</w:t>
            </w:r>
          </w:p>
        </w:tc>
        <w:tc>
          <w:tcPr>
            <w:tcW w:w="1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8,929</w:t>
            </w: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15,800</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Company’s cash is restricted under the terms of various security agreements.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One agreement is between the Company and Barclays Bank. Under this agreement, the cash is on deposit at Barclays Bank and serves as security for letters of credit and bank guarantees that are expected to be issued by Barclays Bank on behalf of OPT LTD, one of the Company’s subsidiaries, under a credit facility established by Barclays Bank for OPT LTD. The credit facility is approximately €0.3 million ($0.4 million) and carries a fee of 1% per annum of the amount of any such obligations issued by Barclays Bank. The credit facility does not have an expiration date but is cancelable at the discretion of the bank. As of January 31, 2020, there were no letters of credit outstanding under this agreement.</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other agreements are between the Company and Santander Bank. Cash is on deposit at Santander Bank and serves as security for a letter of credit issued by Santander Bank for the lease of warehouse/office space in Monroe Township, New Jersey. This agreement cannot be extended beyond January 31, 2025 and is cancelable at the discretion of the bank. Santander Bank also issued two letters of credit to subsidiaries of Enel Green Power (“EGP”) pursuant to the Company’s contracts with EGP. The first letter of credit was issued in the amount of $125,690 that expires in October 2020. The second letter of credit was issued in the amount of $645,467. This second letter of credit will be reduced to $322,734 in March 2020 and to $64,547 in May 2020. The remaining amount expires in April 2021. Restricted cash includes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January 31, 2020</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April 30, 2019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1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Barclay’s Bank Agreement</w:t>
            </w:r>
          </w:p>
        </w:tc>
        <w:tc>
          <w:tcPr>
            <w:tcW w:w="18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Santander Bank</w:t>
            </w:r>
          </w:p>
        </w:tc>
        <w:tc>
          <w:tcPr>
            <w:tcW w:w="17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6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700" w:type="dxa"/>
            <w:vAlign w:val="bottom"/>
            <w:vMerge w:val="restart"/>
          </w:tcPr>
          <w:p>
            <w:pPr>
              <w:jc w:val="right"/>
              <w:ind w:right="19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shown in the Statement of Cash Flows.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31, 2020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April 30,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1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Restricted cash- short term</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707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 long term</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Foreign Exchange Gains and Losses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cash accounts that are denominated in British pounds sterling, Euros and Australian dollars. These amounts are included in cash, cash equivalents and restricted cash on the accompanying Consolidated Balance Sheets. Such positions may result in realized and unrealized foreign exchange gains or losses from exchange rate fluctuations, which are included in “Foreign exchange gain/(loss)” in the accompanying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Property and Equipment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Concentration of Credit Risk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instruments that potentially subject the Company to credit risk consist principally of trade accounts receivable and cash. The Company believes that its credit risk is limited because the Company’s current contracts are with companies with strong financial strength. The Company invests its excess cash in a money market fund and does not believe that it is exposed to any significant risks related to its cash accounts and money market fund. Cash is also maintained at foreign financial institutions. Cash in foreign financial institutions as of January 31, 2020 was $0.3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89"/>
              </w:rPr>
              <w:t>Three months ended</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88"/>
              </w:rPr>
              <w:t>Nine months ended</w:t>
            </w:r>
          </w:p>
        </w:tc>
      </w:tr>
      <w:tr>
        <w:trPr>
          <w:trHeight w:val="241"/>
        </w:trPr>
        <w:tc>
          <w:tcPr>
            <w:tcW w:w="4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8"/>
                <w:szCs w:val="18"/>
                <w:b w:val="1"/>
                <w:bCs w:val="1"/>
                <w:color w:val="auto"/>
                <w:w w:val="90"/>
              </w:rPr>
              <w:t>January 31,</w:t>
            </w:r>
          </w:p>
        </w:tc>
        <w:tc>
          <w:tcPr>
            <w:tcW w:w="3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tcBorders>
              <w:bottom w:val="single" w:sz="8" w:color="auto"/>
            </w:tcBorders>
            <w:gridSpan w:val="3"/>
          </w:tcPr>
          <w:p>
            <w:pPr>
              <w:jc w:val="center"/>
              <w:ind w:left="870"/>
              <w:spacing w:after="0"/>
              <w:rPr>
                <w:sz w:val="20"/>
                <w:szCs w:val="20"/>
                <w:color w:val="auto"/>
              </w:rPr>
            </w:pPr>
            <w:r>
              <w:rPr>
                <w:rFonts w:ascii="Arial" w:cs="Arial" w:eastAsia="Arial" w:hAnsi="Arial"/>
                <w:sz w:val="18"/>
                <w:szCs w:val="18"/>
                <w:b w:val="1"/>
                <w:bCs w:val="1"/>
                <w:color w:val="auto"/>
                <w:w w:val="92"/>
              </w:rPr>
              <w:t>January 31,</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6"/>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17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4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Eni S.p.A.</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53%</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Premier Oil UK Limited</w:t>
            </w:r>
          </w:p>
        </w:tc>
        <w:tc>
          <w:tcPr>
            <w:tcW w:w="940" w:type="dxa"/>
            <w:vAlign w:val="bottom"/>
          </w:tcPr>
          <w:p>
            <w:pPr>
              <w:spacing w:after="0"/>
              <w:rPr>
                <w:sz w:val="18"/>
                <w:szCs w:val="18"/>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940" w:type="dxa"/>
            <w:vAlign w:val="bottom"/>
          </w:tcPr>
          <w:p>
            <w:pPr>
              <w:spacing w:after="0"/>
              <w:rPr>
                <w:sz w:val="18"/>
                <w:szCs w:val="18"/>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47%</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EGP</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93%</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68%</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4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20"/>
                <w:szCs w:val="20"/>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0%</w:t>
            </w:r>
          </w:p>
        </w:tc>
        <w:tc>
          <w:tcPr>
            <w:tcW w:w="940" w:type="dxa"/>
            <w:vAlign w:val="bottom"/>
          </w:tcPr>
          <w:p>
            <w:pPr>
              <w:spacing w:after="0"/>
              <w:rPr>
                <w:sz w:val="20"/>
                <w:szCs w:val="20"/>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0%</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44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loss of, or a significant reduction in revenues from a current customer could significantly impact the Company’s financial position or results of operations. The Company does not require its customers to maintain collateral.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Warrant Accounting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warrants issued in connection with its public offerings in accordance with the guidance on “Accounting for Certain Financial Instruments with Characteristics of Both Liabilities and Equity” in Accounting Standards Codification (“ASC”) Topic 480 which provides that warrants meeting the classification of a liability award are recorded as a liability at its fair value. The warrant liabilities are subject to re-measurement at each balance sheet date using the Black-Scholes option pricing model. The Company recognizes any change in fair value in its Consolidated Statements of Operations within “Gain due to the change in fair value of warrant liabilities.” The Company will continue to adjust the carrying value of the warrants for changes in the estimated fair value until such time as these instruments are exercised or expire. At that time, the liabilities will be reclassified to “Additional paid-in capital”, a component of “Stockholders’ Equity” on the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Net Loss per Common Share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Basic and diluted net loss per share for all periods presented is computed by dividing net loss by the weighted average number of shares of common stock and common stock equivalents outstanding during the period. The pre-funded warrants were determined to be common stock equivalents and have been included in the weighted average number of shares outstanding for calculation of the basic earnings per share number. Due to the Company’s net losses, potentially dilutive securities, consisting of options to purchase shares of common stock, warrants on common stock and non-vested restricted stock issued to employees and non-employee directors, were excluded from the diluted loss per share calculation due to their anti-dilutive effect.</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computing diluted net loss per share on the Consolidated Statement of Operations, warrants on common stock, options to purchase shares of common stock and non-vested restricted stock issued to employees and non-employee directors, totaling 5,565,462 and 1,786,494 for each of the three and nine months ended January 31, 2020 and 2019, respectively, were excluded from each of the computations as the effect would be anti-dilutive due to the Company’s losses.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Share-Based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The following table summarizes share-based compensation related to the Company’s share-based plans by expense category for the three and nine months ended January 31, 2020 and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62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00" w:type="dxa"/>
            <w:vAlign w:val="bottom"/>
            <w:gridSpan w:val="6"/>
          </w:tcPr>
          <w:p>
            <w:pPr>
              <w:ind w:left="34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7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January 31,</w:t>
            </w:r>
          </w:p>
        </w:tc>
        <w:tc>
          <w:tcPr>
            <w:tcW w:w="4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b w:val="1"/>
                <w:bCs w:val="1"/>
                <w:color w:val="auto"/>
              </w:rPr>
              <w:t>January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740" w:type="dxa"/>
            <w:vAlign w:val="bottom"/>
          </w:tcPr>
          <w:p>
            <w:pPr>
              <w:spacing w:after="0"/>
              <w:rPr>
                <w:sz w:val="20"/>
                <w:szCs w:val="20"/>
                <w:color w:val="auto"/>
              </w:rPr>
            </w:pP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30"/>
        </w:trPr>
        <w:tc>
          <w:tcPr>
            <w:tcW w:w="4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gridSpan w:val="3"/>
          </w:tcPr>
          <w:p>
            <w:pPr>
              <w:jc w:val="right"/>
              <w:ind w:right="27"/>
              <w:spacing w:after="0"/>
              <w:rPr>
                <w:sz w:val="20"/>
                <w:szCs w:val="20"/>
                <w:color w:val="auto"/>
              </w:rPr>
            </w:pPr>
            <w:r>
              <w:rPr>
                <w:rFonts w:ascii="Arial" w:cs="Arial" w:eastAsia="Arial" w:hAnsi="Arial"/>
                <w:sz w:val="18"/>
                <w:szCs w:val="18"/>
                <w:color w:val="auto"/>
                <w:w w:val="92"/>
              </w:rPr>
              <w:t>(in thousands)</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960" w:type="dxa"/>
            <w:vAlign w:val="bottom"/>
            <w:shd w:val="clear" w:color="auto" w:fill="CCEEFF"/>
          </w:tcPr>
          <w:p>
            <w:pPr>
              <w:jc w:val="right"/>
              <w:ind w:right="798"/>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0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54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36"/>
        </w:trPr>
        <w:tc>
          <w:tcPr>
            <w:tcW w:w="47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Pr>
          <w:p>
            <w:pPr>
              <w:spacing w:after="0"/>
              <w:rPr>
                <w:sz w:val="20"/>
                <w:szCs w:val="20"/>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79</w:t>
            </w:r>
          </w:p>
        </w:tc>
        <w:tc>
          <w:tcPr>
            <w:tcW w:w="4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r>
      <w:tr>
        <w:trPr>
          <w:trHeight w:val="230"/>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960" w:type="dxa"/>
            <w:vAlign w:val="bottom"/>
            <w:tcBorders>
              <w:top w:val="single" w:sz="8" w:color="auto"/>
              <w:bottom w:val="single" w:sz="8" w:color="auto"/>
            </w:tcBorders>
            <w:shd w:val="clear" w:color="auto" w:fill="CCEEFF"/>
          </w:tcPr>
          <w:p>
            <w:pPr>
              <w:jc w:val="right"/>
              <w:ind w:right="79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Deferred Rent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March 31, 2017, the Company signed a 7-year lease for approximately 56,000 square feet in Monroe Township, New Jersey that is being used as warehouse/production space, the Company’s principal offices and corporate headquarters. The lease was classified as an operating lease. Rent payments relating to the Monroe premises are subject to annual increases. The minimum monthly payments will vary over the 7-year term of the lease. The Landlord has provided the Company a tenant improvement allowance in an amount up to, but not exceeding, $137,563 to be applied to the cost of tenant improvement work. The Company recorded lease incentive liability to deferred rent. With the Company’s adoption of Accounting Standards Update (“ASU”) No. 2016-02 on May 1, 2019, the balances in lease incentive liability and deferred rent have been included in the value of the right of use asset.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ind w:left="280" w:hanging="272"/>
        <w:spacing w:after="0"/>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nature of the Company’s contracts may give rise to several types of variable consideration,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the nine-month period ended January 31, 2020 and 2019 all of the Company’s contracts were classified as firm fixed price.</w:t>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January 31, 2020, the Company’s total remaining performance obligations, also referred to as backlog, totaled $1.4 million. The Company expects to recognize approximately 99%, or $1.3 million, of the remaining performance obligations as revenue over the next twelve months.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PB3 PowerBuoy® Leasing</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enters into lease arrangements with certain customers for their PB3 PowerBuoy® (“PB3”). As of January 31, 2020, the Company has two lease arrangements with up to 4 months remaining in their terms. Revenue related to multiple-element arrangements is allocated to lease and non-lease elements based on their relative standalone selling prices or expected cost plus a margin approach. Lease elements generally include a PB3 and components, while non-lease elements generally include engineering, monitoring and support services. In the lease arrangement, the customer is provided an option to extend the lease term or purchase the leased PB3 at some point during and/or at the end of the lease term.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jc w:val="both"/>
        <w:spacing w:after="0" w:line="311" w:lineRule="auto"/>
        <w:rPr>
          <w:sz w:val="20"/>
          <w:szCs w:val="20"/>
          <w:color w:val="auto"/>
        </w:rPr>
      </w:pPr>
      <w:r>
        <w:rPr>
          <w:rFonts w:ascii="Arial" w:cs="Arial" w:eastAsia="Arial" w:hAnsi="Arial"/>
          <w:sz w:val="16"/>
          <w:szCs w:val="16"/>
          <w:color w:val="auto"/>
        </w:rPr>
        <w:t xml:space="preserve">The Company classifies leases as either operating or financing in accordance with the authoritative accounting guidance contained within ASC Topic 842, </w:t>
      </w:r>
      <w:r>
        <w:rPr>
          <w:rFonts w:ascii="Arial" w:cs="Arial" w:eastAsia="Arial" w:hAnsi="Arial"/>
          <w:sz w:val="16"/>
          <w:szCs w:val="16"/>
          <w:i w:val="1"/>
          <w:iCs w:val="1"/>
          <w:color w:val="auto"/>
        </w:rPr>
        <w:t xml:space="preserve">“Leases”. </w:t>
      </w:r>
      <w:r>
        <w:rPr>
          <w:rFonts w:ascii="Arial" w:cs="Arial" w:eastAsia="Arial" w:hAnsi="Arial"/>
          <w:sz w:val="16"/>
          <w:szCs w:val="16"/>
          <w:color w:val="auto"/>
        </w:rPr>
        <w:t>At inception of the contract, the Company evaluates the lease against the lease classification criteria within ASC Topic 842. If the direct</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or sales-type classification criteria are met, then the lease is accounted for as a finance lease. All others are treated as an operating lease.</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recognizes revenue from operating lease arrangements generally on a straight-line basis over the lease term and is presented in Revenues in the Consolidated Statement of Operations. The lease income for the three and nine months ended January 31, 2020 was immaterial.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Recently Issued Accounting Standards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February 2016, the Financial Accounting Standards Board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amends the existing guidance on accounting for leases. Topic 842 was further clarified and amended within ASU 2017-13, ASU 2018-01, ASU 2018-10, ASU 2018-11 and ASU 2018-20. The new standard establishes a right-of-use (ROU) model that requires a lessee to record a ROU asset and a lease liability on the balance sheet for all leases with terms longer than twelve months or leases that contain a purchase option that is reasonably certain to be exercised. Leases will be classified as either finance or operating, with classification affecting the pattern of expense recognition in the income statement. ASU 2016-02 was effective for annual periods beginning after December 15, 2018, including interim periods within those annual periods, with early adoption permitted. The guidance permits the Company to utilize the package of practical expedients that, upon adoption of Topic 842, allows entities to (1) not reassess whether any expired or existing contracts are or contain leases, (2) retain the classification of leases (e.g., operating or finance lease) existing as of the date of adoption and (3) not reassess initial direct costs for any existing leases. Additionally, the Company elected to exclude short-term leases having initial terms of 12 months or less and recognizes rent expense on a straight-line basis over the lease term. The Company adopted Topic 842 on May 1, 2019 using the modified retrospective approach. Under this approach, comparative periods presented in the financial statements in which the new lease standard is adopted will continue to be presented in accordance with prior GAAP. The adoption of this standard had an impact on the Company’s Consolidated Balance Sheets, recognizing a ROU and a lease liability of approximately $1.4 million and $1.5 million, respectively, and eliminating deferred rent of $39,000 and an unamortized lease incentive receivable of $108,000. Refer to Note 6 to the Consolidated Financial Statements for disclosure requirements related to the adoption of this standard.</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June 2016, the FASB issued ASU No.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 </w:t>
      </w:r>
      <w:r>
        <w:rPr>
          <w:rFonts w:ascii="Arial" w:cs="Arial" w:eastAsia="Arial" w:hAnsi="Arial"/>
          <w:sz w:val="17"/>
          <w:szCs w:val="17"/>
          <w:i w:val="1"/>
          <w:iCs w:val="1"/>
          <w:color w:val="auto"/>
        </w:rPr>
        <w:t>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The amendment in this update replaces the incurred loss impairment methodology in current GAAP with a methodology that reflects</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credit losses on instruments within its scope, including trade receivables. This update is intended to provide financial statement users with more decision-useful information about the expected credit losses. This ASU is effective for annual periods and interim periods beginning after December 15, 2019. The Company is currently evaluating the impact the adoption of ASU 2016-13 will have on its consolidated financial statements.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xml:space="preserve"> The ASU modifies, removes, and adds several disclosure requirements on fair value measurements in Topic 820, Fair Value Measurement. ASU 2018-13 is effective for all entities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upon issuance of ASU 2018-13. An entity is permitted to early adopt any removed or modified disclosures upon issuance of ASU 2018-13 and delay adoption of the additional disclosures until their effective date. The Company is evaluating the effect ASU 2018-13 will have on its Consolidated Financial Statements and disclosures and has not yet determined the effect of the standard on its ongoing financial reporting at this time.</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2018, the FASB issued ASU No. 2018-15,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 </w:t>
      </w:r>
      <w:r>
        <w:rPr>
          <w:rFonts w:ascii="Arial" w:cs="Arial" w:eastAsia="Arial" w:hAnsi="Arial"/>
          <w:sz w:val="18"/>
          <w:szCs w:val="18"/>
          <w:i w:val="1"/>
          <w:iCs w:val="1"/>
          <w:color w:val="auto"/>
        </w:rPr>
        <w:t>Internal-Use Software (Subtopic 350-40).”</w:t>
      </w:r>
      <w:r>
        <w:rPr>
          <w:rFonts w:ascii="Arial" w:cs="Arial" w:eastAsia="Arial" w:hAnsi="Arial"/>
          <w:sz w:val="18"/>
          <w:szCs w:val="18"/>
          <w:color w:val="auto"/>
        </w:rPr>
        <w:t xml:space="preserve"> The ASU provides for the recognition of an intangible asset for the costs of internal-use software licenses included in a cloud computing arrangement. Costs of arrangements that do not include a software license should be accounted for as a service contract and expensed as incurred. This ASU is effective for fiscal years beginning after December 15, 2019, with early adoption permitted. The ASU permits two methods of adoption: prospectively to all implementation costs incurred after the date of adoption, or retrospectively to each prior reporting period presented. The Company is evaluating the effect ASU 2018-15 will have on its Consolidated Financial Statements and disclosures and has not yet determined the effect of the standard on its ongoing financial reporting at this time.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(3) Account Receivable, Contract Assets, and Contract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further details on the balance sheet accounts of accounts receivable, contract assets, and contract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grants credit to its customers, generally without collateral, under normal payment terms (typically 30 to 60 days after invoicing). Generally, invoicing occurs after the related services are performed or control of good has transferred to the customer. Accounts receivable represents an unconditional right to consideration arising from the Company’s performance under contracts with customers. The carrying value of such receivables represent their estimated realizable value. Accounts receivable consisted of the following at January 31, 2020 and April 30, 2019.</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7"/>
              </w:rPr>
              <w:t>January 31, 2020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1"/>
              </w:rPr>
              <w:t>April 30,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1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Amount invoiced to customer</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1,217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Collections</w:t>
            </w:r>
          </w:p>
        </w:tc>
        <w:tc>
          <w:tcPr>
            <w:tcW w:w="1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(1,210)</w:t>
            </w: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3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Contract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assets include unbilled amounts typically resulting from arrangements whereby the right to payment is conditioned on completing additional tasks or services for a performance obligation. The increase in contract assets is primarily a result of services performed but unbilled during the nine months ended January 31, 2020.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liabilities consist of amounts invoiced to customers in excess of revenue recognized. The increase in contract liabilities is primarily a result of an advance payment made by EGP during the nine months ended January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 of the following at January 31, 2020 and April 30,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January 31, 2020</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April 30, 2019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1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vMerge w:val="restart"/>
          </w:tcPr>
          <w:p>
            <w:pPr>
              <w:spacing w:after="0"/>
              <w:rPr>
                <w:sz w:val="17"/>
                <w:szCs w:val="17"/>
                <w:color w:val="auto"/>
              </w:rPr>
            </w:pPr>
          </w:p>
        </w:tc>
        <w:tc>
          <w:tcPr>
            <w:tcW w:w="3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9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Other receivables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273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Prepaid offering costs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other</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0" w:type="dxa"/>
            <w:vAlign w:val="bottom"/>
            <w:vMerge w:val="restart"/>
          </w:tcPr>
          <w:p>
            <w:pPr>
              <w:jc w:val="right"/>
              <w:ind w:right="19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net as of January 31, 2020 and April 30, 2019 consisted of the following:</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January 31, 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1"/>
              </w:rPr>
              <w:t>April 30,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1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Computer equipment &amp; software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&amp; equipment</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Equipment under capitalized lease</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process</w:t>
            </w:r>
          </w:p>
        </w:tc>
        <w:tc>
          <w:tcPr>
            <w:tcW w:w="1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was approximately $40,000 and $45,000 for the three-month period ended January 31, 2020 and 2019, and approximately $117,000 and $135,000 for the nine-month period ended January 31,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Information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As of January 31, 2020, the Company has two leases which have been classified as operating leases per accounting guidance contained within ASC Topic 842,” </w:t>
      </w:r>
      <w:r>
        <w:rPr>
          <w:rFonts w:ascii="Arial" w:cs="Arial" w:eastAsia="Arial" w:hAnsi="Arial"/>
          <w:sz w:val="16"/>
          <w:szCs w:val="16"/>
          <w:i w:val="1"/>
          <w:iCs w:val="1"/>
          <w:color w:val="auto"/>
        </w:rPr>
        <w:t>Leases”</w:t>
      </w:r>
      <w:r>
        <w:rPr>
          <w:rFonts w:ascii="Arial" w:cs="Arial" w:eastAsia="Arial" w:hAnsi="Arial"/>
          <w:sz w:val="16"/>
          <w:szCs w:val="16"/>
          <w:color w:val="auto"/>
        </w:rPr>
        <w:t>. The Company’s remaining operating lease term on these leases is less than a year. The maturity of lease payments remaining on this lease is immaterial. The accounting of the operating lease income according to ASC Topic 842, “Leases” is similar to the accounting in prior years.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Information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one lease for its facility located in Monroe Township, New Jersey that is used as warehouse/production space and the Company’s principal offices and corporate headquarters. The initial lease term is for 7 years with an option to extend the lease for another 5 years. The lease is classified as an operating lease. The operating lease is included in right-of-use assets, lease liabilities- current and lease liabilities- long-term on the Company’s Consolidated Balance Sheets. The Company has elected the package of practical expedients which applies to leases that commenced before the adoption date. By electing the package of practical expedients, the Company did not need to reassess whether any existing contracts are or contain leases, the lease classification for any existing leases and initial direct costs for any existing leases.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Right-of-use asset and operating lease liabilities are recognized based on the present value of future minimum lease payments over the lease term at commencement date. When the implicit rate of the lease is not provided or cannot be determined, the Company used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Lease expense for minimum lease payments is recognized on a straight- line basis over the lease term and consists of interest on the lease liability and the amortization of the right of use asset. Variable lease expenses, if any, are recorded as incurred. The operating lease straight-line expense in the Consolidated Statement of Operations for the three and nine months ended January 31, 2020 was $79,000 and $238,000. The operating cash flows from operating leases cash payments for the three and nine months ended January 31, 2020 was $82,000 and $240,000.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Information related to the Company’s right-of use assets and lease liabilities as of January 31, 2020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January 31, 2020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3"/>
          </w:tcPr>
          <w:p>
            <w:pPr>
              <w:jc w:val="right"/>
              <w:ind w:right="48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68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Operating lease:</w:t>
            </w: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Operating right-of-use asset, net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4"/>
          </w:tcPr>
          <w:p>
            <w:pPr>
              <w:jc w:val="right"/>
              <w:ind w:right="16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3"/>
          </w:tcPr>
          <w:p>
            <w:pPr>
              <w:ind w:left="180"/>
              <w:spacing w:after="0"/>
              <w:rPr>
                <w:sz w:val="20"/>
                <w:szCs w:val="20"/>
                <w:color w:val="auto"/>
              </w:rPr>
            </w:pPr>
            <w:r>
              <w:rPr>
                <w:rFonts w:ascii="Arial" w:cs="Arial" w:eastAsia="Arial" w:hAnsi="Arial"/>
                <w:sz w:val="18"/>
                <w:szCs w:val="18"/>
                <w:color w:val="auto"/>
              </w:rPr>
              <w:t>Right-of-use liability- current</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4"/>
          </w:tcPr>
          <w:p>
            <w:pPr>
              <w:jc w:val="right"/>
              <w:ind w:right="1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6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Right-of-use liability- long term</w:t>
            </w:r>
          </w:p>
        </w:tc>
        <w:tc>
          <w:tcPr>
            <w:tcW w:w="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6820" w:type="dxa"/>
            <w:vAlign w:val="bottom"/>
            <w:tcBorders>
              <w:top w:val="single" w:sz="8" w:color="CCEEFF"/>
              <w:bottom w:val="single" w:sz="8" w:color="CCEEFF"/>
            </w:tcBorders>
            <w:gridSpan w:val="3"/>
          </w:tcPr>
          <w:p>
            <w:pPr>
              <w:spacing w:after="0"/>
              <w:rPr>
                <w:sz w:val="20"/>
                <w:szCs w:val="20"/>
                <w:color w:val="auto"/>
              </w:rPr>
            </w:pPr>
            <w:r>
              <w:rPr>
                <w:rFonts w:ascii="Arial" w:cs="Arial" w:eastAsia="Arial" w:hAnsi="Arial"/>
                <w:sz w:val="18"/>
                <w:szCs w:val="18"/>
                <w:color w:val="auto"/>
              </w:rPr>
              <w:t>Total lease liability</w:t>
            </w:r>
          </w:p>
        </w:tc>
        <w:tc>
          <w:tcPr>
            <w:tcW w:w="98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1,361</w:t>
            </w:r>
          </w:p>
        </w:tc>
        <w:tc>
          <w:tcPr>
            <w:tcW w:w="16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Weighted average remaining lease term- operating leases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4"/>
          </w:tcPr>
          <w:p>
            <w:pPr>
              <w:jc w:val="right"/>
              <w:ind w:right="160"/>
              <w:spacing w:after="0"/>
              <w:rPr>
                <w:sz w:val="20"/>
                <w:szCs w:val="20"/>
                <w:color w:val="auto"/>
              </w:rPr>
            </w:pPr>
            <w:r>
              <w:rPr>
                <w:rFonts w:ascii="Arial" w:cs="Arial" w:eastAsia="Arial" w:hAnsi="Arial"/>
                <w:sz w:val="18"/>
                <w:szCs w:val="18"/>
                <w:color w:val="auto"/>
              </w:rPr>
              <w:t>4.74 years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discount rate- operating leases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432"/>
        </w:trPr>
        <w:tc>
          <w:tcPr>
            <w:tcW w:w="7160" w:type="dxa"/>
            <w:vAlign w:val="bottom"/>
            <w:gridSpan w:val="4"/>
          </w:tcPr>
          <w:p>
            <w:pPr>
              <w:spacing w:after="0"/>
              <w:rPr>
                <w:sz w:val="20"/>
                <w:szCs w:val="20"/>
                <w:color w:val="auto"/>
              </w:rPr>
            </w:pPr>
            <w:r>
              <w:rPr>
                <w:rFonts w:ascii="Arial" w:cs="Arial" w:eastAsia="Arial" w:hAnsi="Arial"/>
                <w:sz w:val="18"/>
                <w:szCs w:val="18"/>
                <w:color w:val="auto"/>
              </w:rPr>
              <w:t>Total remaining lease payments under the Company’s operating leases are as follows: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w w:val="95"/>
              </w:rPr>
              <w:t>January 31, 2020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(in thousands)</w:t>
            </w:r>
          </w:p>
        </w:tc>
        <w:tc>
          <w:tcPr>
            <w:tcW w:w="3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80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(Feb- April)</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2021</w:t>
            </w:r>
          </w:p>
        </w:tc>
        <w:tc>
          <w:tcPr>
            <w:tcW w:w="5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2022</w:t>
            </w:r>
          </w:p>
        </w:tc>
        <w:tc>
          <w:tcPr>
            <w:tcW w:w="5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2023</w:t>
            </w:r>
          </w:p>
        </w:tc>
        <w:tc>
          <w:tcPr>
            <w:tcW w:w="5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2024</w:t>
            </w:r>
          </w:p>
        </w:tc>
        <w:tc>
          <w:tcPr>
            <w:tcW w:w="5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9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80" w:type="dxa"/>
            <w:vAlign w:val="bottom"/>
            <w:tcBorders>
              <w:bottom w:val="single" w:sz="8" w:color="CCEEFF"/>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9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840 Disclosure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elected the modified retrospective transition method and is required to present previously disclosed information under the prior accounting standard for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Company’s operating lease as of April 30, 2019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30, 2019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60" w:type="dxa"/>
            <w:vAlign w:val="bottom"/>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70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jc w:val="right"/>
              <w:ind w:right="233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140" w:type="dxa"/>
            <w:vAlign w:val="bottom"/>
            <w:tcBorders>
              <w:bottom w:val="single" w:sz="8" w:color="auto"/>
            </w:tcBorders>
            <w:gridSpan w:val="2"/>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(7)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at January 31, 2020 and April 30, 2019:</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31, 2020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April 30,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1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Project costs</w:t>
            </w:r>
          </w:p>
        </w:tc>
        <w:tc>
          <w:tcPr>
            <w:tcW w:w="1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Contract loss reserve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Employee incentive payments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Accrued salary and benefits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470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Accrued taxes payable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Classified Warrants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 2016, the Company entered into a securities purchase agreement, which was amended on June 7, 2016 (as amended, the “June Purchase Agreement”) with certain institutional purchasers (the “June Purchasers”). Pursuant to the terms of the June Purchase Agreement, the Company sold an aggregate of 20,850 shares of Common Stock together with warrants to purchase up to an aggregate of 7,298 shares of Common Stock. Each share of Common Stock was sold together with a warrant to purchase 0.35 of a share of Common Stock at a combined purchase price of $92.00. The warrants have an exercise price of $121.60 per share, became exercisable on December 3, 2016 (“Initial Exercise Date”), and will expire five years following the Initial Exercise Date. As of January 31, 2020, none of the warrants have been exercised.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22, 2016, the Company entered into a Second Amendment to the Purchase Agreement (the “Second Amended Purchase Agreement”) with certain institutional purchasers (the “July Purchasers”). Pursuant to the terms of the Second Amended Purchase Agreement, the Company sold an aggregate of 29,750 shares of Common Stock together with warrants to purchase up to an aggregate of 8,925 shares of Common Stock. Each share of Common Stock was sold together with a warrant to purchase 0.30 of a share of Common Stock at a combined purchase price of $135.00. The Warrants were exercisable immediately at an exercise price of $187.20 per share. The Warrants will expire on the fifth (5th) anniversary of the initial date of issuance. As of January 31, 2020, none of the warrants have been exercised.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Classified Warrants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8, 2019, the Company issued and sold 1,542,000 shares of common stock and pre-funded warrants to purchase up to 3,385,680 shares of common stock and common warrants to purchase up to 4,927,680 shares of our common stock in an underwritten public offering. The public offering price for the pre-funded warrants was equal to the public offering price of the common stock, less the $0.01 per share exercise price of each warrant. The pre-funded warrants have no expiration date. As of January 31, 2020, 3,246,400 of the pre-funded warrants have been exercised. The common stock warrants have an exercise price of $3.85 per share and expire five years from the issuance date. As of January 31, 2020, none of the common stock warrants have been exercised.</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warrants issued in connection with its June and July 2016 public offerings in accordance with the guidance on “</w:t>
      </w:r>
      <w:r>
        <w:rPr>
          <w:rFonts w:ascii="Arial" w:cs="Arial" w:eastAsia="Arial" w:hAnsi="Arial"/>
          <w:sz w:val="17"/>
          <w:szCs w:val="17"/>
          <w:i w:val="1"/>
          <w:iCs w:val="1"/>
          <w:color w:val="auto"/>
        </w:rPr>
        <w:t>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Certain Financial Instruments with Characteristics of Both Liabilities and Equity</w:t>
      </w:r>
      <w:r>
        <w:rPr>
          <w:rFonts w:ascii="Arial" w:cs="Arial" w:eastAsia="Arial" w:hAnsi="Arial"/>
          <w:sz w:val="17"/>
          <w:szCs w:val="17"/>
          <w:color w:val="auto"/>
        </w:rPr>
        <w:t>” in Topic 480 which provides that the Company classify the warrant</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as a liability at its fair value. The warrant liabilities are subject to re-measurement at each balance sheet date using the Black-Scholes option pricing model. The June and July 2016 warrants contain a feature whereby they could require the transfer of assets and therefore are classified as a liability award in accordance with the guidance in Topic 480. The warrants have a value of zero at January 31, 2020 and $6,000 at April 30, 2019 and are reflected within “Warrant liabilities” in the Consolidated Balance Sheets. The pre-funded and common warrants issued in the Company’s April 8, 2019 public offering did not meet the criteria to be classified as a liability award and therefore were treated as an equity award and recorded as a component of stockholders’ equity in the Consolidated Balance Sheets.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An unrealized gain of approximately zero and $47,000 for the three months ended January 31, 2020 and 2019, respectively, and $6,000 and $183,000 for the nine months ended January 31, 2020 and 2019, respectively, were included within “Gain due to change in fair value of warrant liabilities” in the Consolidated Statements of Operations. The Company determined the fair value using the Black-Scholes option pricing model with the following assumptions: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2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January 31, 2020</w:t>
            </w:r>
          </w:p>
        </w:tc>
        <w:tc>
          <w:tcPr>
            <w:tcW w:w="2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January 31,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2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Risk-free rate</w:t>
            </w: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1.3 - 1.4</w:t>
            </w:r>
          </w:p>
        </w:tc>
        <w:tc>
          <w:tcPr>
            <w:tcW w:w="3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2.5 - 2.8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Expected volatility</w:t>
            </w: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109.8% - 130.1%</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90.8% - 142.7%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Preferred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authorized 5,000,000 shares of undesignated preferred stock with a par value of $0.001 per share. As of January 31, 2020, and 2019, no shares of preferred stock had been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100,000,000 shares authorized with a par value of $0.001 per share. As of January 31, 2020, there were 8,699,319 shares issued.</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13, 2018, the Company entered into a common stock purchase agreement with Aspire Capital which provided that, subject to certain terms, conditions and limitations, Aspire Capital was committed to purchase up to an aggregate of $10.0 million of shares of the Company’s common stock over a 30-month period that does not exceed 19.99% of the outstanding common stock on the date of the agreement. The number of shares the Company could issue within the 19.99% is 183,591 shares. Shareholder approval was not needed since the number of common stock offered for sale in the common stock purchase agreement did not exceed 19.99% of the outstanding common stock on the date of the agreement. In consideration for entering into the agreement, the Company issued to Aspire Capital 21,429 shares of common stock as a commitment fee. The agreement was cancelled on October 24, 2019, and as of that date, the Company had sold 162,162 shares of common stock with an aggregate market value of $949,259 at an average price of $5.85 per share pursuant to this common stock purchase agreement.</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24, 2019, the Company entered into a new common stock purchase agreement with Aspire Capital which provides that, subject to certain terms, conditions and limitations, Aspire Capital is committed to purchase up to an aggregate of $10.0 million of shares of the Company’s common stock over a 30-month period that does not exceed 19.99% of the outstanding common stock on the date of the agreement. The number of shares the Company can issue within the 19.99% limit is 1,219,010 shares. Shareholder approval is needed for sale of common stock over the 19.99% limit of the outstanding common stock on the date of the agreement. At the 2019 annual meeting of stockholders, held on December 20, 2019, the Company’s stockholders approved an additional 5,400,000 shares to be issued pursuant to the common stock purchase agreement. In consideration for entering into the agreement, the Company issued to Aspire Capital 194,805 shares of common stock as a commitment fee. As of January 31, 2020, the Company has sold 1,024,205 shares of common stock with an aggregate market value of $901,206 at an average price of $0.88 per share pursuant to this common stock purchase agreement.</w:t>
      </w:r>
    </w:p>
    <w:p>
      <w:pPr>
        <w:spacing w:after="0" w:line="1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7, 2019, the Company entered into the 2019 ATM Facility with AGP, under which the Company may issue and sell to or through A.G.P./Alliance Global Partners, acting as agent and/or principal, shares of the Company’s common stock having an aggregate offering price of up to $25 million. As of January 31, 2020, under the 2019 ATM Facility the Company had issued and sold 1,527,145 shares of its common stock with an aggregate market value of $2.9 million at an average price of $1.91 per share and paid AGP a sales commission of approximately $94,724 related to those shares.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8, 2019, the Company sold 1,542,000 shares of common stock, which includes the sale of 642,000 shares of the Company’s common stock sold by the Company pursuant to the exercise, in full, of the over-allotment option by the underwriters in a public offering, prefunded warrants to purchase up to 3,385,680 shares of common stock and common warrants to purchase up to 4,927,680 shares of common stock in an underwritten public offering. The net proceeds to the Company from the offering were approximately $15.7 million, after deducting underwriter’s fees and offering expenses payable by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(11) Treasury Shares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January 31, 2020 and 2019, 481 and 1,770 shares of common stock, respectively, were purchased by the Company from employees to pay taxes related to the vesting of restricted stock and are reflected in Treasury Stock as of January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2015, upon approval by the Company’s stockholders, the Company’s 2015 Omnibus Incentive Plan (the “2015 Plan”) became effective. A total of 12,036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On October 21, 2016 upon approval by the Company’s stockholders the Company increased the number of shares authorized for issuance to 32,036. On December 7, 2018, upon approval by the Company’s stockholders, the Company increased the number of shares authorized for issuance to 132,036. On December 20, 2019, upon approval by the Company’s stockholders, the Company increased the number of shares authorized for issuance to 732,036.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As of January 31, 2020, the Company has 167,784 shares available for future issuance under the 2015 Plan.</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18, 2018, the Company’s Board of Directors adopted the Company’s Employment Inducement Incentive Award Plan (the “2018 Inducement Plan”) pursuant to which the Company reserved 25,000 shares of common stock for issuance under the Inducement Plan. In accordance with Rule 5635(c)</w:t>
      </w:r>
    </w:p>
    <w:p>
      <w:pPr>
        <w:jc w:val="both"/>
        <w:ind w:firstLine="8"/>
        <w:spacing w:after="0" w:line="253"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Rule 5635(c)(3) of the Nasdaq Listing Rules, awards under the Inducement Plan may only be made to individuals not previously employees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As of January 31, 2020, there were 11,487 shares available for grant under the 2018 Inducement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estimates the fair value of each stock option award granted with service-based vesting requirements,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110,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Expected volatility was based on the Company’s historical volatility over the expected life of the stock option granted. There were 411,666 and 49,750 shares granted in the three and nine months ended January 31, 2020 and 2019.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66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89"/>
              </w:rPr>
              <w:t>Three months ended</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4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88"/>
              </w:rPr>
              <w:t>Nine months ended</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3300" w:type="dxa"/>
            <w:vAlign w:val="bottom"/>
          </w:tcPr>
          <w:p>
            <w:pPr>
              <w:spacing w:after="0"/>
              <w:rPr>
                <w:sz w:val="20"/>
                <w:szCs w:val="20"/>
                <w:color w:val="auto"/>
              </w:rPr>
            </w:pPr>
          </w:p>
        </w:tc>
        <w:tc>
          <w:tcPr>
            <w:tcW w:w="266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b w:val="1"/>
                <w:bCs w:val="1"/>
                <w:color w:val="auto"/>
                <w:w w:val="90"/>
              </w:rPr>
              <w:t>January 31,</w:t>
            </w:r>
          </w:p>
        </w:tc>
        <w:tc>
          <w:tcPr>
            <w:tcW w:w="5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64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b w:val="1"/>
                <w:bCs w:val="1"/>
                <w:color w:val="auto"/>
                <w:w w:val="90"/>
              </w:rPr>
              <w:t>January 31,</w:t>
            </w:r>
          </w:p>
        </w:tc>
        <w:tc>
          <w:tcPr>
            <w:tcW w:w="10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3300" w:type="dxa"/>
            <w:vAlign w:val="bottom"/>
          </w:tcPr>
          <w:p>
            <w:pPr>
              <w:spacing w:after="0"/>
              <w:rPr>
                <w:sz w:val="20"/>
                <w:szCs w:val="20"/>
                <w:color w:val="auto"/>
              </w:rPr>
            </w:pPr>
          </w:p>
        </w:tc>
        <w:tc>
          <w:tcPr>
            <w:tcW w:w="16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2019</w:t>
            </w:r>
          </w:p>
        </w:tc>
        <w:tc>
          <w:tcPr>
            <w:tcW w:w="5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4"/>
              </w:rPr>
              <w:t>2019</w:t>
            </w:r>
          </w:p>
        </w:tc>
        <w:tc>
          <w:tcPr>
            <w:tcW w:w="160" w:type="dxa"/>
            <w:vAlign w:val="bottom"/>
          </w:tcPr>
          <w:p>
            <w:pPr>
              <w:spacing w:after="0"/>
              <w:rPr>
                <w:sz w:val="20"/>
                <w:szCs w:val="20"/>
                <w:color w:val="auto"/>
              </w:rPr>
            </w:pPr>
          </w:p>
        </w:tc>
      </w:tr>
      <w:tr>
        <w:trPr>
          <w:trHeight w:val="216"/>
        </w:trPr>
        <w:tc>
          <w:tcPr>
            <w:tcW w:w="3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6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5.5- 5.7</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w:t>
            </w:r>
          </w:p>
        </w:tc>
        <w:tc>
          <w:tcPr>
            <w:tcW w:w="2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5.5- 5.7</w:t>
            </w: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Expected volatility</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127.6% - 128.2%</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126.4%</w:t>
            </w: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127.6% - 128.2%</w:t>
            </w:r>
          </w:p>
        </w:tc>
        <w:tc>
          <w:tcPr>
            <w:tcW w:w="6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126.4%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Options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in January of 2020 issued 81,334 performance-based stock options to two of its executives. The awards can vest over 2 years if there is positive total shareholder return (e.g. share price increase) as measured to the 5-day (January 11-15, 2021) and (January 10-14, 2022) share price VWAP. There were 81,334 shares unvested and outstanding for the nine months ended January 31, 2020. The Company determined these awards contain a market-based condition and estimated the fair value using the Monte Carlo simulation model with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920" w:type="dxa"/>
            <w:vAlign w:val="bottom"/>
          </w:tcPr>
          <w:p>
            <w:pPr>
              <w:jc w:val="right"/>
              <w:spacing w:after="0"/>
              <w:rPr>
                <w:sz w:val="20"/>
                <w:szCs w:val="20"/>
                <w:color w:val="auto"/>
              </w:rPr>
            </w:pPr>
            <w:r>
              <w:rPr>
                <w:rFonts w:ascii="Arial" w:cs="Arial" w:eastAsia="Arial" w:hAnsi="Arial"/>
                <w:sz w:val="18"/>
                <w:szCs w:val="18"/>
                <w:color w:val="auto"/>
              </w:rPr>
              <w:t>0.0%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5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Expected volatility</w:t>
            </w:r>
          </w:p>
        </w:tc>
        <w:tc>
          <w:tcPr>
            <w:tcW w:w="5920" w:type="dxa"/>
            <w:vAlign w:val="bottom"/>
          </w:tcPr>
          <w:p>
            <w:pPr>
              <w:jc w:val="right"/>
              <w:spacing w:after="0"/>
              <w:rPr>
                <w:sz w:val="20"/>
                <w:szCs w:val="20"/>
                <w:color w:val="auto"/>
              </w:rPr>
            </w:pPr>
            <w:r>
              <w:rPr>
                <w:rFonts w:ascii="Arial" w:cs="Arial" w:eastAsia="Arial" w:hAnsi="Arial"/>
                <w:sz w:val="18"/>
                <w:szCs w:val="18"/>
                <w:color w:val="auto"/>
              </w:rPr>
              <w:t>115.0%</w:t>
            </w:r>
          </w:p>
        </w:tc>
        <w:tc>
          <w:tcPr>
            <w:tcW w:w="1120" w:type="dxa"/>
            <w:vAlign w:val="bottom"/>
          </w:tcPr>
          <w:p>
            <w:pPr>
              <w:spacing w:after="0"/>
              <w:rPr>
                <w:sz w:val="20"/>
                <w:szCs w:val="20"/>
                <w:color w:val="auto"/>
              </w:rPr>
            </w:pPr>
          </w:p>
        </w:tc>
      </w:tr>
      <w:tr>
        <w:trPr>
          <w:trHeight w:val="425"/>
        </w:trPr>
        <w:tc>
          <w:tcPr>
            <w:tcW w:w="11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jc w:val="right"/>
              <w:ind w:right="4310"/>
              <w:spacing w:after="0"/>
              <w:rPr>
                <w:sz w:val="20"/>
                <w:szCs w:val="20"/>
                <w:color w:val="auto"/>
              </w:rPr>
            </w:pPr>
            <w:r>
              <w:rPr>
                <w:rFonts w:ascii="Arial" w:cs="Arial" w:eastAsia="Arial" w:hAnsi="Arial"/>
                <w:sz w:val="18"/>
                <w:szCs w:val="18"/>
                <w:color w:val="auto"/>
              </w:rPr>
              <w:t>20</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 summary of stock options under our stock incentive plans is detailed in the following table.</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left="333"/>
              <w:spacing w:after="0"/>
              <w:rPr>
                <w:sz w:val="20"/>
                <w:szCs w:val="20"/>
                <w:color w:val="auto"/>
              </w:rPr>
            </w:pPr>
            <w:r>
              <w:rPr>
                <w:rFonts w:ascii="Arial" w:cs="Arial" w:eastAsia="Arial" w:hAnsi="Arial"/>
                <w:sz w:val="18"/>
                <w:szCs w:val="18"/>
                <w:b w:val="1"/>
                <w:bCs w:val="1"/>
                <w:color w:val="auto"/>
                <w:w w:val="88"/>
              </w:rPr>
              <w:t>Weighted</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8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8"/>
                <w:szCs w:val="18"/>
                <w:color w:val="auto"/>
              </w:rPr>
            </w:pPr>
          </w:p>
        </w:tc>
        <w:tc>
          <w:tcPr>
            <w:tcW w:w="1180" w:type="dxa"/>
            <w:vAlign w:val="bottom"/>
          </w:tcPr>
          <w:p>
            <w:pPr>
              <w:jc w:val="center"/>
              <w:ind w:left="313"/>
              <w:spacing w:after="0"/>
              <w:rPr>
                <w:sz w:val="20"/>
                <w:szCs w:val="20"/>
                <w:color w:val="auto"/>
              </w:rPr>
            </w:pPr>
            <w:r>
              <w:rPr>
                <w:rFonts w:ascii="Arial" w:cs="Arial" w:eastAsia="Arial" w:hAnsi="Arial"/>
                <w:sz w:val="18"/>
                <w:szCs w:val="18"/>
                <w:b w:val="1"/>
                <w:bCs w:val="1"/>
                <w:color w:val="auto"/>
                <w:w w:val="87"/>
              </w:rPr>
              <w:t>Average</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19"/>
                <w:szCs w:val="19"/>
                <w:color w:val="auto"/>
              </w:rPr>
            </w:pPr>
          </w:p>
        </w:tc>
        <w:tc>
          <w:tcPr>
            <w:tcW w:w="18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Underlying</w:t>
            </w:r>
          </w:p>
        </w:tc>
        <w:tc>
          <w:tcPr>
            <w:tcW w:w="140" w:type="dxa"/>
            <w:vAlign w:val="bottom"/>
          </w:tcPr>
          <w:p>
            <w:pPr>
              <w:spacing w:after="0"/>
              <w:rPr>
                <w:sz w:val="19"/>
                <w:szCs w:val="19"/>
                <w:color w:val="auto"/>
              </w:rPr>
            </w:pPr>
          </w:p>
        </w:tc>
        <w:tc>
          <w:tcPr>
            <w:tcW w:w="1180" w:type="dxa"/>
            <w:vAlign w:val="bottom"/>
          </w:tcPr>
          <w:p>
            <w:pPr>
              <w:jc w:val="center"/>
              <w:ind w:left="333"/>
              <w:spacing w:after="0"/>
              <w:rPr>
                <w:sz w:val="20"/>
                <w:szCs w:val="20"/>
                <w:color w:val="auto"/>
              </w:rPr>
            </w:pPr>
            <w:r>
              <w:rPr>
                <w:rFonts w:ascii="Arial" w:cs="Arial" w:eastAsia="Arial" w:hAnsi="Arial"/>
                <w:sz w:val="18"/>
                <w:szCs w:val="18"/>
                <w:b w:val="1"/>
                <w:bCs w:val="1"/>
                <w:color w:val="auto"/>
                <w:w w:val="86"/>
              </w:rPr>
              <w:t>Exercise</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41"/>
        </w:trPr>
        <w:tc>
          <w:tcPr>
            <w:tcW w:w="5120" w:type="dxa"/>
            <w:vAlign w:val="bottom"/>
          </w:tcPr>
          <w:p>
            <w:pPr>
              <w:spacing w:after="0"/>
              <w:rPr>
                <w:sz w:val="20"/>
                <w:szCs w:val="20"/>
                <w:color w:val="auto"/>
              </w:rPr>
            </w:pPr>
          </w:p>
        </w:tc>
        <w:tc>
          <w:tcPr>
            <w:tcW w:w="18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Options</w:t>
            </w:r>
          </w:p>
        </w:tc>
        <w:tc>
          <w:tcPr>
            <w:tcW w:w="140" w:type="dxa"/>
            <w:vAlign w:val="bottom"/>
          </w:tcPr>
          <w:p>
            <w:pPr>
              <w:spacing w:after="0"/>
              <w:rPr>
                <w:sz w:val="20"/>
                <w:szCs w:val="20"/>
                <w:color w:val="auto"/>
              </w:rPr>
            </w:pPr>
          </w:p>
        </w:tc>
        <w:tc>
          <w:tcPr>
            <w:tcW w:w="1180" w:type="dxa"/>
            <w:vAlign w:val="bottom"/>
          </w:tcPr>
          <w:p>
            <w:pPr>
              <w:jc w:val="center"/>
              <w:ind w:left="333"/>
              <w:spacing w:after="0"/>
              <w:rPr>
                <w:sz w:val="20"/>
                <w:szCs w:val="20"/>
                <w:color w:val="auto"/>
              </w:rPr>
            </w:pPr>
            <w:r>
              <w:rPr>
                <w:rFonts w:ascii="Arial" w:cs="Arial" w:eastAsia="Arial" w:hAnsi="Arial"/>
                <w:sz w:val="18"/>
                <w:szCs w:val="18"/>
                <w:b w:val="1"/>
                <w:bCs w:val="1"/>
                <w:color w:val="auto"/>
                <w:w w:val="90"/>
              </w:rPr>
              <w:t>Price</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(In Years)</w:t>
            </w:r>
          </w:p>
        </w:tc>
        <w:tc>
          <w:tcPr>
            <w:tcW w:w="0" w:type="dxa"/>
            <w:vAlign w:val="bottom"/>
          </w:tcPr>
          <w:p>
            <w:pPr>
              <w:spacing w:after="0"/>
              <w:rPr>
                <w:sz w:val="1"/>
                <w:szCs w:val="1"/>
                <w:color w:val="auto"/>
              </w:rPr>
            </w:pPr>
          </w:p>
        </w:tc>
      </w:tr>
      <w:tr>
        <w:trPr>
          <w:trHeight w:val="216"/>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2019</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13"/>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21.08</w:t>
            </w:r>
          </w:p>
        </w:tc>
        <w:tc>
          <w:tcPr>
            <w:tcW w:w="3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493,000</w:t>
            </w:r>
          </w:p>
        </w:tc>
        <w:tc>
          <w:tcPr>
            <w:tcW w:w="180" w:type="dxa"/>
            <w:vAlign w:val="bottom"/>
          </w:tcPr>
          <w:p>
            <w:pPr>
              <w:spacing w:after="0"/>
              <w:rPr>
                <w:sz w:val="18"/>
                <w:szCs w:val="18"/>
                <w:color w:val="auto"/>
              </w:rPr>
            </w:pPr>
          </w:p>
        </w:tc>
        <w:tc>
          <w:tcPr>
            <w:tcW w:w="1320" w:type="dxa"/>
            <w:vAlign w:val="bottom"/>
            <w:gridSpan w:val="2"/>
          </w:tcPr>
          <w:p>
            <w:pPr>
              <w:jc w:val="right"/>
              <w:ind w:right="1013"/>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1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Cancelled/forfeited</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(2,073)</w:t>
            </w:r>
          </w:p>
        </w:tc>
        <w:tc>
          <w:tcPr>
            <w:tcW w:w="1320" w:type="dxa"/>
            <w:vAlign w:val="bottom"/>
            <w:gridSpan w:val="2"/>
          </w:tcPr>
          <w:p>
            <w:pPr>
              <w:jc w:val="right"/>
              <w:ind w:right="1013"/>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52.66</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31, 2020</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556,499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CCEEFF"/>
              <w:bottom w:val="single" w:sz="8" w:color="CCEEFF"/>
            </w:tcBorders>
            <w:gridSpan w:val="2"/>
            <w:shd w:val="clear" w:color="auto" w:fill="CCEEFF"/>
          </w:tcPr>
          <w:p>
            <w:pPr>
              <w:jc w:val="right"/>
              <w:ind w:right="1013"/>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3.24</w:t>
            </w:r>
          </w:p>
        </w:tc>
        <w:tc>
          <w:tcPr>
            <w:tcW w:w="16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Exercisable as of January 31, 2020</w:t>
            </w:r>
          </w:p>
        </w:tc>
        <w:tc>
          <w:tcPr>
            <w:tcW w:w="16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vMerge w:val="restart"/>
          </w:tcPr>
          <w:p>
            <w:pPr>
              <w:jc w:val="right"/>
              <w:ind w:right="1013"/>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w w:val="88"/>
              </w:rPr>
              <w:t>20.21</w:t>
            </w:r>
          </w:p>
        </w:tc>
        <w:tc>
          <w:tcPr>
            <w:tcW w:w="1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line="20" w:lineRule="exact"/>
              <w:rPr>
                <w:sz w:val="1"/>
                <w:szCs w:val="1"/>
                <w:color w:val="auto"/>
              </w:rPr>
            </w:pPr>
          </w:p>
        </w:tc>
      </w:tr>
      <w:tr>
        <w:trPr>
          <w:trHeight w:val="197"/>
        </w:trPr>
        <w:tc>
          <w:tcPr>
            <w:tcW w:w="5120" w:type="dxa"/>
            <w:vAlign w:val="bottom"/>
            <w:vMerge w:val="continue"/>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63,499</w:t>
            </w: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January 31, 2020, the total intrinsic value of both outstanding and exercisable options was zero. As of January 31, 2020, approximately 493,000 additional options were unvested, which had no intrinsic value and a weighted average remaining contractual term of 10.0 years. There was approximately $207,000 and $151,000 of total recognized compensation cost related to stock options during each of the nine months ended January 31, 2020 and 2019, respectively. As of January 31, 2020, there was approximately $429,000 of total unrecognized compensation cost related to non-vested stock options granted under the plans. This cost is expected to be recognized over a weighted-average period of 1.2 years. The Company typically issues newly authorized but unissued shares to satisfy option exercises under these plans.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Compensation expense for non-vested restricted stock is generally recorded based on its market value on the date of grant and recognized ratably over the associated service and performance period. During the nine months ended January 31, 2020, the Company granted 13,513 shares subject to service-based vesting requirements.</w:t>
      </w:r>
    </w:p>
    <w:p>
      <w:pPr>
        <w:sectPr>
          <w:pgSz w:w="11900" w:h="16838" w:orient="portrait"/>
          <w:cols w:equalWidth="0" w:num="1">
            <w:col w:w="11240"/>
          </w:cols>
          <w:pgMar w:left="320" w:top="665"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Issued and unvested at 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Cancelled/forfeited</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Issued and unvested at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Weighted</w:t>
            </w:r>
          </w:p>
        </w:tc>
      </w:tr>
      <w:tr>
        <w:trPr>
          <w:trHeight w:val="229"/>
        </w:trPr>
        <w:tc>
          <w:tcPr>
            <w:tcW w:w="18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Average Price</w:t>
            </w:r>
          </w:p>
        </w:tc>
      </w:tr>
      <w:tr>
        <w:trPr>
          <w:trHeight w:val="241"/>
        </w:trPr>
        <w:tc>
          <w:tcPr>
            <w:tcW w:w="17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of Shares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per Share</w:t>
            </w:r>
          </w:p>
        </w:tc>
      </w:tr>
      <w:tr>
        <w:trPr>
          <w:trHeight w:val="418"/>
        </w:trPr>
        <w:tc>
          <w:tcPr>
            <w:tcW w:w="1720" w:type="dxa"/>
            <w:vAlign w:val="bottom"/>
          </w:tcPr>
          <w:p>
            <w:pPr>
              <w:jc w:val="right"/>
              <w:spacing w:after="0"/>
              <w:rPr>
                <w:sz w:val="20"/>
                <w:szCs w:val="20"/>
                <w:color w:val="auto"/>
              </w:rPr>
            </w:pPr>
            <w:r>
              <w:rPr>
                <w:rFonts w:ascii="Arial" w:cs="Arial" w:eastAsia="Arial" w:hAnsi="Arial"/>
                <w:sz w:val="18"/>
                <w:szCs w:val="18"/>
                <w:color w:val="auto"/>
              </w:rPr>
              <w:t>4,506</w:t>
            </w:r>
          </w:p>
        </w:tc>
        <w:tc>
          <w:tcPr>
            <w:tcW w:w="16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30.08</w:t>
            </w:r>
          </w:p>
        </w:tc>
      </w:tr>
      <w:tr>
        <w:trPr>
          <w:trHeight w:val="216"/>
        </w:trPr>
        <w:tc>
          <w:tcPr>
            <w:tcW w:w="1720" w:type="dxa"/>
            <w:vAlign w:val="bottom"/>
          </w:tcPr>
          <w:p>
            <w:pPr>
              <w:jc w:val="right"/>
              <w:spacing w:after="0"/>
              <w:rPr>
                <w:sz w:val="20"/>
                <w:szCs w:val="20"/>
                <w:color w:val="auto"/>
              </w:rPr>
            </w:pPr>
            <w:r>
              <w:rPr>
                <w:rFonts w:ascii="Arial" w:cs="Arial" w:eastAsia="Arial" w:hAnsi="Arial"/>
                <w:sz w:val="18"/>
                <w:szCs w:val="18"/>
                <w:color w:val="auto"/>
              </w:rPr>
              <w:t>13,513</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(4,380)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30.14</w:t>
            </w:r>
          </w:p>
        </w:tc>
      </w:tr>
      <w:tr>
        <w:trPr>
          <w:trHeight w:val="251"/>
        </w:trPr>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28.00</w:t>
            </w:r>
          </w:p>
        </w:tc>
      </w:tr>
      <w:tr>
        <w:trPr>
          <w:trHeight w:val="229"/>
        </w:trPr>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13,513</w:t>
            </w:r>
          </w:p>
        </w:tc>
        <w:tc>
          <w:tcPr>
            <w:tcW w:w="160" w:type="dxa"/>
            <w:vAlign w:val="bottom"/>
          </w:tcPr>
          <w:p>
            <w:pPr>
              <w:spacing w:after="0"/>
              <w:rPr>
                <w:sz w:val="19"/>
                <w:szCs w:val="19"/>
                <w:color w:val="auto"/>
              </w:rPr>
            </w:pPr>
          </w:p>
        </w:tc>
        <w:tc>
          <w:tcPr>
            <w:tcW w:w="3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1.48</w:t>
            </w: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00" w:space="60"/>
            <w:col w:w="4880"/>
          </w:cols>
          <w:pgMar w:left="320" w:top="665" w:right="339" w:bottom="1440" w:gutter="0" w:footer="0" w:header="0"/>
          <w:type w:val="continuous"/>
        </w:sectPr>
      </w:pP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was approximately $10,000 and $49,000 of total recognized compensation cost related to restricted stock for the nine months ended January 31, 2020 and 2019, respectively. As of January 31, 2020, there is 15,000 unrecognized compensation cost remaining related to unvested restricted stock granted under our plans.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nine months ended January 31, 2020, the Company granted 51,547 shares, subject to service-based vesting requirements, to an executive that were outside the Company stock incentive plans. There was approximately $8,000 of total recognized compensation cost related to this award for the nine months ended January 31, 2020. As of January 31, 2020, there is $43,000 unrecognized compensation cost remaining related to this award.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(13) Fair Value Measurements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GAAP specifies a three-level hierarchy that is used when measuring and disclosing fair value. The fair value hierarchy gives the highest priority to quoted prices available in active markets (i.e., observable inputs) and the lowest priority to data lacking transparency (i.e., unobservable inputs). An instrument’s categorization within the fair value hierarchy is based on the lowest level of significant input to its valuation. The following is a description of the three hierarchy levels.</w:t>
      </w:r>
    </w:p>
    <w:p>
      <w:pPr>
        <w:spacing w:after="0" w:line="192" w:lineRule="exact"/>
        <w:rPr>
          <w:sz w:val="20"/>
          <w:szCs w:val="20"/>
          <w:color w:val="auto"/>
        </w:rPr>
      </w:pPr>
    </w:p>
    <w:p>
      <w:pPr>
        <w:jc w:val="both"/>
        <w:ind w:left="840" w:right="20" w:hanging="836"/>
        <w:spacing w:after="0" w:line="263" w:lineRule="auto"/>
        <w:tabs>
          <w:tab w:leader="none" w:pos="820" w:val="left"/>
        </w:tabs>
        <w:rPr>
          <w:sz w:val="20"/>
          <w:szCs w:val="20"/>
          <w:color w:val="auto"/>
        </w:rPr>
      </w:pPr>
      <w:r>
        <w:rPr>
          <w:rFonts w:ascii="Arial" w:cs="Arial" w:eastAsia="Arial" w:hAnsi="Arial"/>
          <w:sz w:val="18"/>
          <w:szCs w:val="18"/>
          <w:color w:val="auto"/>
        </w:rPr>
        <w:t>Level 1</w:t>
        <w:tab/>
        <w:t>Unadjusted quoted prices in active markets that are accessible at the measurement date for identical, unrestricted assets or liabilities. Active markets are considered to be those in which transactions for the assets or liabilities occur in sufficient frequency and volume to provide pricing information on an ongoing basis.</w:t>
      </w:r>
    </w:p>
    <w:p>
      <w:pPr>
        <w:spacing w:after="0" w:line="184" w:lineRule="exact"/>
        <w:rPr>
          <w:sz w:val="20"/>
          <w:szCs w:val="20"/>
          <w:color w:val="auto"/>
        </w:rPr>
      </w:pPr>
    </w:p>
    <w:p>
      <w:pPr>
        <w:jc w:val="both"/>
        <w:ind w:left="840" w:hanging="836"/>
        <w:spacing w:after="0" w:line="263" w:lineRule="auto"/>
        <w:tabs>
          <w:tab w:leader="none" w:pos="820" w:val="left"/>
        </w:tabs>
        <w:rPr>
          <w:sz w:val="20"/>
          <w:szCs w:val="20"/>
          <w:color w:val="auto"/>
        </w:rPr>
      </w:pPr>
      <w:r>
        <w:rPr>
          <w:rFonts w:ascii="Arial" w:cs="Arial" w:eastAsia="Arial" w:hAnsi="Arial"/>
          <w:sz w:val="18"/>
          <w:szCs w:val="18"/>
          <w:color w:val="auto"/>
        </w:rPr>
        <w:t>Level 2</w:t>
        <w:tab/>
        <w:t>Quoted prices in markets that are not active, or inputs which are observable, either directly or indirectly, for substantially the full term of the asset or liability. This category includes quoted prices for similar assets or liabilities in active markets and quoted prices for identical or similar assets or liabilities in inactive markets.</w:t>
      </w:r>
    </w:p>
    <w:p>
      <w:pPr>
        <w:spacing w:after="0" w:line="184" w:lineRule="exact"/>
        <w:rPr>
          <w:sz w:val="20"/>
          <w:szCs w:val="20"/>
          <w:color w:val="auto"/>
        </w:rPr>
      </w:pPr>
    </w:p>
    <w:p>
      <w:pPr>
        <w:jc w:val="both"/>
        <w:ind w:left="840" w:hanging="836"/>
        <w:spacing w:after="0" w:line="263" w:lineRule="auto"/>
        <w:tabs>
          <w:tab w:leader="none" w:pos="820" w:val="left"/>
        </w:tabs>
        <w:rPr>
          <w:sz w:val="20"/>
          <w:szCs w:val="20"/>
          <w:color w:val="auto"/>
        </w:rPr>
      </w:pPr>
      <w:r>
        <w:rPr>
          <w:rFonts w:ascii="Arial" w:cs="Arial" w:eastAsia="Arial" w:hAnsi="Arial"/>
          <w:sz w:val="18"/>
          <w:szCs w:val="18"/>
          <w:color w:val="auto"/>
        </w:rPr>
        <w:t>Level 3</w:t>
        <w:tab/>
        <w:t>Unobservable inputs are not corroborated by market data. This category is comprised of financial and non-financial assets and liabilities whose fair value is estimated based on internally developed models or methodologies using significant inputs that are generally less readily observable from objective sources.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into or out of any hierarchy level are recognized at the end of the reporting period in which the transfers occurred. There were no transfers between any levels during each of the nine months ended January 31, 2020 and 2019.</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information is provided to help readers gain an understanding of the relationship between amounts reported in the accompanying consolidated financial statements and the related market or fair value. The disclosures include financial instruments and derivative financial instruments, other than investment in affiliates.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are descriptions of the valuation methodologies used to measure material assets and liabilities at fair value and details of the valuation models, key inputs to those models and significant assumptions utilized.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Liabilities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fair value of the Company’s warrant liabilities (refer to Note 8) recorded in the Company’s financial statements is determined using the Black-Scholes option pricing model and the quoted price of the Company’s common stock in an active market, volatility and expected life, is a Level 3 measurement. Volatility is based on the actual market activity of the Company’s stock. The expected life is based on the remaining contractual term of the warrants and the risk-free interest rate is based on the implied yield available on U.S. Treasury Securities with a maturity equivalent to the warrants’ expected life.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assets and liabilities measured at fair value on a recurring basis as of January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Quoted prices in</w:t>
            </w: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tcPr>
          <w:p>
            <w:pPr>
              <w:jc w:val="center"/>
              <w:ind w:left="110"/>
              <w:spacing w:after="0"/>
              <w:rPr>
                <w:sz w:val="20"/>
                <w:szCs w:val="20"/>
                <w:color w:val="auto"/>
              </w:rPr>
            </w:pPr>
            <w:r>
              <w:rPr>
                <w:rFonts w:ascii="Arial" w:cs="Arial" w:eastAsia="Arial" w:hAnsi="Arial"/>
                <w:sz w:val="18"/>
                <w:szCs w:val="18"/>
                <w:b w:val="1"/>
                <w:bCs w:val="1"/>
                <w:color w:val="auto"/>
                <w:w w:val="95"/>
              </w:rPr>
              <w:t>Total Carrying</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active markets for</w:t>
            </w: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Value in</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identical assets or</w:t>
            </w:r>
          </w:p>
        </w:tc>
        <w:tc>
          <w:tcPr>
            <w:tcW w:w="380" w:type="dxa"/>
            <w:vAlign w:val="bottom"/>
          </w:tcPr>
          <w:p>
            <w:pPr>
              <w:spacing w:after="0"/>
              <w:rPr>
                <w:sz w:val="18"/>
                <w:szCs w:val="18"/>
                <w:color w:val="auto"/>
              </w:rPr>
            </w:pPr>
          </w:p>
        </w:tc>
        <w:tc>
          <w:tcPr>
            <w:tcW w:w="184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Significant other</w:t>
            </w:r>
          </w:p>
        </w:tc>
        <w:tc>
          <w:tcPr>
            <w:tcW w:w="46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unobservable</w:t>
            </w:r>
          </w:p>
        </w:tc>
      </w:tr>
      <w:tr>
        <w:trPr>
          <w:trHeight w:val="216"/>
        </w:trPr>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Consolidated</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liabilities</w:t>
            </w:r>
          </w:p>
        </w:tc>
        <w:tc>
          <w:tcPr>
            <w:tcW w:w="380" w:type="dxa"/>
            <w:vAlign w:val="bottom"/>
          </w:tcPr>
          <w:p>
            <w:pPr>
              <w:spacing w:after="0"/>
              <w:rPr>
                <w:sz w:val="18"/>
                <w:szCs w:val="18"/>
                <w:color w:val="auto"/>
              </w:rPr>
            </w:pPr>
          </w:p>
        </w:tc>
        <w:tc>
          <w:tcPr>
            <w:tcW w:w="184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observable inputs</w:t>
            </w:r>
          </w:p>
        </w:tc>
        <w:tc>
          <w:tcPr>
            <w:tcW w:w="46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inputs</w:t>
            </w:r>
          </w:p>
        </w:tc>
      </w:tr>
      <w:tr>
        <w:trPr>
          <w:trHeight w:val="241"/>
        </w:trPr>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Balance Sheet</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6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(Level 1)</w:t>
            </w:r>
          </w:p>
        </w:tc>
        <w:tc>
          <w:tcPr>
            <w:tcW w:w="380" w:type="dxa"/>
            <w:vAlign w:val="bottom"/>
          </w:tcPr>
          <w:p>
            <w:pPr>
              <w:spacing w:after="0"/>
              <w:rPr>
                <w:sz w:val="20"/>
                <w:szCs w:val="20"/>
                <w:color w:val="auto"/>
              </w:rPr>
            </w:pPr>
          </w:p>
        </w:tc>
        <w:tc>
          <w:tcPr>
            <w:tcW w:w="184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(Level 2)</w:t>
            </w:r>
          </w:p>
        </w:tc>
        <w:tc>
          <w:tcPr>
            <w:tcW w:w="460" w:type="dxa"/>
            <w:vAlign w:val="bottom"/>
          </w:tcPr>
          <w:p>
            <w:pPr>
              <w:spacing w:after="0"/>
              <w:rPr>
                <w:sz w:val="20"/>
                <w:szCs w:val="20"/>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(Level 3)</w:t>
            </w:r>
          </w:p>
        </w:tc>
      </w:tr>
      <w:tr>
        <w:trPr>
          <w:trHeight w:val="230"/>
        </w:trPr>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080" w:type="dxa"/>
            <w:vAlign w:val="bottom"/>
            <w:tcBorders>
              <w:top w:val="single" w:sz="8" w:color="auto"/>
            </w:tcBorders>
            <w:gridSpan w:val="3"/>
          </w:tcPr>
          <w:p>
            <w:pPr>
              <w:jc w:val="right"/>
              <w:ind w:right="1590"/>
              <w:spacing w:after="0"/>
              <w:rPr>
                <w:sz w:val="20"/>
                <w:szCs w:val="20"/>
                <w:color w:val="auto"/>
              </w:rPr>
            </w:pPr>
            <w:r>
              <w:rPr>
                <w:rFonts w:ascii="Arial" w:cs="Arial" w:eastAsia="Arial" w:hAnsi="Arial"/>
                <w:sz w:val="18"/>
                <w:szCs w:val="18"/>
                <w:color w:val="auto"/>
              </w:rPr>
              <w:t>(in thousands)</w:t>
            </w:r>
          </w:p>
        </w:tc>
        <w:tc>
          <w:tcPr>
            <w:tcW w:w="4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439"/>
        </w:trPr>
        <w:tc>
          <w:tcPr>
            <w:tcW w:w="19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following table presents financial assets and liabilities measured at fair value on a recurring basis as of April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Quoted prices in</w:t>
            </w: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tcPr>
          <w:p>
            <w:pPr>
              <w:jc w:val="center"/>
              <w:ind w:left="110"/>
              <w:spacing w:after="0"/>
              <w:rPr>
                <w:sz w:val="20"/>
                <w:szCs w:val="20"/>
                <w:color w:val="auto"/>
              </w:rPr>
            </w:pPr>
            <w:r>
              <w:rPr>
                <w:rFonts w:ascii="Arial" w:cs="Arial" w:eastAsia="Arial" w:hAnsi="Arial"/>
                <w:sz w:val="18"/>
                <w:szCs w:val="18"/>
                <w:b w:val="1"/>
                <w:bCs w:val="1"/>
                <w:color w:val="auto"/>
                <w:w w:val="95"/>
              </w:rPr>
              <w:t>Total Carrying</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active markets for</w:t>
            </w: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Value in</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identical assets or</w:t>
            </w:r>
          </w:p>
        </w:tc>
        <w:tc>
          <w:tcPr>
            <w:tcW w:w="380" w:type="dxa"/>
            <w:vAlign w:val="bottom"/>
          </w:tcPr>
          <w:p>
            <w:pPr>
              <w:spacing w:after="0"/>
              <w:rPr>
                <w:sz w:val="18"/>
                <w:szCs w:val="18"/>
                <w:color w:val="auto"/>
              </w:rPr>
            </w:pPr>
          </w:p>
        </w:tc>
        <w:tc>
          <w:tcPr>
            <w:tcW w:w="184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Significant other</w:t>
            </w:r>
          </w:p>
        </w:tc>
        <w:tc>
          <w:tcPr>
            <w:tcW w:w="46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unobservable</w:t>
            </w:r>
          </w:p>
        </w:tc>
      </w:tr>
      <w:tr>
        <w:trPr>
          <w:trHeight w:val="216"/>
        </w:trPr>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Consolidated</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liabilities</w:t>
            </w:r>
          </w:p>
        </w:tc>
        <w:tc>
          <w:tcPr>
            <w:tcW w:w="380" w:type="dxa"/>
            <w:vAlign w:val="bottom"/>
          </w:tcPr>
          <w:p>
            <w:pPr>
              <w:spacing w:after="0"/>
              <w:rPr>
                <w:sz w:val="18"/>
                <w:szCs w:val="18"/>
                <w:color w:val="auto"/>
              </w:rPr>
            </w:pPr>
          </w:p>
        </w:tc>
        <w:tc>
          <w:tcPr>
            <w:tcW w:w="184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observable inputs</w:t>
            </w:r>
          </w:p>
        </w:tc>
        <w:tc>
          <w:tcPr>
            <w:tcW w:w="46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inputs</w:t>
            </w:r>
          </w:p>
        </w:tc>
      </w:tr>
      <w:tr>
        <w:trPr>
          <w:trHeight w:val="241"/>
        </w:trPr>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Balance Sheet</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6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(Level 1)</w:t>
            </w:r>
          </w:p>
        </w:tc>
        <w:tc>
          <w:tcPr>
            <w:tcW w:w="380" w:type="dxa"/>
            <w:vAlign w:val="bottom"/>
          </w:tcPr>
          <w:p>
            <w:pPr>
              <w:spacing w:after="0"/>
              <w:rPr>
                <w:sz w:val="20"/>
                <w:szCs w:val="20"/>
                <w:color w:val="auto"/>
              </w:rPr>
            </w:pPr>
          </w:p>
        </w:tc>
        <w:tc>
          <w:tcPr>
            <w:tcW w:w="184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(Level 2)</w:t>
            </w:r>
          </w:p>
        </w:tc>
        <w:tc>
          <w:tcPr>
            <w:tcW w:w="460" w:type="dxa"/>
            <w:vAlign w:val="bottom"/>
          </w:tcPr>
          <w:p>
            <w:pPr>
              <w:spacing w:after="0"/>
              <w:rPr>
                <w:sz w:val="20"/>
                <w:szCs w:val="20"/>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(Level 3)</w:t>
            </w:r>
          </w:p>
        </w:tc>
      </w:tr>
      <w:tr>
        <w:trPr>
          <w:trHeight w:val="230"/>
        </w:trPr>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080" w:type="dxa"/>
            <w:vAlign w:val="bottom"/>
            <w:tcBorders>
              <w:top w:val="single" w:sz="8" w:color="auto"/>
            </w:tcBorders>
            <w:gridSpan w:val="3"/>
          </w:tcPr>
          <w:p>
            <w:pPr>
              <w:jc w:val="right"/>
              <w:ind w:right="1590"/>
              <w:spacing w:after="0"/>
              <w:rPr>
                <w:sz w:val="20"/>
                <w:szCs w:val="20"/>
                <w:color w:val="auto"/>
              </w:rPr>
            </w:pPr>
            <w:r>
              <w:rPr>
                <w:rFonts w:ascii="Arial" w:cs="Arial" w:eastAsia="Arial" w:hAnsi="Arial"/>
                <w:sz w:val="18"/>
                <w:szCs w:val="18"/>
                <w:color w:val="auto"/>
              </w:rPr>
              <w:t>(in thousands)</w:t>
            </w:r>
          </w:p>
        </w:tc>
        <w:tc>
          <w:tcPr>
            <w:tcW w:w="4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fair value of the Company’s warrant liabilities held at January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Fair Value Measurement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Warrant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Fair value – April 30, 2018</w:t>
            </w: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 April 30, 2019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Fair value – January 31, 2020</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other re-measured assets or liabilities at fair value on a non-recurring basis during the nine months ended January 31, 2020 and 2019.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Litigation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In 2014, the Company and Mr. Dunleavy entered into a tolling agreement with respect to his alleged employment claims pending resolution of a securities class action and shareholder derivative litigation. The securities class action was resolved in November 2017 and the derivatives litigation was resolved in June 2018.</w:t>
      </w:r>
    </w:p>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August 28, 2018, counsel for Mr. Dunleavy filed a demand for arbitration, captioned </w:t>
      </w:r>
      <w:r>
        <w:rPr>
          <w:rFonts w:ascii="Arial" w:cs="Arial" w:eastAsia="Arial" w:hAnsi="Arial"/>
          <w:sz w:val="16"/>
          <w:szCs w:val="16"/>
          <w:i w:val="1"/>
          <w:iCs w:val="1"/>
          <w:color w:val="auto"/>
        </w:rPr>
        <w:t>Charles F. Dunleavy v. Ocean Power Technologies, Inc.,</w:t>
      </w:r>
      <w:r>
        <w:rPr>
          <w:rFonts w:ascii="Arial" w:cs="Arial" w:eastAsia="Arial" w:hAnsi="Arial"/>
          <w:sz w:val="16"/>
          <w:szCs w:val="16"/>
          <w:color w:val="auto"/>
        </w:rPr>
        <w:t xml:space="preserve"> Case No. 01-18-0003-2374, before the American Arbitration Association in New Jersey. The demand names Ocean Power Technologies, Inc. as the respondent and alleges various claims and seeks declaratory relief and permanent injunction. The demand seeks damages in the amount of $5 million for compensatory and punitive damages, plus interest and attorneys’ fees as well as certain equitable relief. On November 8, 2018, the Company through counsel responded to the demand for arbitration, denied all allegations, and asserted various affirmative defenses. On April 5, 2019, a three-person arbitration panel scheduled the discovery process to run from April 12, 2019 until November 9, 2019, set a pre-hearing case management conference for October 14, 2019, and set the hearing for December 9-13, 2019 in Princeton, New Jersey. On September 30, 2019, the parties completed the factual discovery process and the Company identified its expert witnesses. On October 14, 2019, the parties participated in a pre-hearing case management conference with arbitration panel and altered slightly the dates for the hearing. The hearing was conducted in Princeton, New Jersey between December 9-11, 2019, and between December 16-18, 2019, and on December 18, 2019 the panel decided to continue the hearing for at least another day of testimony on May 18, 2020. As of January 31, 2020, the Company has not accrued any provision related to this matter since it is not probable and cannot reasonably estimate the loss contingency.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FINRA Review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4, 2019, FINRA notified the Company that it was conducting a routine review of the Company’s stock associated with two public announcements and asked several questions regarding: (i) an April 3, 2019 announcement that the Company had won a contract with a leading oil and gas operator; and (ii) an April 4, 2019 announcement of the pricing of an underwritten public offering. The Company provided its response to the FINRA questions on April 9, 2019. As of March 9, 2020, FINRA has not provided any follow-up.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Spain Income Tax Audit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is currently undergoing an income tax audit in Spain for the period from 2008 to 2014, when our Spanish branch was closed. The branch reported net operating losses for each of the years reported that the Spanish tax inspector claims should have been capitalized on the balance sheet instead of charged as an expense in the Consolidated Statement of Operations. As of April 30, 2017, the Company had recorded a penalty of $132,000 to Selling, general and administrative costs in the Consolidated Statement of Operations. The Spanish tax inspector has recently closed its discussion relating to the capitalization of expenses and as of April 30, 2018 the Company reversed the penalty. However, the Spanish tax inspector has now raised questions with respect to the Company’s recognition of funds received in 2011 to 2014 from a governmental grant from the European Commission in connection with the Waveport project. It is anticipated that the Company will be assessed a penalty relating to these tax years. The Company has estimated this penalty to be $177,000 and as of January 31, 2020 and April 30, 2019 has recorded the penalty in Accrued expenses in the Consolidated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nine months ended January 31, 2019, the Company recorded an income tax benefit of $0.9 million, representing the proceeds from the sale of $9.1 million of New Jersey net operating loss carryforwards and research and development tax credits. During the three and nine months ended January 31, 2020, the Company has not received any proceeds from the sale of its New Jersey net operating loss carryforwards and research and development tax credits.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than the sale of New Jersey net operating loss carryforwards and research and development tax credits, the Company did not recognize any consolidated income tax benefit (expense) during the three and nine months ended January 31, 2020 and 2019.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The Company is currently undergoing an income tax audit in Spain for the period from 2008 to 2014, when our Spanish branch was closed (see Note 14 to the Consolidated Financial Statements). At January 31, 2020 the Company had no other unrecognized tax positions. The Company does not expect any material increase or decrease in its income tax expense in the next twelve months, related to examinations or uncertain tax positions. U.S. federal and state income tax returns were audited through fiscal 2014 and fiscal 2010 respectively. Net operating loss and credit carry forwards since inception remain open to examination by taxing authorities and will continue to remain open for a period of time after utilization.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Operating Segments and Geographic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business consists of one segment as this represents management’s view of the Company’s operations. The Company operates on a worldwide basis with one operating company in the US and subsidiaries in the UK and in Australia. Revenues and expenses are generally attributed to the operating unit that bills the customers. During the three and nine months ended January 31, 2020 and 2019, the Company’s primary business operations were in North America.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Nasdaq Delisting Notification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3, 2020, the Company received a notification from the Nasdaq Stock Market (the “NASDAQ”) indicating that the minimum bid price of the Company’s common stock has been below $1.00 per share for 30 consecutive business days and as a result, the Company is not in compliance with the minimum bid price requirement for continued listing. The Nasdaq notice has no immediate effect on the listing or trading of the Company’s common stock. Under the Nasdaq Listing Rules, the Company has a grace period of 180 calendar days, or until August 31, 2020, in which to regain compliance with the minimum bid price rule. To regain compliance, the closing bid price of the Company’s common stock must meet or exceed $1.00 per share for a minimum of ten consecutive business days during this grace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or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2019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2019 refers to the year ended April 30,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Nearly 70% of the earth’s surface is covered by water, and over 40% of the world’s population lives within approximately 150 miles of a coast. Thousands of information gathering and/or power systems are deployed in the oceans today to increase our understanding of weather, climate change, biological processes, and marine mammal patterns as well as supporting exploration, security and defense and operations for industries such as oil and gas. Most of these systems are powered by battery, solar, wind, fuel cell, or fossil fuel generators that may be unreliable, carbon intensive, and expensive to operate while they also may be limited in their ability to deliver ample electric power. These current systems often necessitate significant tradeoffs in sensor accuracy, data processing and communications bandwidth and frequency in order to operate given limited available power. More persistent power systems requiring less maintenance and being carbon neutral, such as our systems, may have the ability to save costs over these current systems. Equally important are increases in available power which may allow for better sensors, faster data sampling and higher frequency communication intervals up to real-time which could improve scientific and economic returns.</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Founded in 1984 and headquartered in Monroe Township, New Jersey, we believe we are the leader in ocean wave power conversion technology. Our PB3 is our first fully commercial product which generates electricity by harnessing the renewable energy of ocean waves. In addition to our PB3, we continue to develop our PowerBuoy® product line based on modular, ocean-going buoys, which we have been periodically ocean testing since 1997. In November 2018, the Company announced additional complementary products, the hybrid PowerBuoy® and subsea battery solutions which leverage our existing expertise in offshore power systems while expanding our product line beyond our flagship PB3 offering.</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PB3 generates power for use in remote offshore locations, independent of a conventional power grid. It features a unique onboard power take-off (“PTO”) system, which incorporates both energy storage and energy management and control systems. The PB3 generates a nominal name-plated capacity rating of up to 3 kilowatts (“kW”) of peak power during recharging of the onboard batteries. Power generation is deployment-site dependent whereby average power generated can increase substantially at very active sites. Our standard energy storage system (“ESS”) has an energy capacity of up to a nominal 150 kilowatt-hours (“kWh”) to meet specific application requirements. We believe there is a substantial addressable market for the current capabilities of our PB3, which we believe could be utilized in a variety of applications.</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to leveraging earlier design aspects of our autonomous PowerBuoy®, the PB3 has undergone extensive factory and in-ocean design validation testing. Currently, our engineering efforts are continuing to expand the PowerBuoy® capability with simplified deployment and mooring options and working together with our customer base to ensure flexible systems integration and to optimize energy output. Our marketing efforts are focused on applications in remote offshore locations that require clean, reliable and persistent power and communications, either by supplying electric power to payloads that are integrated directly in or on our PowerBuoy® or located in its vicinity, such as on the seabed and in the water column.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both"/>
        <w:spacing w:after="0" w:line="279" w:lineRule="auto"/>
        <w:rPr>
          <w:sz w:val="20"/>
          <w:szCs w:val="20"/>
          <w:color w:val="auto"/>
        </w:rPr>
      </w:pPr>
      <w:r>
        <w:rPr>
          <w:rFonts w:ascii="Arial" w:cs="Arial" w:eastAsia="Arial" w:hAnsi="Arial"/>
          <w:sz w:val="17"/>
          <w:szCs w:val="17"/>
          <w:color w:val="auto"/>
        </w:rPr>
        <w:t>Based on our market research and publicly available data, we believe that numerous markets have a direct need for our PowerBuoys® including oil and gas, defense and security, science and research, and communications. Depending on payload power requirements, sensor types and other considerations, we have found that our PowerBuoy® could satisfy several application requirements within these markets. We believe that the PB3 persistently generates sufficient power to meet the requirements of many potential customer applications within our target markets.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fiscal 2002, government agencies have accounted for a significant portion of our revenues. These revenues were largely for the support of our development efforts relating to our technology. Today our goal is to generate the majority of our revenue from the sale or lease of our products, and sales of services to support our business operations. As we continue to develop and commercialize our products, we expect to have a net loss of cash from operating activities unless and until we achieve positive cash flow from the commercialization of our products and services. During fiscal 2019 and the first nine months of fiscal year 2020, we continued work on projects with the Premier Oil (“PMO”), Eni S.p.A. (“Eni”), the U.S. Navy Small Business Innovation Research (“U.S. SBIR”) program, and a leading oil &amp; gas operator. In fiscal year 2020, the Company’s sold its first PowerBuoy® to EGP.</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development of our technology has been funded by capital we raised, by development engineering contracts we received starting in fiscal 1995 with agencies like the Department of Energy (“DOE”), the U.S. Navy, the Department of Homeland Security, and revenue generating projects with MES, Eni and Premier Oil. Through these projects, we also continued development of our PowerBuoy® technologies. We are continuing to focus on marketing and developing our PowerBuoy® products and services for use in unmanned autonomous power applications and communications solutions.</w:t>
      </w:r>
    </w:p>
    <w:p>
      <w:pPr>
        <w:spacing w:after="0" w:line="15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addition to the PB3 commercial activities, a concerted effort has been underway which is focused on proactively implementing additional features driven by extensive and direct discussions with potential users, customers, marketing partners, and end users in our target markets. Such features include:</w:t>
      </w:r>
    </w:p>
    <w:p>
      <w:pPr>
        <w:spacing w:after="0" w:line="124" w:lineRule="exact"/>
        <w:rPr>
          <w:sz w:val="20"/>
          <w:szCs w:val="20"/>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Enhancement and cost-out of our current PB3 PowerBuoy® product and supporting systems through customary product life cycle management.</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 and development of a single point mooring umbilical solution that not only allows for quick deployment of the PowerBuoy® but also enables delivery of power and communication capabilities to customer payloads which are external to the PowerBuoy®, and which may reside in the water column, on the seabed, or both.</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design, development and implementation of an advanced buoy controller that significantly reduces power consumption and continues to address buoy reliability, and supports high computational speeds needed for the PowerBuoy® monitoring and control.</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previously stated, the PB3 has achieved commercial status through a series of design iterations which focused on improving its reliability and survivability in the ocean environment. Though the PB3 will continue to undergo further enhancements through customary product life cycle management, we believe the PB3 has achieved a maturity level for immediate commercial use. We believe that the PB3 will generate and store sufficient power to address various application requirements in our target markets. Our product development and engineering efforts are focused, in part, on increasing the energy output and efficiency of our PowerBuoys®. If we are able to do so, we believe the PowerBuoy® would be useful as part of broader solutions where cost savings and additional power are required by our potential customers and would also offer enabling capabilities which may not have been previously available to customers. We continue to explore opportunities in these target markets. We believe that by demonstrating the capability of our PowerBuoy® in oil &amp; gas, fishery protection, marine monitoring, and telecommunications applications, we can advance our product and services and gain further adoption from our target markets. We continue to improve design and manufacturing to enhance our ability to reduce solution costs, improve customer value, displace incumbent solutions, and become the preferred power source for new and existing applications in our target markets.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utilizing our experience with multiple commercial PowerBuoy® deployments globally to continually improve our solutions so that we have higher energy efficiency, additional mooring capability, platform flexibility and high reliability. For example, the redesigned PB3 leverages our knowledge base from past designs to incorporate new design features which we believe will improve its reliability and efficiency.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In fiscal year 2019, the Company announced several new product offerings including hybrid PowerBuoy®, subsea battery systems and support services.</w:t>
      </w:r>
    </w:p>
    <w:p>
      <w:pPr>
        <w:spacing w:after="0" w:line="248" w:lineRule="exact"/>
        <w:rPr>
          <w:sz w:val="20"/>
          <w:szCs w:val="20"/>
          <w:color w:val="auto"/>
        </w:rPr>
      </w:pPr>
    </w:p>
    <w:p>
      <w:pPr>
        <w:jc w:val="both"/>
        <w:ind w:left="1060" w:hanging="323"/>
        <w:spacing w:after="0" w:line="252"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Hybrid PowerBuoy® - </w:t>
      </w:r>
      <w:r>
        <w:rPr>
          <w:rFonts w:ascii="Arial" w:cs="Arial" w:eastAsia="Arial" w:hAnsi="Arial"/>
          <w:sz w:val="18"/>
          <w:szCs w:val="18"/>
          <w:color w:val="auto"/>
        </w:rPr>
        <w:t>The Company is in the process of creating a hybrid PowerBuoy® that will be a smaller solar powered and liquid-fueled surface buoy, compared to the wave power generating PB3 PowerBuoy®, capable of providing reliable power in remote offshore locations. This product is to be highly complementary to the PB3 PowerBuoy® by providing the Company the opportunity to address a broader spectrum of customer deployment needs, including low-wave environments, with the potential for greater Company integration within each customer project. It is primarily intended for shorter term deployment applications such as electric remotely operated vehicles (“eROV’s”) and autonomous underwater vehicles (“AUV’s”) inspections and short-term maintenance, topside surveillance and communications, and subsea equipment and controls. The hybrid PowerBuoy® is anticipated to be a lightweight, quickly deployable and cost-effective solution. The design is also anticipated to have a high payload capacity for communications and surveillance, with the capability of being tethered to subsea payloads and battery packs, or with a conventional anchor mooring system. The Company is designing the hybrid PowerBuoy® with a Stirling engine to outperform traditional diesel buoys, which we believe have more frequent service and refueling intervals and higher carbon intensities. We believe the hybrid PowerBuoy® will be able to operate in an environmentally safer manner using more robust fuels, while operating over a wider temperature range and more broad ocean wave conditions than existing diesel buoys.</w:t>
      </w:r>
    </w:p>
    <w:p>
      <w:pPr>
        <w:spacing w:after="0" w:line="198" w:lineRule="exact"/>
        <w:rPr>
          <w:rFonts w:ascii="Arial" w:cs="Arial" w:eastAsia="Arial" w:hAnsi="Arial"/>
          <w:sz w:val="18"/>
          <w:szCs w:val="18"/>
          <w:color w:val="auto"/>
        </w:rPr>
      </w:pPr>
    </w:p>
    <w:p>
      <w:pPr>
        <w:jc w:val="both"/>
        <w:ind w:left="1060" w:hanging="323"/>
        <w:spacing w:after="0" w:line="25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Subsea battery systems – The Company is in the process of creating a sea floor energy storage solution for remote offshore operations. These subsea battery systems will contain lithium ion batteries, which provide high power density, to supply power that can enable subsea equipment, sensors, communications, AUV’s and eROV’s recharge. The Company’s PB3 PowerBuoy® is complimentary to subsea battery systems by providing a means for recharging during longer term deployments, or the subsea battery systems can be used independently for shorter term deployments. Ideal for many remote offshore customer applications, these subsea battery systems are anticipated to be high performance, cost-efficient, and quickly deployable. Given the Company’s expertise in offshore energy storage systems from existing PB3 PowerBuoy® technology, the subsea battery solutions will provide an opportunity for the Company to differentiate through technical, cost and delivery leadership.</w:t>
      </w:r>
    </w:p>
    <w:p>
      <w:pPr>
        <w:spacing w:after="0" w:line="187" w:lineRule="exact"/>
        <w:rPr>
          <w:rFonts w:ascii="Arial" w:cs="Arial" w:eastAsia="Arial" w:hAnsi="Arial"/>
          <w:sz w:val="18"/>
          <w:szCs w:val="18"/>
          <w:color w:val="auto"/>
        </w:rPr>
      </w:pPr>
    </w:p>
    <w:p>
      <w:pPr>
        <w:jc w:val="both"/>
        <w:ind w:left="1060" w:hanging="323"/>
        <w:spacing w:after="0" w:line="261"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Support services </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offers customers a comprehensive range of support services tailored to meeting specific client needs. These support services include innovation services, remote monitoring, extended service agreements, customization and pre-packaged payload options, engineering-design-testing services, mooring design, and marine services. These same support services will be extended to the new subsea battery solution and hybrid PowerBuoy®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Activities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continue to seek new strategic relationships, and further develop our existing partnerships, with other companies that have developed or are developing in-ocean applications requiring a persistent source of power that is also capable of real time data collection, processing and communication, to address potential customer needs. We are also expanding our relationships with deployment, service and maintenance companies.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shows the percentage of our revenues derived from customers whose revenues accounted for at least 10% of our consolidated revenues for at least one of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Three months ended January 31,</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 January 31,</w:t>
            </w:r>
          </w:p>
        </w:tc>
      </w:tr>
      <w:tr>
        <w:trPr>
          <w:trHeight w:val="237"/>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190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4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Eni S.p.A.</w:t>
            </w:r>
          </w:p>
        </w:tc>
        <w:tc>
          <w:tcPr>
            <w:tcW w:w="10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1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53%</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Premier Oil UK Limited</w:t>
            </w:r>
          </w:p>
        </w:tc>
        <w:tc>
          <w:tcPr>
            <w:tcW w:w="1040" w:type="dxa"/>
            <w:vAlign w:val="bottom"/>
          </w:tcPr>
          <w:p>
            <w:pPr>
              <w:spacing w:after="0"/>
              <w:rPr>
                <w:sz w:val="18"/>
                <w:szCs w:val="18"/>
                <w:color w:val="auto"/>
              </w:rPr>
            </w:pPr>
          </w:p>
        </w:tc>
        <w:tc>
          <w:tcPr>
            <w:tcW w:w="78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1120" w:type="dxa"/>
            <w:vAlign w:val="bottom"/>
          </w:tcPr>
          <w:p>
            <w:pPr>
              <w:spacing w:after="0"/>
              <w:rPr>
                <w:sz w:val="18"/>
                <w:szCs w:val="18"/>
                <w:color w:val="auto"/>
              </w:rPr>
            </w:pPr>
          </w:p>
        </w:tc>
        <w:tc>
          <w:tcPr>
            <w:tcW w:w="680" w:type="dxa"/>
            <w:vAlign w:val="bottom"/>
            <w:gridSpan w:val="2"/>
          </w:tcPr>
          <w:p>
            <w:pPr>
              <w:jc w:val="right"/>
              <w:ind w:right="130"/>
              <w:spacing w:after="0"/>
              <w:rPr>
                <w:sz w:val="20"/>
                <w:szCs w:val="20"/>
                <w:color w:val="auto"/>
              </w:rPr>
            </w:pPr>
            <w:r>
              <w:rPr>
                <w:rFonts w:ascii="Arial" w:cs="Arial" w:eastAsia="Arial" w:hAnsi="Arial"/>
                <w:sz w:val="18"/>
                <w:szCs w:val="18"/>
                <w:color w:val="auto"/>
              </w:rPr>
              <w:t>47%</w:t>
            </w:r>
          </w:p>
        </w:tc>
        <w:tc>
          <w:tcPr>
            <w:tcW w:w="1820" w:type="dxa"/>
            <w:vAlign w:val="bottom"/>
            <w:gridSpan w:val="2"/>
          </w:tcPr>
          <w:p>
            <w:pPr>
              <w:jc w:val="right"/>
              <w:ind w:right="150"/>
              <w:spacing w:after="0"/>
              <w:rPr>
                <w:sz w:val="20"/>
                <w:szCs w:val="20"/>
                <w:color w:val="auto"/>
              </w:rPr>
            </w:pPr>
            <w:r>
              <w:rPr>
                <w:rFonts w:ascii="Arial" w:cs="Arial" w:eastAsia="Arial" w:hAnsi="Arial"/>
                <w:sz w:val="18"/>
                <w:szCs w:val="18"/>
                <w:color w:val="auto"/>
              </w:rPr>
              <w:t>11%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EGP</w:t>
            </w:r>
          </w:p>
        </w:tc>
        <w:tc>
          <w:tcPr>
            <w:tcW w:w="10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93%</w:t>
            </w:r>
          </w:p>
        </w:tc>
        <w:tc>
          <w:tcPr>
            <w:tcW w:w="1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42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0"/>
                <w:szCs w:val="20"/>
                <w:color w:val="auto"/>
              </w:rPr>
            </w:pPr>
          </w:p>
        </w:tc>
        <w:tc>
          <w:tcPr>
            <w:tcW w:w="780" w:type="dxa"/>
            <w:vAlign w:val="bottom"/>
            <w:gridSpan w:val="2"/>
          </w:tcPr>
          <w:p>
            <w:pPr>
              <w:jc w:val="right"/>
              <w:ind w:right="150"/>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20"/>
                <w:szCs w:val="20"/>
                <w:color w:val="auto"/>
              </w:rPr>
            </w:pPr>
          </w:p>
        </w:tc>
        <w:tc>
          <w:tcPr>
            <w:tcW w:w="680" w:type="dxa"/>
            <w:vAlign w:val="bottom"/>
            <w:gridSpan w:val="2"/>
          </w:tcPr>
          <w:p>
            <w:pPr>
              <w:jc w:val="right"/>
              <w:ind w:right="130"/>
              <w:spacing w:after="0"/>
              <w:rPr>
                <w:sz w:val="20"/>
                <w:szCs w:val="20"/>
                <w:color w:val="auto"/>
              </w:rPr>
            </w:pPr>
            <w:r>
              <w:rPr>
                <w:rFonts w:ascii="Arial" w:cs="Arial" w:eastAsia="Arial" w:hAnsi="Arial"/>
                <w:sz w:val="18"/>
                <w:szCs w:val="18"/>
                <w:color w:val="auto"/>
              </w:rPr>
              <w:t>0%</w:t>
            </w:r>
          </w:p>
        </w:tc>
        <w:tc>
          <w:tcPr>
            <w:tcW w:w="1820" w:type="dxa"/>
            <w:vAlign w:val="bottom"/>
            <w:gridSpan w:val="2"/>
          </w:tcPr>
          <w:p>
            <w:pPr>
              <w:jc w:val="right"/>
              <w:ind w:right="150"/>
              <w:spacing w:after="0"/>
              <w:rPr>
                <w:sz w:val="20"/>
                <w:szCs w:val="20"/>
                <w:color w:val="auto"/>
              </w:rPr>
            </w:pPr>
            <w:r>
              <w:rPr>
                <w:rFonts w:ascii="Arial" w:cs="Arial" w:eastAsia="Arial" w:hAnsi="Arial"/>
                <w:sz w:val="18"/>
                <w:szCs w:val="18"/>
                <w:color w:val="auto"/>
              </w:rPr>
              <w:t>11%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40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order to achieve success in commercializing our products, we must expand our customer base and obtain commercial contracts to lease or sell our PowerBuoy® and related services to customers. Our potential customer base for our PowerBuoys® includes various public and private entities, and agencies that require remote offshore power. To date, substantially all of our revenue producing contracts have been with a small number of customers under contracts to fund a portion of the costs of our operational efforts to develop and improve our technology, validate our product through ocean and laboratory testing, and business development activities with potential commercial customers. Our goal in the future is that an increased portion of our revenues will be from the lease or sale of our products and related maintenance and other services.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Customers</w:t>
      </w:r>
    </w:p>
    <w:p>
      <w:pPr>
        <w:spacing w:after="0" w:line="225" w:lineRule="exact"/>
        <w:rPr>
          <w:sz w:val="20"/>
          <w:szCs w:val="20"/>
          <w:color w:val="auto"/>
        </w:rPr>
      </w:pPr>
    </w:p>
    <w:p>
      <w:pPr>
        <w:jc w:val="both"/>
        <w:ind w:left="820" w:hanging="326"/>
        <w:spacing w:after="0" w:line="259"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September 2019, we entered into two contracts with subsidiaries of EGP which include the sale of a PB3 PowerBuoy® and the development and supply of a turn-key integrated Open Sea Lab (“OSL”) that will be the Company’s first deployment off the coast of Chile. The contract is a result of a detailed feasibility study of the PowerBuoy® as an offshore autonomous platform hosting oceanographic sensor systems conducted in September 2018.</w:t>
      </w:r>
    </w:p>
    <w:p>
      <w:pPr>
        <w:spacing w:after="0" w:line="186"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April 2019, we entered into an agreement with a leading oil and gas operator to conduct a detailed feasibility study of using the Company’s technology to monitor subsea wells.</w:t>
      </w:r>
    </w:p>
    <w:p>
      <w:pPr>
        <w:spacing w:after="0" w:line="17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February 2019, we entered into a contract with the U.S. Navy to carry out the first phase of a project to design and develop a buoy mooring system which incorporates fiber optics for the transmission of subsea sensor data to airplanes, ships, and satellites.</w:t>
      </w:r>
    </w:p>
    <w:p>
      <w:pPr>
        <w:spacing w:after="0" w:line="17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August 2018, we entered into an agreement with EGP to evaluate a PB3 deployment along the coast of Chile through a detailed feasibility study of the PowerBuoy® as an offshore autonomous platform hosting oceanographic sensor systems.</w:t>
      </w:r>
    </w:p>
    <w:p>
      <w:pPr>
        <w:spacing w:after="0" w:line="170" w:lineRule="exact"/>
        <w:rPr>
          <w:rFonts w:ascii="Arial" w:cs="Arial" w:eastAsia="Arial" w:hAnsi="Arial"/>
          <w:sz w:val="18"/>
          <w:szCs w:val="18"/>
          <w:color w:val="auto"/>
        </w:rPr>
      </w:pPr>
    </w:p>
    <w:p>
      <w:pPr>
        <w:jc w:val="both"/>
        <w:ind w:left="820" w:hanging="326"/>
        <w:spacing w:after="0" w:line="272"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June 2018, we entered into a contract with PMO for the lease of a PB3 to be deployed in one of PMO’s offshore fields in the North Sea. During its deployment, the PB3 PowerBuoy® provided unmanned exclusion zone monitoring service. With an opportunistic marine weather window that allowed for offshore equipment retrievals, in early March 2020 the Company and Premier Oil retrieved the PB3 PowerBuoy® and shipped it to back to the Company’s headquarters in Monroe, New Jersey. The PB3 PowerBuoy® will be serviced to prepare for one of multiple upcoming commercial opportunities. In addition, the Company will perform an inspection and review of the system’s performance with the intention to develop a Phase II deployment scope with Premier Oil. As a result of this, it impacted revenue recognized for the third quarter, 2020 and removed the remaining lease payments from fourth quarter fiscal 2020 backlog.</w:t>
      </w:r>
    </w:p>
    <w:p>
      <w:pPr>
        <w:spacing w:after="0" w:line="177" w:lineRule="exact"/>
        <w:rPr>
          <w:rFonts w:ascii="Arial" w:cs="Arial" w:eastAsia="Arial" w:hAnsi="Arial"/>
          <w:sz w:val="17"/>
          <w:szCs w:val="17"/>
          <w:color w:val="auto"/>
        </w:rPr>
      </w:pPr>
    </w:p>
    <w:p>
      <w:pPr>
        <w:ind w:left="8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March 2018, we entered into an agreement with Eni that provides for a minimum 24-month contract that includes an 18-month PB3 lease and associated project management.</w:t>
      </w:r>
    </w:p>
    <w:p>
      <w:pPr>
        <w:spacing w:after="0" w:line="170" w:lineRule="exact"/>
        <w:rPr>
          <w:rFonts w:ascii="Arial" w:cs="Arial" w:eastAsia="Arial" w:hAnsi="Arial"/>
          <w:sz w:val="18"/>
          <w:szCs w:val="18"/>
          <w:color w:val="auto"/>
        </w:rPr>
      </w:pPr>
    </w:p>
    <w:p>
      <w:pPr>
        <w:jc w:val="both"/>
        <w:ind w:left="820" w:hanging="326"/>
        <w:spacing w:after="0" w:line="275"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September 2016, we entered into a contract with U.S. Department of Defense Office of Naval Research (“ONR”) totaling approximately $0.2 million to carry out the first phase of a project which focuses on the initial concept design and development of a mass-on-spring PTO-based PowerBuoy® leveraging a number of OPT patents covering such a technology. If successful, this device is expected to be able to respond to the unique set of requirements expected in various military marine applications. We completed the Phase 2 BASE Effort work under the contract which focused on the initial concept design and development of a mass-on-spring PTO-based PowerBuoy®.</w:t>
      </w:r>
    </w:p>
    <w:p>
      <w:pPr>
        <w:spacing w:after="0" w:line="176" w:lineRule="exact"/>
        <w:rPr>
          <w:rFonts w:ascii="Arial" w:cs="Arial" w:eastAsia="Arial" w:hAnsi="Arial"/>
          <w:sz w:val="17"/>
          <w:szCs w:val="17"/>
          <w:color w:val="auto"/>
        </w:rPr>
      </w:pPr>
    </w:p>
    <w:p>
      <w:pPr>
        <w:jc w:val="both"/>
        <w:ind w:left="820" w:hanging="326"/>
        <w:spacing w:after="0" w:line="288"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worked with MES (from 2010 to current) to develop several PowerBuoy® projects in Japan. Historically, our agreements with MES have provided for MES to reimburse us for specific costs associated with research, development and deployment of our PowerBuoy® product. In March 2016, we entered into a letter of intent with MES to conduct funded pre-work tasks and to negotiate a definitive agreement that would allow for the lease of the PB3 for a project off the coast of Kozushima Island, Japan following a planned stage gate review. Stage-gate reviews are used in product development to gather key information needed to advance the project to the next gate or decision point. This process is a generally accepted industry practice and has been utilized by other customers such as the DOE. A final contract totaling nearly $1.0 million was negotiated and finalized with MES in May 2016 that included engineering and logistics support, and the lease of our PB3 for a 7-month period, its ocean deployment, associated data collection and monitoring of its performance. Upon the completion of the engineering pre-work and a successful stage gate review, the PB3 was shipped to Japan and was deployed off Kozushima Island from April to September 2017. The MES lease concluded in September 2017 and the PB3 was shipped back to New Jersey.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Partnerships</w:t>
      </w:r>
    </w:p>
    <w:p>
      <w:pPr>
        <w:spacing w:after="0" w:line="225" w:lineRule="exact"/>
        <w:rPr>
          <w:sz w:val="20"/>
          <w:szCs w:val="20"/>
          <w:color w:val="auto"/>
        </w:rPr>
      </w:pPr>
    </w:p>
    <w:p>
      <w:pPr>
        <w:jc w:val="both"/>
        <w:ind w:left="820" w:hanging="326"/>
        <w:spacing w:after="0" w:line="259"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May 2019, we signed a memorandum of understanding with Modus Seabed Intervention Ltd. (“Modus”). for the purpose of developing and delivering commercial market solutions that offer a step-change in innovation and market value against conventional methodologies, specifically through development and marketing of a combined Hybrid Autonomous Underwater Vehicle (HAUV) charging station which will be able to utilize the PowerBuoy® system for topside charging and communications.</w:t>
      </w:r>
    </w:p>
    <w:p>
      <w:pPr>
        <w:spacing w:after="0" w:line="186"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April 2019, we signed a memorandum of understanding with Acteon Field Life Service Ltd. (“Acteon”) to develop, explore and exploit mutual opportunities in the global oil and gas and renewable markets.</w:t>
      </w:r>
    </w:p>
    <w:p>
      <w:pPr>
        <w:spacing w:after="0" w:line="170"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January 2019, we entered into a Joint System Solution Development and Marketing Agreement with Saab Seaeye Ltd. (“Saab”). The agreement anticipates a preliminary focus on AUV and eROV charging and communications systems.</w:t>
      </w:r>
    </w:p>
    <w:p>
      <w:pPr>
        <w:spacing w:after="0" w:line="170" w:lineRule="exact"/>
        <w:rPr>
          <w:rFonts w:ascii="Arial" w:cs="Arial" w:eastAsia="Arial" w:hAnsi="Arial"/>
          <w:sz w:val="18"/>
          <w:szCs w:val="18"/>
          <w:color w:val="auto"/>
        </w:rPr>
      </w:pPr>
    </w:p>
    <w:p>
      <w:pPr>
        <w:jc w:val="both"/>
        <w:ind w:left="820" w:hanging="326"/>
        <w:spacing w:after="0" w:line="263"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December 2018, we signed a letter of intent to enter into a non-exclusive long-term supply agreement with NEC Energy Solutions (“NEC ES”), a pioneer and global leader in utility scale energy storage. Under the terms of the supply agreement, NEC ES will be a supplier of lithium ion batteries for our subsea battery systems.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continue to commercialize our PB3 for use in remote offshore power and real-time data communications applications, and in order to achieve this goal, we are pursuing the following business objectives:</w:t>
      </w:r>
    </w:p>
    <w:p>
      <w:pPr>
        <w:spacing w:after="0" w:line="170" w:lineRule="exact"/>
        <w:rPr>
          <w:sz w:val="20"/>
          <w:szCs w:val="20"/>
          <w:color w:val="auto"/>
        </w:rPr>
      </w:pPr>
    </w:p>
    <w:p>
      <w:pPr>
        <w:jc w:val="both"/>
        <w:ind w:left="680" w:hanging="335"/>
        <w:spacing w:after="0" w:line="270" w:lineRule="auto"/>
        <w:tabs>
          <w:tab w:leader="none" w:pos="68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Sell and/or lease PB3 PowerBuoy® as part of solution offerings. </w:t>
      </w:r>
      <w:r>
        <w:rPr>
          <w:rFonts w:ascii="Arial" w:cs="Arial" w:eastAsia="Arial" w:hAnsi="Arial"/>
          <w:sz w:val="17"/>
          <w:szCs w:val="17"/>
          <w:color w:val="auto"/>
        </w:rPr>
        <w:t>We believe our PB3 PowerBuoys® are well suited to enable many unmanned,</w:t>
      </w:r>
      <w:r>
        <w:rPr>
          <w:rFonts w:ascii="Arial" w:cs="Arial" w:eastAsia="Arial" w:hAnsi="Arial"/>
          <w:sz w:val="17"/>
          <w:szCs w:val="17"/>
          <w:i w:val="1"/>
          <w:iCs w:val="1"/>
          <w:color w:val="auto"/>
        </w:rPr>
        <w:t xml:space="preserve"> </w:t>
      </w:r>
      <w:r>
        <w:rPr>
          <w:rFonts w:ascii="Arial" w:cs="Arial" w:eastAsia="Arial" w:hAnsi="Arial"/>
          <w:sz w:val="17"/>
          <w:szCs w:val="17"/>
          <w:color w:val="auto"/>
        </w:rPr>
        <w:t>autonomous (non-grid connected) offshore solutions, such as topside and subsea surveillance and communications, subsea equipment monitoring, early warning systems platform and subsea power and buffering, and weather and climate data collection. We have investigated and realized market demand for some of these solutions leveraging both PowerBuoy® sales and leases within our selected markets, and we intend to continue to sell and lease PowerBuoys® to these markets as part of these broader solutions. Additionally, we intend to provide services associated with our solution offerings such as paid engineering studies, value-added engineering, maintenance, remote monitoring and diagnostics, application engineering, planning, training, project management, and marine and logistics support required for our solution life-cycles. We continue to increase our commercial capabilities through new hires in sales and application support, and through engagement of expert market consultants in various geographies.</w:t>
      </w:r>
    </w:p>
    <w:p>
      <w:pPr>
        <w:spacing w:after="0" w:line="180" w:lineRule="exact"/>
        <w:rPr>
          <w:rFonts w:ascii="Arial" w:cs="Arial" w:eastAsia="Arial" w:hAnsi="Arial"/>
          <w:sz w:val="17"/>
          <w:szCs w:val="17"/>
          <w:i w:val="1"/>
          <w:iCs w:val="1"/>
          <w:color w:val="auto"/>
        </w:rPr>
      </w:pPr>
    </w:p>
    <w:p>
      <w:pPr>
        <w:jc w:val="both"/>
        <w:ind w:left="680" w:hanging="335"/>
        <w:spacing w:after="0" w:line="269" w:lineRule="auto"/>
        <w:tabs>
          <w:tab w:leader="none" w:pos="68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Expand product offering by adding new complimentary products that are cost efficient and designed for shorter and faster deployments, which will create a system solutions approach for our customers. </w:t>
      </w:r>
      <w:r>
        <w:rPr>
          <w:rFonts w:ascii="Arial" w:cs="Arial" w:eastAsia="Arial" w:hAnsi="Arial"/>
          <w:sz w:val="17"/>
          <w:szCs w:val="17"/>
          <w:color w:val="auto"/>
        </w:rPr>
        <w:t>We are currently developing two new complementary products to our PB3, the hybrid</w:t>
      </w:r>
      <w:r>
        <w:rPr>
          <w:rFonts w:ascii="Arial" w:cs="Arial" w:eastAsia="Arial" w:hAnsi="Arial"/>
          <w:sz w:val="17"/>
          <w:szCs w:val="17"/>
          <w:i w:val="1"/>
          <w:iCs w:val="1"/>
          <w:color w:val="auto"/>
        </w:rPr>
        <w:t xml:space="preserve"> </w:t>
      </w:r>
      <w:r>
        <w:rPr>
          <w:rFonts w:ascii="Arial" w:cs="Arial" w:eastAsia="Arial" w:hAnsi="Arial"/>
          <w:sz w:val="17"/>
          <w:szCs w:val="17"/>
          <w:color w:val="auto"/>
        </w:rPr>
        <w:t>PowerBuoy® and subsea battery solutions. These products build on our existing expertise in offshore power systems and are targeted for a near term deployment. The hybrid PowerBuoy® is to be highly complementary to the PB3 by providing the Company the opportunity to address a broader spectrum of customer deployment needs, including low-wave environments, with the potential for greater Company integration within each customer project. The hybrid PowerBuoy® is primarily intended for shorter term deployment applications such as eROV and AUV inspections and short-term maintenance, topside surveillance and communications, and subsea equipment and controls. The subsea battery solutions are expected to offer the possibility of creating a sea floor energy storage solution for remote offshore operations. These subsea battery systems will contain lithium ion batteries, which provide high power density to supply power that can enable subsea equipment, sensors, communications, AUVs and eROV recharge. Ideal for many remote offshore customer applications, these subsea battery systems are anticipated to be high performance, cost-efficient, and quickly deployable.</w:t>
      </w:r>
    </w:p>
    <w:p>
      <w:pPr>
        <w:spacing w:after="0" w:line="181" w:lineRule="exact"/>
        <w:rPr>
          <w:rFonts w:ascii="Arial" w:cs="Arial" w:eastAsia="Arial" w:hAnsi="Arial"/>
          <w:sz w:val="17"/>
          <w:szCs w:val="17"/>
          <w:i w:val="1"/>
          <w:iCs w:val="1"/>
          <w:color w:val="auto"/>
        </w:rPr>
      </w:pPr>
    </w:p>
    <w:p>
      <w:pPr>
        <w:jc w:val="both"/>
        <w:ind w:left="680" w:hanging="335"/>
        <w:spacing w:after="0" w:line="263" w:lineRule="auto"/>
        <w:tabs>
          <w:tab w:leader="none" w:pos="68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Concentrate sales and marketing efforts in specific geographic markets. </w:t>
      </w:r>
      <w:r>
        <w:rPr>
          <w:rFonts w:ascii="Arial" w:cs="Arial" w:eastAsia="Arial" w:hAnsi="Arial"/>
          <w:sz w:val="18"/>
          <w:szCs w:val="18"/>
          <w:color w:val="auto"/>
        </w:rPr>
        <w:t>We are currently focusing our marketing efforts on parts of North and</w:t>
      </w:r>
      <w:r>
        <w:rPr>
          <w:rFonts w:ascii="Arial" w:cs="Arial" w:eastAsia="Arial" w:hAnsi="Arial"/>
          <w:sz w:val="18"/>
          <w:szCs w:val="18"/>
          <w:i w:val="1"/>
          <w:iCs w:val="1"/>
          <w:color w:val="auto"/>
        </w:rPr>
        <w:t xml:space="preserve"> </w:t>
      </w:r>
      <w:r>
        <w:rPr>
          <w:rFonts w:ascii="Arial" w:cs="Arial" w:eastAsia="Arial" w:hAnsi="Arial"/>
          <w:sz w:val="18"/>
          <w:szCs w:val="18"/>
          <w:color w:val="auto"/>
        </w:rPr>
        <w:t>South America, Europe and Asia. We believe that each of these areas has sizable end market opportunities, political and economic stability, and high levels of industrialization and economic development.</w:t>
      </w:r>
    </w:p>
    <w:p>
      <w:pPr>
        <w:spacing w:after="0" w:line="183" w:lineRule="exact"/>
        <w:rPr>
          <w:rFonts w:ascii="Arial" w:cs="Arial" w:eastAsia="Arial" w:hAnsi="Arial"/>
          <w:sz w:val="18"/>
          <w:szCs w:val="18"/>
          <w:i w:val="1"/>
          <w:iCs w:val="1"/>
          <w:color w:val="auto"/>
        </w:rPr>
      </w:pPr>
    </w:p>
    <w:p>
      <w:pPr>
        <w:jc w:val="both"/>
        <w:ind w:left="680" w:right="20" w:hanging="335"/>
        <w:spacing w:after="0" w:line="259" w:lineRule="auto"/>
        <w:tabs>
          <w:tab w:leader="none" w:pos="68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Expand our relationships in key market areas through strategic partnerships and collaborations. </w:t>
      </w:r>
      <w:r>
        <w:rPr>
          <w:rFonts w:ascii="Arial" w:cs="Arial" w:eastAsia="Arial" w:hAnsi="Arial"/>
          <w:sz w:val="18"/>
          <w:szCs w:val="18"/>
          <w:color w:val="auto"/>
        </w:rPr>
        <w:t>We believe that strategic partners are an</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part of commercializing a new product. Partnerships and collaborations can be used to improve the development of overall integrated solutions, create new market channels, expand commercial know-how and geographic footprint, and bolster our product delivery capabilities. We believe that offering a turn-key solution, and not just power, is key to securing long term success.</w:t>
      </w:r>
    </w:p>
    <w:p>
      <w:pPr>
        <w:spacing w:after="0" w:line="186" w:lineRule="exact"/>
        <w:rPr>
          <w:rFonts w:ascii="Arial" w:cs="Arial" w:eastAsia="Arial" w:hAnsi="Arial"/>
          <w:sz w:val="18"/>
          <w:szCs w:val="18"/>
          <w:i w:val="1"/>
          <w:iCs w:val="1"/>
          <w:color w:val="auto"/>
        </w:rPr>
      </w:pPr>
    </w:p>
    <w:p>
      <w:pPr>
        <w:jc w:val="both"/>
        <w:ind w:left="680" w:hanging="335"/>
        <w:spacing w:after="0" w:line="259" w:lineRule="auto"/>
        <w:tabs>
          <w:tab w:leader="none" w:pos="68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Commercial collaborations. </w:t>
      </w:r>
      <w:r>
        <w:rPr>
          <w:rFonts w:ascii="Arial" w:cs="Arial" w:eastAsia="Arial" w:hAnsi="Arial"/>
          <w:sz w:val="18"/>
          <w:szCs w:val="18"/>
          <w:color w:val="auto"/>
        </w:rPr>
        <w:t>We believe that an important element of our business strategy is to collaborate with other organizations to leverage</w:t>
      </w:r>
      <w:r>
        <w:rPr>
          <w:rFonts w:ascii="Arial" w:cs="Arial" w:eastAsia="Arial" w:hAnsi="Arial"/>
          <w:sz w:val="18"/>
          <w:szCs w:val="18"/>
          <w:i w:val="1"/>
          <w:iCs w:val="1"/>
          <w:color w:val="auto"/>
        </w:rPr>
        <w:t xml:space="preserve"> </w:t>
      </w:r>
      <w:r>
        <w:rPr>
          <w:rFonts w:ascii="Arial" w:cs="Arial" w:eastAsia="Arial" w:hAnsi="Arial"/>
          <w:sz w:val="18"/>
          <w:szCs w:val="18"/>
          <w:color w:val="auto"/>
        </w:rPr>
        <w:t>our combined expertise, market presence and access, and core competences across key markets. We have formed such a relationship with several well-known groups, including Modus, Saab, NEC ES, Acteon, MES, PMO and Eni. We continue to seek other opportunities to collaborate with application experts from within our selected markets.</w:t>
      </w:r>
    </w:p>
    <w:p>
      <w:pPr>
        <w:spacing w:after="0" w:line="186" w:lineRule="exact"/>
        <w:rPr>
          <w:rFonts w:ascii="Arial" w:cs="Arial" w:eastAsia="Arial" w:hAnsi="Arial"/>
          <w:sz w:val="18"/>
          <w:szCs w:val="18"/>
          <w:i w:val="1"/>
          <w:iCs w:val="1"/>
          <w:color w:val="auto"/>
        </w:rPr>
      </w:pPr>
    </w:p>
    <w:p>
      <w:pPr>
        <w:jc w:val="both"/>
        <w:ind w:left="680" w:hanging="335"/>
        <w:spacing w:after="0" w:line="257" w:lineRule="auto"/>
        <w:tabs>
          <w:tab w:leader="none" w:pos="68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Outsourcing of fabrication, deployment and service support</w:t>
      </w:r>
      <w:r>
        <w:rPr>
          <w:rFonts w:ascii="Arial" w:cs="Arial" w:eastAsia="Arial" w:hAnsi="Arial"/>
          <w:sz w:val="18"/>
          <w:szCs w:val="18"/>
          <w:color w:val="auto"/>
        </w:rPr>
        <w:t>. We outsource all fabrication, anchoring, mooring, cabling supply, and in most cases</w:t>
      </w:r>
      <w:r>
        <w:rPr>
          <w:rFonts w:ascii="Arial" w:cs="Arial" w:eastAsia="Arial" w:hAnsi="Arial"/>
          <w:sz w:val="18"/>
          <w:szCs w:val="18"/>
          <w:i w:val="1"/>
          <w:iCs w:val="1"/>
          <w:color w:val="auto"/>
        </w:rPr>
        <w:t xml:space="preserve"> </w:t>
      </w:r>
      <w:r>
        <w:rPr>
          <w:rFonts w:ascii="Arial" w:cs="Arial" w:eastAsia="Arial" w:hAnsi="Arial"/>
          <w:sz w:val="18"/>
          <w:szCs w:val="18"/>
          <w:color w:val="auto"/>
        </w:rPr>
        <w:t>deployment of our PowerBuoy® in order to minimize our capital requirements as we scale our business. Our PTO is a proprietary subsystem and is assembled and tested at our facility. We believe this distributed manufacturing and assembly approach enables us to focus on our core competencies to ensure a cost-effective product by leveraging a larger more established supply base. We also continue to seek strategic partnerships with regard to servicing of our PB3.</w:t>
      </w:r>
    </w:p>
    <w:p>
      <w:pPr>
        <w:spacing w:after="0" w:line="187" w:lineRule="exact"/>
        <w:rPr>
          <w:rFonts w:ascii="Arial" w:cs="Arial" w:eastAsia="Arial" w:hAnsi="Arial"/>
          <w:sz w:val="18"/>
          <w:szCs w:val="18"/>
          <w:i w:val="1"/>
          <w:iCs w:val="1"/>
          <w:color w:val="auto"/>
        </w:rPr>
      </w:pPr>
    </w:p>
    <w:p>
      <w:pPr>
        <w:jc w:val="both"/>
        <w:ind w:left="680" w:hanging="335"/>
        <w:spacing w:after="0" w:line="279" w:lineRule="auto"/>
        <w:tabs>
          <w:tab w:leader="none" w:pos="68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PB3 cost reduction and PowerBuoy® product development. </w:t>
      </w:r>
      <w:r>
        <w:rPr>
          <w:rFonts w:ascii="Arial" w:cs="Arial" w:eastAsia="Arial" w:hAnsi="Arial"/>
          <w:sz w:val="17"/>
          <w:szCs w:val="17"/>
          <w:color w:val="auto"/>
        </w:rPr>
        <w:t>Our engineering efforts are focused on customer application development for PB3</w:t>
      </w:r>
      <w:r>
        <w:rPr>
          <w:rFonts w:ascii="Arial" w:cs="Arial" w:eastAsia="Arial" w:hAnsi="Arial"/>
          <w:sz w:val="17"/>
          <w:szCs w:val="17"/>
          <w:i w:val="1"/>
          <w:iCs w:val="1"/>
          <w:color w:val="auto"/>
        </w:rPr>
        <w:t xml:space="preserve"> </w:t>
      </w:r>
      <w:r>
        <w:rPr>
          <w:rFonts w:ascii="Arial" w:cs="Arial" w:eastAsia="Arial" w:hAnsi="Arial"/>
          <w:sz w:val="17"/>
          <w:szCs w:val="17"/>
          <w:color w:val="auto"/>
        </w:rPr>
        <w:t>sales, cost reduction of our PB3 and improving the energy output, reliability, maintenance interval and expected operating life of our PowerBuoys®. We continue to optimize manufacturability of our designs with a focus on cost competitiveness, and we believe we will be able to address new and different applications by developing new products that increase energy output.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Capital Raises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13, 2018, the Company entered into a common stock purchase agreement with Aspire Capital Fund, LLC (“Aspire Capital”) which provided that, subject to certain terms, conditions and limitations, Aspire Capital was committed to purchase up to an aggregate of $10.0 million of shares of the Company’s common stock over a 30-month period that does not exceed 19.99% of the outstanding common stock on the date of the agreement. The number of shares the Company could issue within the 19.99% limit is 183,591 shares. Shareholder approval was not needed since the number of common stock offered for sale in the common stock purchase agreement did not exceed 19.99% of the outstanding common stock on the date of the agreement. In consideration for entering into the agreement, the Company issued to Aspire Capital 21,429 shares of our common stock as a commitment fee. The agreement was cancelled on October 24, 2019, and as of that date, the Company had sold 162,162 shares of common stock with an aggregate market value of $949,259 at an average price of $5.85 per share pursuant to this common stock purchase agreement.</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24, 2019, the Company entered into a new common stock purchase agreement with Aspire Capital which provides that, subject to certain terms, conditions and limitations, Aspire Capital is committed to purchase up to an aggregate of $10.0 million of shares of the Company’s common stock over a 30-month period that does not exceed 19.99% of the outstanding common stock on the date of the agreement. The number of shares the Company can issue within the 19.99% limit is 1,219,010 shares including shares issued as a commitment fee. Shareholder approval is needed for sale of common stock over the 19.99% limit of the outstanding common stock on the date of the agreement. At the 2019 annual meeting of stockholders, held on December 20, 2019, the Company’s stockholders approved an additional 5,400,000 shares to be issued pursuant to the common stock purchase agreement. In consideration for entering into the agreement, the Company issued to Aspire Capital 194,805 shares of our common stock as a commitment fee. As of January 31, 2020, the Company has sold 1,024,205 shares of common stock with an aggregate market value of $901,206 at an average price of $0.88 per share pursuant to this common stock purchase agreement.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8, 2019, the Company sold 1,542,000 shares of common stock, which includes the sale of 642,000 shares of the Company’s common stock sold by the Company pursuant to the exercise, in full, of the over-allotment option by the underwriters in a public offering. As part of the public offering, the Company also sold prefunded warrants to purchase up to 3,385,680 shares of common stock and common warrants to purchase up to 4,927,680 shares of our common stock. The net proceeds to the Company from the offering were approximately $15.7 million, after deducting underwriter fees and offering expenses payable by the Company.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7, 2019, the Company entered into the 2019 ATM Facility with AGP under which the Company may issue and sell to or through AGP, acting as agent and/or principal, shares of the Company’s common stock having an aggregate offering price of up to $25 million. As of January 31, 2020, under the 2019 ATM Facility, the Company issued and sold 1,527,145 shares of its common stock with an aggregate market value of $2.9 million at an average price of $1.91 per share and paid AGP a sales commission of approximately $94,724 related to those shares.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January 31, 2020, the Company’s backlog was $1.4 million. As of April 30, 2019, backlog was $0.9 million. Our backlog can include unfilled firm orders for our products and services from commercial or governmental customers. If any of our contracts were to be terminated, our backlog would be reduced by the expected value of the remaining terms of such contract.</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has been for the support of our product development efforts. These revenues are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consolidated financial statements have been prepared assuming the Company will continue as a going concern. The Company has experienced substantial and recurring losses from operations, which losses have caused an accumulated deficit of $218.9 million at January 31, 2020. Based on the Company’s cash, cash equivalents and restricted cash balances as of January 31, 2020, the Company believes that it will be able to finance its capital requirements and operations into the quarter ending October 31, 2020. Among other things, the Company is currently evaluating a variety of different financing alternatives and we expect to continue to fund our business with sales of our securities and through generating revenue with customers.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report of our independent registered public accounting firm on our consolidated financial statements filed with our Annual Report on Form 10-K for the year ended April 30, 2019, contains an explanatory paragraph regarding our ability to continue as a going concern, based on, among other factors, that our ability to continue as a going concern is dependent upon our ability to raise additional external capital and increase revenues. These factors, among others, raise substantial doubt about our ability to continue as a going concern. Our consolidated financial statements do not include any adjustments that might result from the outcome of this uncertainty. We cannot assure you that we will be successful in our efforts to generate revenues, become profitable, raise additional outside capital or to continue as a going concern. If we are not successful in our efforts to raise additional capital sufficient to support our operations, we would be forced to cease operations, in which event investors would lose their entire investment in our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understand our financial statements, it is important to understand our critical accounting policies and estimates. We prepare our financial statements in accordance with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are critical to understanding our historical and future performance, as these policies relate to the more significant areas involving management’s judgments and estimates.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discussion of our critical accounting estimates, see the section entitled Item 7.- “Management’s Discussion and Analysis of Financial Condition and Results of Operations” in our Annual Report on Form 10-K for the year ended April 30, 2019. There were no material changes in our critical accounting estimates or accounting policies during the nine months ended January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of the 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nature of the Company’s contracts may give rise to several types of variable consideration,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both"/>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each of the nine-month periods ended January 31, 2020 and 2019, all of the Company’s contracts were classified as firm fixed price.</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regarding the breakdown of our revenues by customer for the three and nine months ended January 31, 2020 and 2019.</w:t>
      </w:r>
    </w:p>
    <w:p>
      <w:pPr>
        <w:sectPr>
          <w:pgSz w:w="11900" w:h="16838" w:orient="portrait"/>
          <w:cols w:equalWidth="0" w:num="1">
            <w:col w:w="11240"/>
          </w:cols>
          <w:pgMar w:left="320" w:top="665" w:right="339" w:bottom="1440" w:gutter="0" w:footer="0" w:header="0"/>
        </w:sectPr>
      </w:pPr>
    </w:p>
    <w:p>
      <w:pPr>
        <w:spacing w:after="0" w:line="180" w:lineRule="exact"/>
        <w:rPr>
          <w:sz w:val="20"/>
          <w:szCs w:val="20"/>
          <w:color w:val="auto"/>
        </w:rPr>
      </w:pPr>
    </w:p>
    <w:p>
      <w:pPr>
        <w:jc w:val="center"/>
        <w:ind w:left="4280"/>
        <w:spacing w:after="0"/>
        <w:rPr>
          <w:sz w:val="20"/>
          <w:szCs w:val="20"/>
          <w:color w:val="auto"/>
        </w:rPr>
      </w:pPr>
      <w:r>
        <w:rPr>
          <w:rFonts w:ascii="Arial" w:cs="Arial" w:eastAsia="Arial" w:hAnsi="Arial"/>
          <w:sz w:val="16"/>
          <w:szCs w:val="16"/>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31750</wp:posOffset>
            </wp:positionV>
            <wp:extent cx="20916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91690" cy="17145"/>
                    </a:xfrm>
                    <a:prstGeom prst="rect">
                      <a:avLst/>
                    </a:prstGeom>
                    <a:noFill/>
                  </pic:spPr>
                </pic:pic>
              </a:graphicData>
            </a:graphic>
          </wp:anchor>
        </w:drawing>
      </w:r>
    </w:p>
    <w:p>
      <w:pPr>
        <w:spacing w:after="0" w:line="53" w:lineRule="exact"/>
        <w:rPr>
          <w:sz w:val="20"/>
          <w:szCs w:val="20"/>
          <w:color w:val="auto"/>
        </w:rPr>
      </w:pPr>
    </w:p>
    <w:p>
      <w:pPr>
        <w:ind w:left="4840"/>
        <w:spacing w:after="0"/>
        <w:tabs>
          <w:tab w:leader="none" w:pos="664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auto"/>
        </w:rPr>
        <w:t>Nine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31750</wp:posOffset>
            </wp:positionV>
            <wp:extent cx="20402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40255" cy="17145"/>
                    </a:xfrm>
                    <a:prstGeom prst="rect">
                      <a:avLst/>
                    </a:prstGeom>
                    <a:noFill/>
                  </pic:spPr>
                </pic:pic>
              </a:graphicData>
            </a:graphic>
          </wp:anchor>
        </w:drawing>
      </w:r>
    </w:p>
    <w:p>
      <w:pPr>
        <w:spacing w:after="0" w:line="53" w:lineRule="exact"/>
        <w:rPr>
          <w:sz w:val="20"/>
          <w:szCs w:val="20"/>
          <w:color w:val="auto"/>
        </w:rPr>
      </w:pPr>
    </w:p>
    <w:p>
      <w:pPr>
        <w:ind w:left="160"/>
        <w:spacing w:after="0"/>
        <w:tabs>
          <w:tab w:leader="none" w:pos="190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7" w:lineRule="exact"/>
        <w:rPr>
          <w:sz w:val="20"/>
          <w:szCs w:val="20"/>
          <w:color w:val="auto"/>
        </w:rPr>
      </w:pPr>
    </w:p>
    <w:p>
      <w:pPr>
        <w:sectPr>
          <w:pgSz w:w="11900" w:h="16838" w:orient="portrait"/>
          <w:cols w:equalWidth="0" w:num="2">
            <w:col w:w="7580" w:space="720"/>
            <w:col w:w="2940"/>
          </w:cols>
          <w:pgMar w:left="320" w:top="665"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(in thousands)</w:t>
            </w:r>
          </w:p>
        </w:tc>
        <w:tc>
          <w:tcPr>
            <w:tcW w:w="7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18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w:t>
            </w: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80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Premier Oil UK Limited</w:t>
            </w: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127</w:t>
            </w:r>
          </w:p>
        </w:tc>
        <w:tc>
          <w:tcPr>
            <w:tcW w:w="5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EGP</w:t>
            </w: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678</w:t>
            </w:r>
          </w:p>
        </w:tc>
        <w:tc>
          <w:tcPr>
            <w:tcW w:w="7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37"/>
        </w:trPr>
        <w:tc>
          <w:tcPr>
            <w:tcW w:w="3020" w:type="dxa"/>
            <w:vAlign w:val="bottom"/>
          </w:tcPr>
          <w:p>
            <w:pPr>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0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focus our sales and marketing efforts on parts of North and South America, Europe and Asia. The following table shows the percentage of our revenues by geographical location of our customers for the nine months ended January 31, 2020 and 2019.</w:t>
      </w:r>
    </w:p>
    <w:p>
      <w:pPr>
        <w:spacing w:after="0" w:line="180" w:lineRule="exact"/>
        <w:rPr>
          <w:sz w:val="20"/>
          <w:szCs w:val="20"/>
          <w:color w:val="auto"/>
        </w:rPr>
      </w:pPr>
    </w:p>
    <w:tbl>
      <w:tblPr>
        <w:tblLayout w:type="fixed"/>
        <w:tblInd w:w="1980" w:type="dxa"/>
        <w:tblCellMar>
          <w:top w:w="0" w:type="dxa"/>
          <w:left w:w="0" w:type="dxa"/>
          <w:bottom w:w="0" w:type="dxa"/>
          <w:right w:w="0" w:type="dxa"/>
        </w:tblCellMar>
      </w:tblPr>
      <w:tr>
        <w:trPr>
          <w:trHeight w:val="241"/>
        </w:trPr>
        <w:tc>
          <w:tcPr>
            <w:tcW w:w="3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 January 31,</w:t>
            </w:r>
          </w:p>
        </w:tc>
      </w:tr>
      <w:tr>
        <w:trPr>
          <w:trHeight w:val="236"/>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Customer Location</w:t>
            </w:r>
          </w:p>
        </w:tc>
        <w:tc>
          <w:tcPr>
            <w:tcW w:w="15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3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1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South America</w:t>
            </w:r>
          </w:p>
        </w:tc>
        <w:tc>
          <w:tcPr>
            <w:tcW w:w="1780" w:type="dxa"/>
            <w:vAlign w:val="bottom"/>
            <w:gridSpan w:val="2"/>
          </w:tcPr>
          <w:p>
            <w:pPr>
              <w:jc w:val="right"/>
              <w:ind w:right="50"/>
              <w:spacing w:after="0"/>
              <w:rPr>
                <w:sz w:val="20"/>
                <w:szCs w:val="20"/>
                <w:color w:val="auto"/>
              </w:rPr>
            </w:pPr>
            <w:r>
              <w:rPr>
                <w:rFonts w:ascii="Arial" w:cs="Arial" w:eastAsia="Arial" w:hAnsi="Arial"/>
                <w:sz w:val="18"/>
                <w:szCs w:val="18"/>
                <w:color w:val="auto"/>
              </w:rPr>
              <w:t>69%</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0%</w:t>
            </w:r>
          </w:p>
        </w:tc>
      </w:tr>
      <w:tr>
        <w:trPr>
          <w:trHeight w:val="249"/>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7"/>
        </w:trPr>
        <w:tc>
          <w:tcPr>
            <w:tcW w:w="3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4"/>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 of revenues consists primarily of incurred material, labor and manufacturing overhead expenses, such as engineering expense, equipment depreciation and maintenance and facility related expenses, and includes the cost of equipment to customize the PowerBuoy® supplied by third-party suppliers. Cost of revenues also includes PowerBuoy® system delivery and deployment expenses and may include anticipated losses at completion on certain contracts.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34" w:name="page35"/>
    <w:bookmarkEnd w:id="34"/>
    <w:p>
      <w:pPr>
        <w:jc w:val="both"/>
        <w:spacing w:after="0" w:line="263" w:lineRule="auto"/>
        <w:rPr>
          <w:sz w:val="20"/>
          <w:szCs w:val="20"/>
          <w:color w:val="auto"/>
        </w:rPr>
      </w:pPr>
      <w:r>
        <w:rPr>
          <w:rFonts w:ascii="Arial" w:cs="Arial" w:eastAsia="Arial" w:hAnsi="Arial"/>
          <w:sz w:val="18"/>
          <w:szCs w:val="18"/>
          <w:color w:val="auto"/>
        </w:rPr>
        <w:t>Our ability to generate a gross profit will depend on the nature of future contracts, our success at generating revenues through sales or leases of our PowerBuoy® systems, the nature of our contracts generating revenues to fund our product development efforts, and our ability to manage costs incurred on fixed price commercial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engineering and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to the development of new products, product applications and complementary technologies. We expense all of our engineering and product development costs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our financial instruments reflects the amounts that would be paid to transfer a liability in an orderly transaction between market participants at the measurement date (exit price). The fair value of our warrant liabilities is subject to remeasurement each financial statement reporting period, as such, changes in this fair value are reflected in the statement of operations.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financial instruments not required to be adjusted to fair value on a recurring basis consist principally of cash, cash equivalents, and restricted cash, accounts receivable, accounts payable, and accrued expenses. We believe the carrying amount of cash and cash equivalents, accounts receivable, accounts payable and accrued expenses approximate fair value due to their relatively short maturities.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net consists of interest received on cash, cash equivalents and money market fund and interest expense paid on certain obligations to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cash accounts that are denominated in British pounds sterling, Euros and Australian dollars. These foreign-denominated accounts had a balance of $0.3 million as of January 31, 2020 and $0.8 million as of January 31, 2019, compared to our total cash, cash equivalents and restricted cash balances of $10.8 million as of January 31, 2020 and $2.7 million as of January 31, 2019. These foreign currency balances are translated each month and to our functional currency, the US dollar, and any resulting gain or loss is recognized in our results of operations.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section should be read in conjunction with the discussion below under “Liquidity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2020 compared to the three months ended January 31,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January 31, 2020 and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 change</w:t>
            </w:r>
          </w:p>
        </w:tc>
      </w:tr>
      <w:tr>
        <w:trPr>
          <w:trHeight w:val="255"/>
        </w:trPr>
        <w:tc>
          <w:tcPr>
            <w:tcW w:w="4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January 31,</w:t>
            </w:r>
          </w:p>
        </w:tc>
        <w:tc>
          <w:tcPr>
            <w:tcW w:w="4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2020 period to</w:t>
            </w:r>
          </w:p>
        </w:tc>
      </w:tr>
      <w:tr>
        <w:trPr>
          <w:trHeight w:val="237"/>
        </w:trPr>
        <w:tc>
          <w:tcPr>
            <w:tcW w:w="4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89"/>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2019 period</w:t>
            </w:r>
          </w:p>
        </w:tc>
      </w:tr>
      <w:tr>
        <w:trPr>
          <w:trHeight w:val="230"/>
        </w:trPr>
        <w:tc>
          <w:tcPr>
            <w:tcW w:w="4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gridSpan w:val="4"/>
          </w:tcPr>
          <w:p>
            <w:pPr>
              <w:jc w:val="right"/>
              <w:ind w:right="709"/>
              <w:spacing w:after="0"/>
              <w:rPr>
                <w:sz w:val="20"/>
                <w:szCs w:val="20"/>
                <w:color w:val="auto"/>
              </w:rPr>
            </w:pPr>
            <w:r>
              <w:rPr>
                <w:rFonts w:ascii="Arial" w:cs="Arial" w:eastAsia="Arial" w:hAnsi="Arial"/>
                <w:sz w:val="18"/>
                <w:szCs w:val="18"/>
                <w:color w:val="auto"/>
              </w:rPr>
              <w:t>(in thousands)</w:t>
            </w:r>
          </w:p>
        </w:tc>
        <w:tc>
          <w:tcPr>
            <w:tcW w:w="4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4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725</w:t>
            </w:r>
          </w:p>
        </w:tc>
        <w:tc>
          <w:tcPr>
            <w:tcW w:w="1120" w:type="dxa"/>
            <w:vAlign w:val="bottom"/>
            <w:gridSpan w:val="2"/>
            <w:shd w:val="clear" w:color="auto" w:fill="CCEEFF"/>
          </w:tcPr>
          <w:p>
            <w:pPr>
              <w:jc w:val="right"/>
              <w:ind w:right="989"/>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7"/>
        </w:trPr>
        <w:tc>
          <w:tcPr>
            <w:tcW w:w="4380" w:type="dxa"/>
            <w:vAlign w:val="bottom"/>
          </w:tcPr>
          <w:p>
            <w:pPr>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681</w:t>
            </w: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36"/>
        </w:trPr>
        <w:tc>
          <w:tcPr>
            <w:tcW w:w="4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profit/(loss)</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38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 costs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896</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4380" w:type="dxa"/>
            <w:vAlign w:val="bottom"/>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2,093</w:t>
            </w: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26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36"/>
        </w:trPr>
        <w:tc>
          <w:tcPr>
            <w:tcW w:w="4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380" w:type="dxa"/>
            <w:vAlign w:val="bottom"/>
          </w:tcPr>
          <w:p>
            <w:pPr>
              <w:spacing w:after="0" w:line="203" w:lineRule="exact"/>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w w:val="94"/>
              </w:rPr>
              <w:t>(2,945)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w w:val="80"/>
              </w:rPr>
              <w:t>(3,522)</w:t>
            </w:r>
          </w:p>
        </w:tc>
        <w:tc>
          <w:tcPr>
            <w:tcW w:w="280" w:type="dxa"/>
            <w:vAlign w:val="bottom"/>
            <w:gridSpan w:val="2"/>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8"/>
              </w:rPr>
              <w:t>Gain due to the change in fair value of warrant liabilities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1250%</w:t>
            </w:r>
          </w:p>
        </w:tc>
      </w:tr>
      <w:tr>
        <w:trPr>
          <w:trHeight w:val="24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03"/>
        </w:trPr>
        <w:tc>
          <w:tcPr>
            <w:tcW w:w="43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(2,919)</w:t>
            </w: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0"/>
              </w:rPr>
              <w:t>(3,461)</w:t>
            </w:r>
          </w:p>
        </w:tc>
        <w:tc>
          <w:tcPr>
            <w:tcW w:w="280" w:type="dxa"/>
            <w:vAlign w:val="bottom"/>
            <w:tcBorders>
              <w:top w:val="single" w:sz="8" w:color="CCEEFF"/>
            </w:tcBorders>
            <w:gridSpan w:val="2"/>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49"/>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7"/>
        </w:trPr>
        <w:tc>
          <w:tcPr>
            <w:tcW w:w="4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280" w:type="dxa"/>
            <w:vAlign w:val="bottom"/>
            <w:tcBorders>
              <w:top w:val="single" w:sz="8" w:color="CCEEFF"/>
            </w:tcBorders>
          </w:tcPr>
          <w:p>
            <w:pPr>
              <w:jc w:val="right"/>
              <w:ind w:right="14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jc w:val="right"/>
              <w:ind w:right="98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(2,611</w:t>
            </w:r>
          </w:p>
        </w:tc>
        <w:tc>
          <w:tcPr>
            <w:tcW w:w="2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6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4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Revenues were $0.7 million in the three months ended January 31, 2020, an increase of $0.4 million as compared to the three months ended January 31, 2019. The increase in revenue was the result of a new contract with EGP partly offset by lower revenues from contracts with Eni and PMO.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 of revenues were $0.7 million in the three months ended January 31, 2020, an increase of $0.3 million compared to the three months ended January 31, 2019. The increase in cost of revenues is due to spending on a new contract with EGP and an existing contract with PMO.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Engineering and product development costs for the three months ended January 31, 2020 and 2019 were $0.9 million and $1.4 million, respectively. The decrease of $0.5 million is the result of lower spending on new product development in the current year period as compared to the same period in fiscal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Selling, general and administrative costs for the three months ended January 31, 2020 and 2019 were $2.1 million and $2.0 million, respectively. The slight increase compared to the same period in fiscal 2019 is due mainly to higher selling and marketing expenses of $0.1 million.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Gain due to the change in fair value of warrant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fair value of warrant liabilities during the three months ended January 31, 2020 was an unrealized gain of zero versus an unrealized gain of $47,000 for the three months ended January 31, 2019. The change between periods is due primarily to a lower stock price during the three months ended January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net during the three months ended January 31, 2020 was $27,000, compared to $2,000 during the three months ended January 31, 2019. The increase of $25,000 is due to higher cash balances in the three months ended January 31, 2020 as compared to the three months ended January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gain/(loss)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Foreign exchange loss during the three months ended January 31, 2020 was $1,000 compared to a gain of $12,000 during the three months ended January 31, 2019. The difference was attributable primarily to the relative change in value of the British pound sterling, Euro and Australian dollar compared to the US dollar during the two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three months ended January 31, 2019, the Company recorded an income tax benefit of $0.9 million representing the proceeds from the sale of $9.1 million of New Jersey net operating loss carryforwards and research and development tax credits. During the three months ended January 31, 2020, the Company has not received any proceeds from the sale of its New Jersey net operating loss carryforwards and research and development tax credits.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January 31, 2020 compared to the nine months ended January 31,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nine months ended January 31, 2020 and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 change</w:t>
            </w:r>
          </w:p>
        </w:tc>
      </w:tr>
      <w:tr>
        <w:trPr>
          <w:trHeight w:val="255"/>
        </w:trPr>
        <w:tc>
          <w:tcPr>
            <w:tcW w:w="4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36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89"/>
              </w:rPr>
              <w:t>Nine months ended January 31,</w:t>
            </w: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2020 period to</w:t>
            </w:r>
          </w:p>
        </w:tc>
      </w:tr>
      <w:tr>
        <w:trPr>
          <w:trHeight w:val="236"/>
        </w:trPr>
        <w:tc>
          <w:tcPr>
            <w:tcW w:w="4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2019 period</w:t>
            </w:r>
          </w:p>
        </w:tc>
      </w:tr>
      <w:tr>
        <w:trPr>
          <w:trHeight w:val="230"/>
        </w:trPr>
        <w:tc>
          <w:tcPr>
            <w:tcW w:w="4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9"/>
              </w:rPr>
              <w:t>(in thousands)</w:t>
            </w:r>
          </w:p>
        </w:tc>
        <w:tc>
          <w:tcPr>
            <w:tcW w:w="9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4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80" w:type="dxa"/>
            <w:vAlign w:val="bottom"/>
            <w:gridSpan w:val="2"/>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1,131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440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Cost of revenues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1,335</w:t>
            </w:r>
          </w:p>
        </w:tc>
        <w:tc>
          <w:tcPr>
            <w:tcW w:w="3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1,180</w:t>
            </w:r>
          </w:p>
        </w:tc>
        <w:tc>
          <w:tcPr>
            <w:tcW w:w="26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6"/>
        </w:trPr>
        <w:tc>
          <w:tcPr>
            <w:tcW w:w="4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loss</w:t>
            </w:r>
          </w:p>
        </w:tc>
        <w:tc>
          <w:tcPr>
            <w:tcW w:w="5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80" w:type="dxa"/>
            <w:vAlign w:val="bottom"/>
            <w:tcBorders>
              <w:top w:val="single" w:sz="8" w:color="CCEEFF"/>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8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58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 costs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3,403</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5,629</w:t>
            </w:r>
          </w:p>
        </w:tc>
        <w:tc>
          <w:tcPr>
            <w:tcW w:w="3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5,909</w:t>
            </w:r>
          </w:p>
        </w:tc>
        <w:tc>
          <w:tcPr>
            <w:tcW w:w="26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9,032</w:t>
            </w:r>
          </w:p>
        </w:tc>
        <w:tc>
          <w:tcPr>
            <w:tcW w:w="38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10,014</w:t>
            </w:r>
          </w:p>
        </w:tc>
        <w:tc>
          <w:tcPr>
            <w:tcW w:w="1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03"/>
        </w:trPr>
        <w:tc>
          <w:tcPr>
            <w:tcW w:w="45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Operating loss</w:t>
            </w:r>
          </w:p>
        </w:tc>
        <w:tc>
          <w:tcPr>
            <w:tcW w:w="50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(9,236)</w:t>
            </w:r>
          </w:p>
        </w:tc>
        <w:tc>
          <w:tcPr>
            <w:tcW w:w="2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(10,754)</w:t>
            </w:r>
          </w:p>
        </w:tc>
        <w:tc>
          <w:tcPr>
            <w:tcW w:w="280" w:type="dxa"/>
            <w:vAlign w:val="bottom"/>
            <w:tcBorders>
              <w:top w:val="single" w:sz="8" w:color="CCEEFF"/>
            </w:tcBorders>
            <w:gridSpan w:val="2"/>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Gain due to the change in fair value of warrant liabilities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Interest income, net</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343%</w:t>
            </w:r>
          </w:p>
        </w:tc>
      </w:tr>
      <w:tr>
        <w:trPr>
          <w:trHeight w:val="25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03"/>
        </w:trPr>
        <w:tc>
          <w:tcPr>
            <w:tcW w:w="45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Loss before income taxes</w:t>
            </w:r>
          </w:p>
        </w:tc>
        <w:tc>
          <w:tcPr>
            <w:tcW w:w="50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(9,133)</w:t>
            </w:r>
          </w:p>
        </w:tc>
        <w:tc>
          <w:tcPr>
            <w:tcW w:w="2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(10,591)</w:t>
            </w:r>
          </w:p>
        </w:tc>
        <w:tc>
          <w:tcPr>
            <w:tcW w:w="280" w:type="dxa"/>
            <w:vAlign w:val="bottom"/>
            <w:tcBorders>
              <w:top w:val="single" w:sz="8" w:color="CCEEFF"/>
            </w:tcBorders>
            <w:gridSpan w:val="2"/>
          </w:tcPr>
          <w:p>
            <w:pPr>
              <w:spacing w:after="0"/>
              <w:rPr>
                <w:sz w:val="17"/>
                <w:szCs w:val="17"/>
                <w:color w:val="auto"/>
              </w:rPr>
            </w:pPr>
          </w:p>
        </w:tc>
        <w:tc>
          <w:tcPr>
            <w:tcW w:w="166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-14%</w:t>
            </w:r>
          </w:p>
        </w:tc>
      </w:tr>
      <w:tr>
        <w:trPr>
          <w:trHeight w:val="249"/>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850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7"/>
        </w:trPr>
        <w:tc>
          <w:tcPr>
            <w:tcW w:w="45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loss</w:t>
            </w:r>
          </w:p>
        </w:tc>
        <w:tc>
          <w:tcPr>
            <w:tcW w:w="50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jc w:val="right"/>
              <w:ind w:right="81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(9,133</w:t>
            </w:r>
          </w:p>
        </w:tc>
        <w:tc>
          <w:tcPr>
            <w:tcW w:w="280" w:type="dxa"/>
            <w:vAlign w:val="bottom"/>
            <w:tcBorders>
              <w:top w:val="single" w:sz="8" w:color="CCEEFF"/>
            </w:tcBorders>
          </w:tcPr>
          <w:p>
            <w:pPr>
              <w:jc w:val="center"/>
              <w:ind w:right="1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(9,741</w:t>
            </w:r>
          </w:p>
        </w:tc>
        <w:tc>
          <w:tcPr>
            <w:tcW w:w="2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6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Revenues were $1.1 million in the nine months ended January 31, 2020, an increase of $0.7 million as compared to the nine months ended January 31, 2019. The increase in revenue is the result of a new contract with EGP partly offset by lower revenues from contracts with Eni, PMO, and U.S. Navy.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revenues were $1.3 million in the nine months ended January 31, 2020, an increase of $0.1 million compared to the nine months ended January 31, 2019. This result is due to increased costs associated with our new contract with EGP mostly offset by lower spending on our EGP and PMO projects as compared to the same period in fiscal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Engineering and product development costs for the nine months ended January 31, 2020 and 2019 were $3.4 million and $4.1 million, respectively. The decrease of $0.7 million is a result of lower spending on buoy builds of $1.1 million partly offset by higher spending on new product development in the current year period as compared to the same period in fiscal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costs for the nine months ended January 31, 2020 and 2019 were $5.6 million and $5.9 million, respectively. The decrease of $0.3 million was mostly due to lower spending on professional fees of $0.4 million partly offset by higher selling and marketing expenses as compared to the same period in fiscal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due to the change in fair value of warrant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fair value of warrant liabilities during the nine months ended January 31, 2020 was an unrealized gain of $6,000 versus an unrealized gain of $183,000 for the nine months ended January 31, 2019. The change between periods is due primarily to a lower stock price during the nine months ended January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net during the nine months ended January 31, 2020 was $102,000 as compared to $23,000 during the nine months ended January 31, 2019.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increase of $79,000 is due to higher cash balances in the nine months ended January 31, 2020 as compared to the nine months ended January 31,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gain/(loss)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Foreign exchange loss during the nine months ended January 31, 2020 was $5,000 compared to a loss of $43,000 during the nine months ended January 31, 2019. The difference was attributable primarily to the relative change in value of the British pound sterling, Euro and Australian dollar compared to the US dollar during the two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nine months ended January 31, 2019, the Company recorded an income tax benefit of $0.9 million representing the proceeds from the sale of $9.1 million of New Jersey net operating loss carryforwards and research and development tax credits. During the nine months ended January 31, 2020, the Company has not received any proceeds from the sale of its New Jersey net operating loss carryforwards and research and development tax credits.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Since our inception, the cash flows from customer revenues have not been sufficient to fund our operations and provide the capital resources for the planned growth of our business. For the two years ended April 30, 2019, our aggregate revenues were $1.1 million, our aggregate net losses were $22.4 million and our aggregate net cash used in operating activities was $22.8 million. Refer to “Liquidity Outlook” below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flows used in operating activities during the nine months ended January 31, 2020 were $8.6 million, a decrease of $1.3 million compared to $9.9 million during the nine months ended January 31, 2019. The decrease was primarily due to lower net loss of $0.6 million and the nine months ended January 31, 2019 included a deferred credit payment of $0.6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during the nine months ended January 31, 2020 was $61,000, an increase of $32,000 compared to net cash used by investing activities during the nine months ended January 31, 2019. The increase in net cash used in investing activities was due to the net change in market securities and higher spending on the purchase of computers, equipment and furniture.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during the nine months ended January 31, 2020 was approximately $2.4 million compared to net cash provided by financing activities during the nine months ended January 31, 2019 of $0.4 million. Increase in net cash provided by financing activities during the nine months ended January 31, 2020 primarily due to more proceeds from capital raises of $2.0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 of exchange rates on cash and cash equivalents was a decrease of $13,000 in the nine months ended January 31, 2020 and a decrease of $58,000 in the nine months ended for January 31, 2019. The effect of exchange rates on cash and cash equivalents results primarily from gains or losses on consolidation of foreign subsidiaries and foreign denominated cash and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financial statements have been prepared assuming we will continue as a going concern. We have experienced substantial and recurring losses from operations, which have contributed to an accumulated deficit of $218.9 million at January 31, 2020. As of January 31, 2020, we had approximately $10.8 million in cash, cash equivalents and restricted cash on hand. The Company generated revenues of $1.1 million and $0.4 million during the nine months ended January 31, 2020 and 2019, respectively. Based on the Company’s cash, cash equivalents and restricted cash balances as of January 31, 2020, the Company believes that it will be able to finance its capital requirements and operations into the quarter ended October 31, 2020. Among other things, the Company is currently evaluating a variety of different financing alternatives and we expect to continue to fund our business with sales of our securities and through generating revenue with customers. These conditions raise substantial doubt about our ability to continue as a going concern.</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devote substantial resources to continue our development efforts for our PowerBuoys® and to expand our sales, marketing and manufacturing programs associated with the planned commercialization of the PowerBuoys®. Our future capital requirements will depend on a number of factors, including but not limited to:</w:t>
      </w:r>
    </w:p>
    <w:p>
      <w:pPr>
        <w:spacing w:after="0" w:line="184" w:lineRule="exact"/>
        <w:rPr>
          <w:sz w:val="20"/>
          <w:szCs w:val="20"/>
          <w:color w:val="auto"/>
        </w:rPr>
      </w:pPr>
    </w:p>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commercialize our PowerBuoys®, and achieve and sustain profitability;</w:t>
      </w:r>
    </w:p>
    <w:p>
      <w:pPr>
        <w:spacing w:after="0" w:line="225" w:lineRule="exact"/>
        <w:rPr>
          <w:rFonts w:ascii="Arial" w:cs="Arial" w:eastAsia="Arial" w:hAnsi="Arial"/>
          <w:sz w:val="18"/>
          <w:szCs w:val="18"/>
          <w:color w:val="auto"/>
        </w:rPr>
      </w:pPr>
    </w:p>
    <w:p>
      <w:pPr>
        <w:ind w:left="1100" w:hanging="444"/>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1100" w:hanging="444"/>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and manufacture a commercially viable PowerBuoy® product;</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successfully develop and market and develop new products, such as a hybrid PowerBuoy® or subsea battery solutions;</w:t>
      </w:r>
    </w:p>
    <w:p>
      <w:pPr>
        <w:spacing w:after="0" w:line="236" w:lineRule="exact"/>
        <w:rPr>
          <w:rFonts w:ascii="Arial" w:cs="Arial" w:eastAsia="Arial" w:hAnsi="Arial"/>
          <w:sz w:val="17"/>
          <w:szCs w:val="17"/>
          <w:color w:val="auto"/>
        </w:rPr>
      </w:pPr>
    </w:p>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PowerBuoys® and our wave energy technology;</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power output, survivability and reliability of our PowerBuoys®;</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relationships with our strategic partners may not be successful and we may not be successful in establishing additional relationships;</w:t>
      </w:r>
    </w:p>
    <w:p>
      <w:pPr>
        <w:spacing w:after="0" w:line="248" w:lineRule="exact"/>
        <w:rPr>
          <w:rFonts w:ascii="Arial" w:cs="Arial" w:eastAsia="Arial" w:hAnsi="Arial"/>
          <w:sz w:val="16"/>
          <w:szCs w:val="16"/>
          <w:color w:val="auto"/>
        </w:rPr>
      </w:pPr>
    </w:p>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raise capital through our current equity facilities;</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118" w:gutter="0" w:footer="0" w:header="0"/>
        </w:sectPr>
      </w:pPr>
    </w:p>
    <w:bookmarkStart w:id="39" w:name="page40"/>
    <w:bookmarkEnd w:id="39"/>
    <w:p>
      <w:pPr>
        <w:jc w:val="both"/>
        <w:spacing w:after="0" w:line="287" w:lineRule="auto"/>
        <w:rPr>
          <w:sz w:val="20"/>
          <w:szCs w:val="20"/>
          <w:color w:val="auto"/>
        </w:rPr>
      </w:pPr>
      <w:r>
        <w:rPr>
          <w:rFonts w:ascii="Arial" w:cs="Arial" w:eastAsia="Arial" w:hAnsi="Arial"/>
          <w:sz w:val="16"/>
          <w:szCs w:val="16"/>
          <w:color w:val="auto"/>
        </w:rPr>
        <w:t>Our business is capital intensive and to date, we have been funding our business principally through sales of our securities, and we expect to continue to fund our business with sales of our securities and, to a limited extent, with our revenues until, if ever, we generate sufficient cash flow to internally fund our business. This is largely a result of the high product development costs associated with our product development. We anticipate that our operating expenses will be approximately $12.4 million in fiscal 2020 including expected savings from cost reduction initiatives and engineering and product development spending of more than $5.3 million. We may choose to reduce our operating expenses through personnel reductions, and reductions in our research and development and other operating costs during the remainder of fiscal year 2020,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raise additional capital when needed or generate positive cash flow, it is unlikely that we will be able to continue as a going concern. The financial statements do not include any adjustments that might result from the outcome of this uncertainty.</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our common stock is delisted from Nasdaq, our ability to raise capital through public offerings of our securities and to finance our operations could be adversely affected. See additional risk factors under “Part II, Item 1A – Risk Factors”. We also believe that delisting would likely result in decreased liquidity and/or increased volatility in our common stock and could harm our business and future prospects. In addition, we believe that, if our common stock is delisted, our stockholders would likely find it more difficult to obtain accurate quotations as to the price of the common stock and it may be more difficult for stockholders to buy or sell our common stock at competitive market prices, or at all.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Management, under the supervision and with the participation of our Chief Executive Officer and Chief Financial Officer, evaluated the effectiveness of the design and operation of our disclosure controls and procedures as of January 31, 2020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Securities and Exchange Commission’s (“SEC”)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January 31, 2020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January 31, 2020 that has materially affected, or is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part of our normal business activities, we are party to a number of legal proceedings and other matters in various stages of development. Management periodically assesses our liabilities and contingencies in connection with these matters based upon the latest information available. We disclose material pending legal proceedings pursuant to SEC rules and other pending matters as we may determine to be appropriate.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on matters in dispute, see Note 14 to the Consolidated Financial Statements in our Annual Report on Form10-K for the year ended April 30, 2019, and Note 14 to the Consolidated Financial Statements under Part I, Item 1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our business and operations should be read together with the risk factors contained in Item 1A of our Annual Report on Form 10-K for the year ended April 30, 2019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22,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auditors have raised substantial doubts as to our ability to continue as a going concern.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financial statements have been prepared assuming we will continue as a going concern. Due to the significant product development costs associated with our business and operations, we have experienced substantial and recurring losses from operations, which have contributed to an accumulated deficit of $218.9 million as of January 31, 2020. As of January 31, 2020, the Company had approximately $10.8 million in cash, cash equivalents and restricted cash on hand. The Company generated revenues of $1.1 million and $0.4 million during the nine months ended January 31, 2020 and 2019, respectively. Based on the Company’s cash, cash equivalents and restricted cash balances as of January 31, 2020, the Company believes that it will be able to finance its capital requirements and operations into the quarter ending October 31, 2020.</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experience operating losses and currently have only three revenue producing contracts, one with EGP for the sale of a PB3 and supply of a turn-key integrated OSL. A contract with Eni that provides for a minimum 24-month contract that includes an 18-month PB3 PowerBuoy® lease and associated project management and a contract with Premier Oil for the lease of a PB3 PowerBuoy® in one PMO’s offshore fields in the North Sea. During fiscal 2019, our net burn rate (cash used in operations less cash generated by operations) including engineering and product development spending was approximately $1.0 million per month.</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been funding our business principally through sales of our securities, and we expect to continue to fund our business with sales of our securities and, to a limited extent, with our revenues until, if ever, we generate sufficient cash flow to internally fund our business. These factors, among others, raise substantial doubt about our ability to continue as a going concern. Our consolidated financial statements do not include any adjustments that might result from the outcome of this uncertainty. We anticipate that our operating expenses will be approximately $12.4 million in fiscal 2020 including expected savings from cost reduction initiatives and engineering and product development spending of more than $5.3 million. However, we may choose to reduce our operating expenses through personnel reductions, and reductions in our research and development and other operating costs during fiscal year 2020,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meet our obligations, we would be forced to cease operations, in which event investors would lose their entire investment in our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net losses since we began operations in 1994, including net losses of $9.1 million during the nine months ended January 31, 2020 and $12.2 million in fiscal 2019. As of January 31, 2020, we had an accumulated deficit of $218.9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jc w:val="both"/>
        <w:spacing w:after="0" w:line="286" w:lineRule="auto"/>
        <w:rPr>
          <w:sz w:val="20"/>
          <w:szCs w:val="20"/>
          <w:color w:val="auto"/>
        </w:rPr>
      </w:pPr>
      <w:r>
        <w:rPr>
          <w:rFonts w:ascii="Arial" w:cs="Arial" w:eastAsia="Arial" w:hAnsi="Arial"/>
          <w:sz w:val="17"/>
          <w:szCs w:val="17"/>
          <w:color w:val="auto"/>
        </w:rPr>
        <w:t>We do not know whether we will be able to successfully commercialize our PowerBuoys®, or whether we can achieve profitability. There is significant uncertainty about our ability to successfully commercialize our PowerBuoys® in our targeted markets. Even if we do achieve commercialization of our PowerBuoy® and become profitable, we may not be able to achieve or, if achieved, sustain profitability on a quarterly or annual basis.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must continually improve existing products, design and sell new products and invest in research and development in order to compete effectively.</w:t>
      </w:r>
    </w:p>
    <w:p>
      <w:pPr>
        <w:spacing w:after="0" w:line="2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markets for our products are characterized by rapid technological change, evolving industry standards and continuous improvements in products. Due to constant changes in our markets, future success depends on our ability to develop new technologies, products, processes and product applications. Examples of this include our subsea battery solution and our hybrid PowerBuoy®. New product development and commercialization efforts, including efforts to enter markets or product categories in which we have limited or no prior experience, have inherent risks. These risks include the costs involved, such as development and commercialization, product development or launch delays, and the failure of new products and line extensions to achieve anticipated levels of market acceptance or growth in sales or operating income. We also face the risk that our competitors will introduce innovative new products that compete with our products. If new product development and commercialization efforts are not successful, our financial results could be adversely affected.</w:t>
      </w:r>
    </w:p>
    <w:p>
      <w:pPr>
        <w:spacing w:after="0" w:line="19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Product and technological developments are accomplished primarily through internally-funded R&amp;D projects. Because it is not generally possible to predict the amount of time required and costs involved in achieving certain R&amp;D objectives, actual development costs may exceed budgeted amounts and estimated product development schedules may be extended. Our financial condition and results of operations may be materially and adversely affected if:</w:t>
      </w:r>
    </w:p>
    <w:p>
      <w:pPr>
        <w:spacing w:after="0" w:line="149"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improvements are not completed on a timely basis;</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products are not introduced on a timely basis or do not achieve sufficient market penetration;</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are budget overruns or delays in R&amp;D efforts; or</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products experience reliability or quality problems, or otherwise do not meet customer preferences or requirements.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We are at risk of being de-listed from The Nasdaq Stock Market if we do not regain compliance with the minimum $1 bid price per share required by Nasdaq rules.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3, 2020, we received a letter from The Nasdaq Stock Market informing us that the closing bid price of our common stock has been below $1.00 per share for a period of 30 consecutive trading days, and as a result, we are not in compliance with the minimum bid price requirement for continued listing. Under the Nasdaq Listing Rules), we have a grace period of 180 calendar days, or until August 31, 2020, in which to regain compliance with the minimum bid price rule. To regain compliance, the closing bid price of our common stock must meet or exceed $1.00 per share for a minimum of ten consecutive business days during this grace period. If we do not regain compliance before August 31, 2020, the Nasdaq stated that it will provide us with written notice that our securities are subject to delisting. At that time, we may appeal the Nasdaq’s determination to a Nasdaq Listing Qualifications Panel, which would stay any further delisting action by the Nasdaq pending a final decision by the panel. Alternatively, we may be eligible for an additional 180 calendar day grace period if we meet the continued listing standards, with the exception of bid price, for the Nasdaq Capital Market, and we state our intent to effect a reverse split, if necessary, to cure such deficiency.</w:t>
      </w:r>
    </w:p>
    <w:p>
      <w:pPr>
        <w:spacing w:after="0" w:line="20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13, 2018, we issued to Aspire Capital 21,428 shares of our common stock as a commitment fee pursuant to the terms of a common stock purchase agreement dated August 13, 2018. The agreement was cancelled on October 24, 2019, and as of that date, we sold 162,162 shares of common stock with an aggregate market value of $949,259 at an average price of $5.85 per share.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24, 2019, we issued to Aspire Capital 194,805 shares of common stock as a commitment fee pursuant to the terms of a common stock purchase agreement dated October 24, 2019. As of January 31, 2020, we have sold 1,024,205 shares of common stock with an aggregate market value of $901,206 at an average price of $0.88 per share pursuant to this agreement with Aspire Capital.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Company’s share repurchases during the quarter: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2"/>
              </w:rPr>
              <w:t>Approximate</w:t>
            </w:r>
          </w:p>
        </w:tc>
      </w:tr>
      <w:tr>
        <w:trPr>
          <w:trHeight w:val="216"/>
        </w:trPr>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Number of</w:t>
            </w:r>
          </w:p>
        </w:tc>
        <w:tc>
          <w:tcPr>
            <w:tcW w:w="12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Dollar</w:t>
            </w:r>
          </w:p>
        </w:tc>
      </w:tr>
      <w:tr>
        <w:trPr>
          <w:trHeight w:val="216"/>
        </w:trPr>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Shares</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0"/>
              </w:rPr>
              <w:t>Value of</w:t>
            </w:r>
          </w:p>
        </w:tc>
      </w:tr>
      <w:tr>
        <w:trPr>
          <w:trHeight w:val="216"/>
        </w:trPr>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Purchased as</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4"/>
              </w:rPr>
              <w:t>Shares that</w:t>
            </w:r>
          </w:p>
        </w:tc>
      </w:tr>
      <w:tr>
        <w:trPr>
          <w:trHeight w:val="216"/>
        </w:trPr>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Part of</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2"/>
              </w:rPr>
              <w:t>May Yet Be</w:t>
            </w:r>
          </w:p>
        </w:tc>
      </w:tr>
      <w:tr>
        <w:trPr>
          <w:trHeight w:val="216"/>
        </w:trPr>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Total Number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Average Price</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Publicly</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5"/>
              </w:rPr>
              <w:t>Purchased</w:t>
            </w:r>
          </w:p>
        </w:tc>
      </w:tr>
      <w:tr>
        <w:trPr>
          <w:trHeight w:val="216"/>
        </w:trPr>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of Shares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Paid per</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Announced</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8"/>
              </w:rPr>
              <w:t>Under the</w:t>
            </w:r>
          </w:p>
        </w:tc>
      </w:tr>
      <w:tr>
        <w:trPr>
          <w:trHeight w:val="237"/>
        </w:trPr>
        <w:tc>
          <w:tcPr>
            <w:tcW w:w="5640" w:type="dxa"/>
            <w:vAlign w:val="bottom"/>
            <w:gridSpan w:val="2"/>
          </w:tcPr>
          <w:p>
            <w:pPr>
              <w:ind w:left="2480"/>
              <w:spacing w:after="0"/>
              <w:rPr>
                <w:sz w:val="20"/>
                <w:szCs w:val="20"/>
                <w:color w:val="auto"/>
              </w:rPr>
            </w:pPr>
            <w:r>
              <w:rPr>
                <w:rFonts w:ascii="Arial" w:cs="Arial" w:eastAsia="Arial" w:hAnsi="Arial"/>
                <w:sz w:val="18"/>
                <w:szCs w:val="18"/>
                <w:color w:val="auto"/>
              </w:rPr>
              <w:t>Period</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Purchased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Share</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Plans</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8"/>
              </w:rPr>
              <w:t>Plan</w:t>
            </w:r>
          </w:p>
        </w:tc>
      </w:tr>
      <w:tr>
        <w:trPr>
          <w:trHeight w:val="216"/>
        </w:trPr>
        <w:tc>
          <w:tcPr>
            <w:tcW w:w="54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 November 30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December 1 - December 31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 January 31</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665" w:right="339" w:bottom="0" w:gutter="0" w:footer="0" w:header="0"/>
        </w:sectPr>
      </w:pPr>
    </w:p>
    <w:bookmarkStart w:id="42" w:name="page43"/>
    <w:bookmarkEnd w:id="42"/>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3" w:name="page44"/>
    <w:bookmarkEnd w:id="43"/>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i w:val="1"/>
          <w:iCs w:val="1"/>
          <w:color w:val="auto"/>
        </w:rPr>
        <w:t>EXHIBIT INDEX</w:t>
      </w:r>
    </w:p>
    <w:p>
      <w:pPr>
        <w:spacing w:after="0" w:line="256"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46">
        <w:r>
          <w:rPr>
            <w:rFonts w:ascii="Arial" w:cs="Arial" w:eastAsia="Arial" w:hAnsi="Arial"/>
            <w:sz w:val="16"/>
            <w:szCs w:val="16"/>
            <w:u w:val="single" w:color="auto"/>
            <w:color w:val="0000EE"/>
          </w:rPr>
          <w:t>Contract amendment between Eni s.P.a. and the Company dated February 28, 2020</w:t>
        </w:r>
      </w:hyperlink>
    </w:p>
    <w:p>
      <w:pPr>
        <w:spacing w:after="0" w:line="225"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04">
        <w:r>
          <w:rPr>
            <w:rFonts w:ascii="Arial" w:cs="Arial" w:eastAsia="Arial" w:hAnsi="Arial"/>
            <w:sz w:val="16"/>
            <w:szCs w:val="16"/>
            <w:u w:val="single" w:color="auto"/>
            <w:color w:val="0000EE"/>
          </w:rPr>
          <w:t>Certification of Chief Executive Officer pursuant to Section 302 of the Sarbanes-Oxley Act of 2002</w:t>
        </w:r>
      </w:hyperlink>
    </w:p>
    <w:p>
      <w:pPr>
        <w:spacing w:after="0" w:line="225"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05">
        <w:r>
          <w:rPr>
            <w:rFonts w:ascii="Arial" w:cs="Arial" w:eastAsia="Arial" w:hAnsi="Arial"/>
            <w:sz w:val="16"/>
            <w:szCs w:val="16"/>
            <w:u w:val="single" w:color="auto"/>
            <w:color w:val="0000EE"/>
          </w:rPr>
          <w:t>Certification of Chief Financial Officer pursuant to Section 302 of the Sarbanes-Oxley Act of 2002</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 xml:space="preserve">* </w:t>
      </w:r>
      <w:hyperlink w:anchor="page106">
        <w:r>
          <w:rPr>
            <w:rFonts w:ascii="Arial" w:cs="Arial" w:eastAsia="Arial" w:hAnsi="Arial"/>
            <w:sz w:val="16"/>
            <w:szCs w:val="16"/>
            <w:u w:val="single" w:color="auto"/>
            <w:color w:val="0000EE"/>
          </w:rPr>
          <w:t>Certification of Chief Executive Officer pursuant to Section 302 of the Sarbanes-Oxley Act of 2002</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 xml:space="preserve">* </w:t>
      </w:r>
      <w:hyperlink w:anchor="page107">
        <w:r>
          <w:rPr>
            <w:rFonts w:ascii="Arial" w:cs="Arial" w:eastAsia="Arial" w:hAnsi="Arial"/>
            <w:sz w:val="16"/>
            <w:szCs w:val="16"/>
            <w:u w:val="single" w:color="auto"/>
            <w:color w:val="0000EE"/>
          </w:rPr>
          <w:t>Certification of Chief Financial Officer pursuant to Section 302 of the Sarbanes-Oxley Act of 2002</w:t>
        </w:r>
      </w:hyperlink>
    </w:p>
    <w:p>
      <w:pPr>
        <w:spacing w:after="0" w:line="225" w:lineRule="exact"/>
        <w:rPr>
          <w:sz w:val="20"/>
          <w:szCs w:val="20"/>
          <w:color w:val="auto"/>
        </w:rPr>
      </w:pPr>
    </w:p>
    <w:p>
      <w:pPr>
        <w:jc w:val="both"/>
        <w:ind w:left="840" w:hanging="832"/>
        <w:spacing w:after="0" w:line="293" w:lineRule="auto"/>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financial information from Ocean Power Technologies, Inc.’s Quarterly Report on Form 10-Q for the quarter ended January 31, 2020, formatted in eXtensible Business Reporting Language (XBRL): (i) Consolidated Balance Sheets – January 31, 2020 (unaudited) and April 30, 2019, (ii) Consolidated Statements of Operations (unaudited) – three and nine months ended January 31, 2020 and 2019, (iii) Consolidated Statements of Comprehensive Loss (unaudited) – three and nine months ended January 31, 2020 and 2019, (iv) Consolidated Statement of Stockholders’ Equity (unaudited) – three and nine months ended January 31, 2020 (v) Consolidated Statements of Cash Flows (unaudited) –nine months ended January 31, 2020 and 2019, (vi) Notes to Consolidated Financial Statements.**</w:t>
      </w:r>
    </w:p>
    <w:p>
      <w:pPr>
        <w:spacing w:after="0" w:line="164" w:lineRule="exact"/>
        <w:rPr>
          <w:rFonts w:ascii="Arial" w:cs="Arial" w:eastAsia="Arial" w:hAnsi="Arial"/>
          <w:sz w:val="16"/>
          <w:szCs w:val="16"/>
          <w:color w:val="auto"/>
        </w:rPr>
      </w:pPr>
    </w:p>
    <w:p>
      <w:pPr>
        <w:jc w:val="both"/>
        <w:ind w:left="840"/>
        <w:spacing w:after="0" w:line="263" w:lineRule="auto"/>
        <w:rPr>
          <w:rFonts w:ascii="Arial" w:cs="Arial" w:eastAsia="Arial" w:hAnsi="Arial"/>
          <w:sz w:val="16"/>
          <w:szCs w:val="16"/>
          <w:color w:val="auto"/>
        </w:rPr>
      </w:pPr>
      <w:r>
        <w:rPr>
          <w:rFonts w:ascii="Arial" w:cs="Arial" w:eastAsia="Arial" w:hAnsi="Arial"/>
          <w:sz w:val="18"/>
          <w:szCs w:val="18"/>
          <w:color w:val="auto"/>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3" w:lineRule="exact"/>
        <w:rPr>
          <w:rFonts w:ascii="Arial" w:cs="Arial" w:eastAsia="Arial" w:hAnsi="Arial"/>
          <w:sz w:val="16"/>
          <w:szCs w:val="16"/>
          <w:color w:val="auto"/>
        </w:rPr>
      </w:pPr>
    </w:p>
    <w:p>
      <w:pPr>
        <w:jc w:val="both"/>
        <w:ind w:left="840" w:firstLine="5"/>
        <w:spacing w:after="0" w:line="263" w:lineRule="auto"/>
        <w:tabs>
          <w:tab w:leader="none" w:pos="106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u w:val="single" w:color="auto"/>
          <w:color w:val="auto"/>
        </w:rPr>
        <w:t>Ocean Power Technologies, Inc.</w:t>
      </w:r>
    </w:p>
    <w:p>
      <w:pPr>
        <w:spacing w:after="0" w:line="27" w:lineRule="exact"/>
        <w:rPr>
          <w:sz w:val="20"/>
          <w:szCs w:val="20"/>
          <w:color w:val="auto"/>
        </w:rPr>
      </w:pPr>
    </w:p>
    <w:p>
      <w:pPr>
        <w:jc w:val="center"/>
        <w:ind w:left="5620"/>
        <w:spacing w:after="0"/>
        <w:rPr>
          <w:sz w:val="20"/>
          <w:szCs w:val="20"/>
          <w:color w:val="auto"/>
        </w:rPr>
      </w:pPr>
      <w:r>
        <w:rPr>
          <w:rFonts w:ascii="Arial" w:cs="Arial" w:eastAsia="Arial" w:hAnsi="Arial"/>
          <w:sz w:val="18"/>
          <w:szCs w:val="18"/>
          <w:i w:val="1"/>
          <w:iCs w:val="1"/>
          <w:color w:val="auto"/>
        </w:rPr>
        <w:t>(Registrant)</w:t>
      </w:r>
    </w:p>
    <w:p>
      <w:pPr>
        <w:spacing w:after="0" w:line="211"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March 9, 2020</w:t>
      </w:r>
      <w:r>
        <w:rPr>
          <w:sz w:val="20"/>
          <w:szCs w:val="20"/>
          <w:color w:val="auto"/>
        </w:rPr>
        <w:tab/>
      </w:r>
      <w:r>
        <w:rPr>
          <w:rFonts w:ascii="Arial" w:cs="Arial" w:eastAsia="Arial" w:hAnsi="Arial"/>
          <w:sz w:val="17"/>
          <w:szCs w:val="17"/>
          <w:i w:val="1"/>
          <w:iCs w:val="1"/>
          <w:color w:val="auto"/>
        </w:rPr>
        <w:t>/s/ George H. Kirby III</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38"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March 9, 2020</w:t>
      </w:r>
      <w:r>
        <w:rPr>
          <w:sz w:val="20"/>
          <w:szCs w:val="20"/>
          <w:color w:val="auto"/>
        </w:rPr>
        <w:tab/>
      </w:r>
      <w:r>
        <w:rPr>
          <w:rFonts w:ascii="Arial" w:cs="Arial" w:eastAsia="Arial" w:hAnsi="Arial"/>
          <w:sz w:val="16"/>
          <w:szCs w:val="16"/>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Matthew T. Shafer</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Chief Financial Officer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ind w:left="9000"/>
        <w:spacing w:after="0"/>
        <w:rPr>
          <w:sz w:val="20"/>
          <w:szCs w:val="20"/>
          <w:color w:val="auto"/>
        </w:rPr>
      </w:pPr>
      <w:r>
        <w:rPr>
          <w:rFonts w:ascii="Arial" w:cs="Arial" w:eastAsia="Arial" w:hAnsi="Arial"/>
          <w:sz w:val="19"/>
          <w:szCs w:val="19"/>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78441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784415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8155940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35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7723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35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7723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8155940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8155940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7241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62325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6232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George H. Kirby III,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sz w:val="20"/>
          <w:szCs w:val="20"/>
          <w:color w:val="auto"/>
        </w:rPr>
      </w:pPr>
    </w:p>
    <w:p>
      <w:pPr>
        <w:ind w:left="340" w:right="2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T. Shafer,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sz w:val="20"/>
          <w:szCs w:val="20"/>
          <w:color w:val="auto"/>
        </w:rPr>
      </w:pPr>
    </w:p>
    <w:p>
      <w:pPr>
        <w:ind w:left="340" w:right="2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January 31, 2020, as filed with the Securities and Exchange Commission on the date hereof (the “Report”), the undersigned, George H. Kirby III, Chief Executive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460" w:firstLine="8"/>
        <w:spacing w:after="0" w:line="500" w:lineRule="auto"/>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9, 2020</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January 31, 2020, as filed with the Securities and Exchange Commission on the date hereof (the “Report”), the undersigned, Matthew T. Shafer, Chief Financial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460" w:firstLine="8"/>
        <w:spacing w:after="0" w:line="500" w:lineRule="auto"/>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9, 2020</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24"/>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lowerLetter"/>
      <w:start w:val="3"/>
    </w:lvl>
  </w:abstractNum>
  <w:abstractNum w:abstractNumId="4">
    <w:nsid w:val="1BEFD79F"/>
    <w:multiLevelType w:val="hybridMultilevel"/>
    <w:lvl w:ilvl="0">
      <w:lvlJc w:val="left"/>
      <w:lvlText w:val="(%1)"/>
      <w:numFmt w:val="lowerLetter"/>
      <w:start w:val="11"/>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01"/>
    </w:lvl>
    <w:lvl w:ilvl="1">
      <w:lvlJc w:val="left"/>
      <w:lvlText w:val="*"/>
      <w:numFmt w:val="bullet"/>
      <w:start w:val="1"/>
    </w:lvl>
  </w:abstractNum>
  <w:abstractNum w:abstractNumId="14">
    <w:nsid w:val="62BBD95A"/>
    <w:multiLevelType w:val="hybridMultilevel"/>
    <w:lvl w:ilvl="0">
      <w:lvlJc w:val="left"/>
      <w:lvlText w:val="%1"/>
      <w:numFmt w:val="decimal"/>
      <w:start w:val="1"/>
    </w:lvl>
    <w:lvl w:ilvl="1">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2020-03-09T15:56:39Z</dcterms:created>
  <dcterms:modified xsi:type="dcterms:W3CDTF">2020-03-09T15:56:39Z</dcterms:modified>
</cp:coreProperties>
</file>