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right="880" w:firstLine="332"/>
        <w:spacing w:after="0" w:line="501" w:lineRule="auto"/>
        <w:tabs>
          <w:tab w:leader="none" w:pos="137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January 31, 2015</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380" w:hanging="1048"/>
        <w:spacing w:after="0"/>
        <w:tabs>
          <w:tab w:leader="none" w:pos="1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spacing w:after="0"/>
        <w:tabs>
          <w:tab w:leader="none" w:pos="3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1578610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001-33417</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OCEAN POWER TECHNOLOGIES,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477" w:right="239" w:bottom="1440" w:gutter="0" w:footer="0" w:header="0"/>
        </w:sectPr>
      </w:pPr>
    </w:p>
    <w:p>
      <w:pPr>
        <w:spacing w:after="0" w:line="20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477" w:right="2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1590 REED ROAD, PENNINGTON, NJ 08534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77" w:right="239" w:bottom="1440" w:gutter="0" w:footer="0" w:header="0"/>
          <w:type w:val="continuous"/>
        </w:sectPr>
      </w:pPr>
    </w:p>
    <w:p>
      <w:pPr>
        <w:spacing w:after="0" w:line="330"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jc w:val="center"/>
        <w:spacing w:after="0" w:line="232"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80" w:lineRule="exact"/>
        <w:rPr>
          <w:sz w:val="24"/>
          <w:szCs w:val="24"/>
          <w:color w:val="auto"/>
        </w:rPr>
      </w:pPr>
    </w:p>
    <w:p>
      <w:pPr>
        <w:sectPr>
          <w:pgSz w:w="11900" w:h="16838" w:orient="portrait"/>
          <w:cols w:equalWidth="0" w:num="4">
            <w:col w:w="2700" w:space="720"/>
            <w:col w:w="1720" w:space="720"/>
            <w:col w:w="2580" w:space="640"/>
            <w:col w:w="2340"/>
          </w:cols>
          <w:pgMar w:left="240" w:top="477"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28, 2015, the number of outstanding shares of common stock of the registrant was 18,354,611.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793115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JANUARY 31, 2015</w:t>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260" w:type="dxa"/>
            <w:vAlign w:val="bottom"/>
          </w:tcPr>
          <w:p>
            <w:pPr>
              <w:spacing w:after="0"/>
              <w:rPr>
                <w:sz w:val="17"/>
                <w:szCs w:val="17"/>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26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 Financial Statements (unaudited):</w:t>
            </w: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Balance Sheets as of January 31, 2015 and April 30, 2014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Statements of Operations for the Three and Nine Months Ended January 31, 2015 and 2014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Statements of Comprehensive Loss for the Three and Nine Months Ended January 31, 2015 and 2014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Statements of Stockholders' Equity for the Nine Months Ended January 31, 2015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Statements of Cash Flows for the Nine Months Ended January 31, 2015 and 2014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to Consolidated Financial Statements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4. Controls and Procedures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 Legal Proceedings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1A. Risk Factors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3. Defaults Upon Senior Securities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4. Mine Safety Disclosures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5. Other Information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6. Exhibits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PowerBuoy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633095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“goal” and similar expressions may identify forward-looking statements, but the absence of these words does not necessarily mean that a statement is not forward-looking.</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2014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40" w:type="dxa"/>
            <w:vAlign w:val="bottom"/>
          </w:tcPr>
          <w:p>
            <w:pPr>
              <w:jc w:val="center"/>
              <w:ind w:left="255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440" w:type="dxa"/>
            <w:vAlign w:val="bottom"/>
          </w:tcPr>
          <w:p>
            <w:pPr>
              <w:ind w:left="220"/>
              <w:spacing w:after="0"/>
              <w:rPr>
                <w:sz w:val="20"/>
                <w:szCs w:val="20"/>
                <w:color w:val="auto"/>
              </w:rPr>
            </w:pPr>
            <w:r>
              <w:rPr>
                <w:rFonts w:ascii="Arial" w:cs="Arial" w:eastAsia="Arial" w:hAnsi="Arial"/>
                <w:sz w:val="18"/>
                <w:szCs w:val="18"/>
                <w:b w:val="1"/>
                <w:bCs w:val="1"/>
                <w:i w:val="1"/>
                <w:iCs w:val="1"/>
                <w:color w:val="auto"/>
              </w:rPr>
              <w:t>FINANCIAL STATEMENTS</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40" w:type="dxa"/>
            <w:vAlign w:val="bottom"/>
          </w:tcPr>
          <w:p>
            <w:pPr>
              <w:jc w:val="center"/>
              <w:ind w:left="255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40" w:type="dxa"/>
            <w:vAlign w:val="bottom"/>
          </w:tcPr>
          <w:p>
            <w:pPr>
              <w:jc w:val="center"/>
              <w:ind w:left="2550"/>
              <w:spacing w:after="0"/>
              <w:rPr>
                <w:sz w:val="20"/>
                <w:szCs w:val="20"/>
                <w:color w:val="auto"/>
              </w:rPr>
            </w:pPr>
            <w:r>
              <w:rPr>
                <w:rFonts w:ascii="Arial" w:cs="Arial" w:eastAsia="Arial" w:hAnsi="Arial"/>
                <w:sz w:val="18"/>
                <w:szCs w:val="18"/>
                <w:b w:val="1"/>
                <w:bCs w:val="1"/>
                <w:color w:val="auto"/>
                <w:w w:val="87"/>
              </w:rPr>
              <w:t>Consolidated Balance Sheets</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0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0"/>
              </w:rPr>
              <w:t>January 31, 2015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April 30, 2014</w:t>
            </w: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40" w:type="dxa"/>
            <w:vAlign w:val="bottom"/>
            <w:shd w:val="clear" w:color="auto" w:fill="CCEEFF"/>
          </w:tcPr>
          <w:p>
            <w:pPr>
              <w:ind w:left="30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19,868,906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13,858,659</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14,493,881</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469,525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6,124,960</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18,991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308,731</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Unbilled receivables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189,265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37,410</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330,010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568,377</w:t>
            </w:r>
          </w:p>
        </w:tc>
      </w:tr>
      <w:tr>
        <w:trPr>
          <w:trHeight w:val="210"/>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20,926,697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35,392,018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262,850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317,513</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net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207,077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828,298</w:t>
            </w: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1,221,696</w:t>
            </w: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426,677</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325,310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4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21,898,301</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38,084,835</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40" w:type="dxa"/>
            <w:vAlign w:val="bottom"/>
            <w:shd w:val="clear" w:color="auto" w:fill="CCEEFF"/>
          </w:tcPr>
          <w:p>
            <w:pPr>
              <w:ind w:left="13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141,896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501,397</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2,448,855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2,931,239</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Advance payment received from customer</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4,709,055</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Unearned revenues</w:t>
            </w:r>
          </w:p>
        </w:tc>
        <w:tc>
          <w:tcPr>
            <w:tcW w:w="100" w:type="dxa"/>
            <w:vAlign w:val="bottom"/>
          </w:tcPr>
          <w:p>
            <w:pPr>
              <w:spacing w:after="0"/>
              <w:rPr>
                <w:sz w:val="18"/>
                <w:szCs w:val="18"/>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992,447</w:t>
            </w: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4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2,690,751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9,234,138</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w:t>
            </w: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Deferred credits</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r>
      <w:tr>
        <w:trPr>
          <w:trHeight w:val="210"/>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3,365,751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9,984,138</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Ocean Power Technologies, Inc. stockholders’ equity:</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100" w:type="dxa"/>
            <w:vAlign w:val="bottom"/>
          </w:tcPr>
          <w:p>
            <w:pPr>
              <w:spacing w:after="0"/>
              <w:rPr>
                <w:sz w:val="18"/>
                <w:szCs w:val="18"/>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1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$0.001 par value; authorized 105,000,000 shares, issued 18,393,269 and 17,593,637 shares,</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respectively Treasury stock, at cost; 38,658 and 37,852 shares, respectively</w:t>
            </w:r>
          </w:p>
        </w:tc>
        <w:tc>
          <w:tcPr>
            <w:tcW w:w="10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(132,016)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(130,707)</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180,692,849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180,454,341</w:t>
            </w: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(161,478,920)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(151,640,503)</w:t>
            </w: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(167,971)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(225,733)</w:t>
            </w:r>
          </w:p>
        </w:tc>
      </w:tr>
      <w:tr>
        <w:trPr>
          <w:trHeight w:val="210"/>
        </w:trPr>
        <w:tc>
          <w:tcPr>
            <w:tcW w:w="20" w:type="dxa"/>
            <w:vAlign w:val="bottom"/>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7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Ocean Power Technologies, Inc.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18,932,335</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28,474,992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Noncontrolling interest in Ocean Power Technologies (Australasia) Pty Ltd.</w:t>
            </w:r>
          </w:p>
        </w:tc>
        <w:tc>
          <w:tcPr>
            <w:tcW w:w="100" w:type="dxa"/>
            <w:vAlign w:val="bottom"/>
          </w:tcPr>
          <w:p>
            <w:pPr>
              <w:spacing w:after="0"/>
              <w:rPr>
                <w:sz w:val="18"/>
                <w:szCs w:val="18"/>
                <w:color w:val="auto"/>
              </w:rPr>
            </w:pP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(399,785)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(374,295)</w:t>
            </w: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18,532,550</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28,100,697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40" w:type="dxa"/>
            <w:vAlign w:val="bottom"/>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21,898,301</w:t>
            </w:r>
          </w:p>
        </w:tc>
        <w:tc>
          <w:tcPr>
            <w:tcW w:w="12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38,084,835</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Three Months Ended January</w:t>
            </w:r>
          </w:p>
        </w:tc>
        <w:tc>
          <w:tcPr>
            <w:tcW w:w="120" w:type="dxa"/>
            <w:vAlign w:val="bottom"/>
          </w:tcPr>
          <w:p>
            <w:pPr>
              <w:spacing w:after="0"/>
              <w:rPr>
                <w:sz w:val="18"/>
                <w:szCs w:val="18"/>
                <w:color w:val="auto"/>
              </w:rPr>
            </w:pPr>
          </w:p>
        </w:tc>
        <w:tc>
          <w:tcPr>
            <w:tcW w:w="248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1"/>
              </w:rPr>
              <w:t>Nine Months Ended January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8"/>
                <w:szCs w:val="18"/>
                <w:b w:val="1"/>
                <w:bCs w:val="1"/>
                <w:color w:val="auto"/>
              </w:rPr>
              <w:t>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328,511</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3,616,827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379,106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193,213</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4,344,346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1,115,925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(loss) profit</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(50,595)</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1,082,628</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785,946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2,227,060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1,956,702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1,771,560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7,788,552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6,128,211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3,039,330</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2,557,506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10,015,612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9,795,191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(3,089,925)</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(2,551,097)</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(10,743,131)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(9,786,959)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185,000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(246,002)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23,448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(467,909)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(3,329,134)</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(2,524,313)</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(11,074,443)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(9,627,811)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1,137,872</w:t>
            </w: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1,745,895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1,137,872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1,745,895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(2,191,262)</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(778,418)</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(9,936,571)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(7,881,916)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Less: Net loss attributable to the noncontrolling interest in Ocean Power</w:t>
            </w: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38,628</w:t>
            </w:r>
          </w:p>
        </w:tc>
        <w:tc>
          <w:tcPr>
            <w:tcW w:w="2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98,154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121,599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Technologies (Australasia) Pty Ltd.</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(2,185,971)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(739,790)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(9,838,417)</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(7,760,317)</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(0.12)</w:t>
            </w: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Pr>
          <w:p>
            <w:pPr>
              <w:spacing w:after="0" w:line="196" w:lineRule="exact"/>
              <w:rPr>
                <w:sz w:val="20"/>
                <w:szCs w:val="20"/>
                <w:color w:val="auto"/>
              </w:rPr>
            </w:pPr>
            <w:r>
              <w:rPr>
                <w:rFonts w:ascii="Arial" w:cs="Arial" w:eastAsia="Arial" w:hAnsi="Arial"/>
                <w:sz w:val="18"/>
                <w:szCs w:val="18"/>
                <w:color w:val="auto"/>
                <w:w w:val="95"/>
              </w:rPr>
              <w:t>Weighted average shares used to compute basic and diluted net loss per share</w:t>
            </w:r>
          </w:p>
        </w:tc>
        <w:tc>
          <w:tcPr>
            <w:tcW w:w="10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17,508,270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12,163,239</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17,484,839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10,995,525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720" w:type="dxa"/>
            <w:vAlign w:val="bottom"/>
            <w:gridSpan w:val="6"/>
          </w:tcPr>
          <w:p>
            <w:pPr>
              <w:jc w:val="center"/>
              <w:ind w:left="363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720" w:type="dxa"/>
            <w:vAlign w:val="bottom"/>
            <w:gridSpan w:val="6"/>
          </w:tcPr>
          <w:p>
            <w:pPr>
              <w:jc w:val="center"/>
              <w:ind w:left="3610"/>
              <w:spacing w:after="0"/>
              <w:rPr>
                <w:sz w:val="20"/>
                <w:szCs w:val="20"/>
                <w:color w:val="auto"/>
              </w:rPr>
            </w:pPr>
            <w:r>
              <w:rPr>
                <w:rFonts w:ascii="Arial" w:cs="Arial" w:eastAsia="Arial" w:hAnsi="Arial"/>
                <w:sz w:val="18"/>
                <w:szCs w:val="18"/>
                <w:b w:val="1"/>
                <w:bCs w:val="1"/>
                <w:color w:val="auto"/>
                <w:w w:val="87"/>
              </w:rPr>
              <w:t>Consolidated Statements of Comprehensive Loss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p>
        </w:tc>
        <w:tc>
          <w:tcPr>
            <w:tcW w:w="128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3"/>
              </w:rPr>
              <w:t>(Unaudited)</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4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Three Months Ended January</w:t>
            </w:r>
          </w:p>
        </w:tc>
        <w:tc>
          <w:tcPr>
            <w:tcW w:w="120" w:type="dxa"/>
            <w:vAlign w:val="bottom"/>
          </w:tcPr>
          <w:p>
            <w:pPr>
              <w:spacing w:after="0"/>
              <w:rPr>
                <w:sz w:val="24"/>
                <w:szCs w:val="24"/>
                <w:color w:val="auto"/>
              </w:rPr>
            </w:pPr>
          </w:p>
        </w:tc>
        <w:tc>
          <w:tcPr>
            <w:tcW w:w="248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1"/>
              </w:rPr>
              <w:t>Nine Months Ended January</w:t>
            </w: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8"/>
                <w:szCs w:val="18"/>
                <w:b w:val="1"/>
                <w:bCs w:val="1"/>
                <w:color w:val="auto"/>
              </w:rPr>
              <w:t>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(2,191,262)</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(9,936,571)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(7,881,916)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64,414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(42,395)</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130,426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(101,180)</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(2,126,848)</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(820,813)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(9,806,145)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(7,983,096)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gridSpan w:val="3"/>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8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Comprehensive (income) loss attributable to the noncontrolling interest in</w:t>
            </w:r>
          </w:p>
        </w:tc>
        <w:tc>
          <w:tcPr>
            <w:tcW w:w="13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(44,564)</w:t>
            </w:r>
          </w:p>
        </w:tc>
        <w:tc>
          <w:tcPr>
            <w:tcW w:w="2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18,802</w:t>
            </w: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25,490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88,868</w:t>
            </w: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Ocean Power Technologies (Australasia) Pty Ltd.</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6"/>
              </w:rPr>
              <w:t>Comprehensive loss attributable to Ocean Power Technologies,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(2,171,412)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(802,011)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(9,780,655)</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(7,894,228)</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60" w:type="dxa"/>
            <w:vAlign w:val="bottom"/>
            <w:gridSpan w:val="8"/>
          </w:tcPr>
          <w:p>
            <w:pPr>
              <w:jc w:val="center"/>
              <w:ind w:left="27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60" w:type="dxa"/>
            <w:vAlign w:val="bottom"/>
            <w:gridSpan w:val="8"/>
          </w:tcPr>
          <w:p>
            <w:pPr>
              <w:jc w:val="center"/>
              <w:ind w:left="270"/>
              <w:spacing w:after="0"/>
              <w:rPr>
                <w:sz w:val="20"/>
                <w:szCs w:val="20"/>
                <w:color w:val="auto"/>
              </w:rPr>
            </w:pPr>
            <w:r>
              <w:rPr>
                <w:rFonts w:ascii="Arial" w:cs="Arial" w:eastAsia="Arial" w:hAnsi="Arial"/>
                <w:sz w:val="18"/>
                <w:szCs w:val="18"/>
                <w:b w:val="1"/>
                <w:bCs w:val="1"/>
                <w:color w:val="auto"/>
                <w:w w:val="89"/>
              </w:rPr>
              <w:t>Consolidated Statements of Stockholders' Equity</w:t>
            </w: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(Unaudited)</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20" w:type="dxa"/>
            <w:vAlign w:val="bottom"/>
            <w:gridSpan w:val="5"/>
            <w:vMerge w:val="restart"/>
          </w:tcPr>
          <w:p>
            <w:pPr>
              <w:jc w:val="right"/>
              <w:ind w:right="400"/>
              <w:spacing w:after="0"/>
              <w:rPr>
                <w:sz w:val="20"/>
                <w:szCs w:val="20"/>
                <w:color w:val="auto"/>
              </w:rPr>
            </w:pPr>
            <w:r>
              <w:rPr>
                <w:rFonts w:ascii="Arial" w:cs="Arial" w:eastAsia="Arial" w:hAnsi="Arial"/>
                <w:sz w:val="18"/>
                <w:szCs w:val="18"/>
                <w:b w:val="1"/>
                <w:bCs w:val="1"/>
                <w:color w:val="auto"/>
              </w:rPr>
              <w:t>Common Shares</w:t>
            </w:r>
          </w:p>
        </w:tc>
        <w:tc>
          <w:tcPr>
            <w:tcW w:w="1780" w:type="dxa"/>
            <w:vAlign w:val="bottom"/>
            <w:gridSpan w:val="4"/>
            <w:vMerge w:val="restart"/>
          </w:tcPr>
          <w:p>
            <w:pPr>
              <w:jc w:val="right"/>
              <w:ind w:right="360"/>
              <w:spacing w:after="0"/>
              <w:rPr>
                <w:sz w:val="20"/>
                <w:szCs w:val="20"/>
                <w:color w:val="auto"/>
              </w:rPr>
            </w:pPr>
            <w:r>
              <w:rPr>
                <w:rFonts w:ascii="Arial" w:cs="Arial" w:eastAsia="Arial" w:hAnsi="Arial"/>
                <w:sz w:val="18"/>
                <w:szCs w:val="18"/>
                <w:b w:val="1"/>
                <w:bCs w:val="1"/>
                <w:color w:val="auto"/>
                <w:w w:val="99"/>
              </w:rPr>
              <w:t>Treasury Shares</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Additional</w:t>
            </w: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Other</w:t>
            </w:r>
          </w:p>
        </w:tc>
        <w:tc>
          <w:tcPr>
            <w:tcW w:w="14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98"/>
              </w:rPr>
              <w:t>Noncontrolling</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20" w:type="dxa"/>
            <w:vAlign w:val="bottom"/>
            <w:gridSpan w:val="5"/>
            <w:vMerge w:val="continue"/>
          </w:tcPr>
          <w:p>
            <w:pPr>
              <w:spacing w:after="0"/>
              <w:rPr>
                <w:sz w:val="19"/>
                <w:szCs w:val="19"/>
                <w:color w:val="auto"/>
              </w:rPr>
            </w:pPr>
          </w:p>
        </w:tc>
        <w:tc>
          <w:tcPr>
            <w:tcW w:w="1780" w:type="dxa"/>
            <w:vAlign w:val="bottom"/>
            <w:gridSpan w:val="4"/>
            <w:vMerge w:val="continue"/>
          </w:tcPr>
          <w:p>
            <w:pPr>
              <w:spacing w:after="0"/>
              <w:rPr>
                <w:sz w:val="19"/>
                <w:szCs w:val="19"/>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Paid-In</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Accumulated</w:t>
            </w: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Comprehensive</w:t>
            </w:r>
          </w:p>
        </w:tc>
        <w:tc>
          <w:tcPr>
            <w:tcW w:w="1460" w:type="dxa"/>
            <w:vAlign w:val="bottom"/>
            <w:gridSpan w:val="2"/>
            <w:vMerge w:val="continue"/>
          </w:tcPr>
          <w:p>
            <w:pPr>
              <w:spacing w:after="0"/>
              <w:rPr>
                <w:sz w:val="19"/>
                <w:szCs w:val="19"/>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Interest</w:t>
            </w: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10"/>
                <w:szCs w:val="10"/>
                <w:color w:val="auto"/>
              </w:rPr>
            </w:pPr>
          </w:p>
        </w:tc>
        <w:tc>
          <w:tcPr>
            <w:tcW w:w="86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w w:val="94"/>
              </w:rPr>
              <w:t>Amount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96"/>
              </w:rPr>
              <w:t>Shares</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99"/>
              </w:rPr>
              <w:t>Amount</w:t>
            </w: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6"/>
              </w:rPr>
              <w:t>Capital</w:t>
            </w:r>
          </w:p>
        </w:tc>
        <w:tc>
          <w:tcPr>
            <w:tcW w:w="124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36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0"/>
              </w:rPr>
              <w:t>Loss</w:t>
            </w:r>
          </w:p>
        </w:tc>
        <w:tc>
          <w:tcPr>
            <w:tcW w:w="1460" w:type="dxa"/>
            <w:vAlign w:val="bottom"/>
            <w:gridSpan w:val="2"/>
            <w:vMerge w:val="continue"/>
          </w:tcPr>
          <w:p>
            <w:pPr>
              <w:spacing w:after="0"/>
              <w:rPr>
                <w:sz w:val="10"/>
                <w:szCs w:val="10"/>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20" w:type="dxa"/>
            <w:vAlign w:val="bottom"/>
            <w:vMerge w:val="restart"/>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April 30,</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17,593,637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17,594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(37,852)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(130,707)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180,454,341</w:t>
            </w:r>
          </w:p>
        </w:tc>
        <w:tc>
          <w:tcPr>
            <w:tcW w:w="16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(151,640,503)</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(225,733)</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(374,295)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28,100,697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(9,838,417)</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(98,154)</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(9,936,571)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based</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129,774</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129,774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w w:val="93"/>
              </w:rPr>
              <w:t>Issuance (forfeiture)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of restricted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stock, net</w:t>
            </w:r>
          </w:p>
        </w:tc>
        <w:tc>
          <w:tcPr>
            <w:tcW w:w="900" w:type="dxa"/>
            <w:vAlign w:val="bottom"/>
          </w:tcPr>
          <w:p>
            <w:pPr>
              <w:jc w:val="right"/>
              <w:spacing w:after="0"/>
              <w:rPr>
                <w:sz w:val="20"/>
                <w:szCs w:val="20"/>
                <w:color w:val="auto"/>
              </w:rPr>
            </w:pPr>
            <w:r>
              <w:rPr>
                <w:rFonts w:ascii="Arial" w:cs="Arial" w:eastAsia="Arial" w:hAnsi="Arial"/>
                <w:sz w:val="18"/>
                <w:szCs w:val="18"/>
                <w:color w:val="auto"/>
              </w:rPr>
              <w:t>799,632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799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108,084</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108,883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Sale of stock</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650</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comprehensive</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57,762</w:t>
            </w:r>
          </w:p>
        </w:tc>
        <w:tc>
          <w:tcPr>
            <w:tcW w:w="1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72,664</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w:t>
            </w: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40" w:type="dxa"/>
            <w:vAlign w:val="bottom"/>
            <w:tcBorders>
              <w:right w:val="single" w:sz="8" w:color="CCEEFF"/>
            </w:tcBorders>
            <w:gridSpan w:val="2"/>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520" w:type="dxa"/>
            <w:vAlign w:val="bottom"/>
          </w:tcPr>
          <w:p>
            <w:pPr>
              <w:spacing w:after="0" w:line="195" w:lineRule="exact"/>
              <w:rPr>
                <w:sz w:val="20"/>
                <w:szCs w:val="20"/>
                <w:color w:val="auto"/>
              </w:rPr>
            </w:pPr>
            <w:r>
              <w:rPr>
                <w:rFonts w:ascii="Arial" w:cs="Arial" w:eastAsia="Arial" w:hAnsi="Arial"/>
                <w:sz w:val="18"/>
                <w:szCs w:val="18"/>
                <w:color w:val="auto"/>
              </w:rPr>
              <w:t>Balance, January</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7"/>
              </w:rPr>
              <w:t>18,393,269</w:t>
            </w:r>
          </w:p>
        </w:tc>
        <w:tc>
          <w:tcPr>
            <w:tcW w:w="1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8"/>
              </w:rPr>
              <w:t>18,393</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(38,658)</w:t>
            </w: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89"/>
              </w:rPr>
              <w:t>$ (132,016)</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5"/>
              </w:rPr>
              <w:t>180,692,849</w:t>
            </w:r>
          </w:p>
        </w:tc>
        <w:tc>
          <w:tcPr>
            <w:tcW w:w="160" w:type="dxa"/>
            <w:vAlign w:val="bottom"/>
          </w:tcPr>
          <w:p>
            <w:pPr>
              <w:spacing w:after="0"/>
              <w:rPr>
                <w:sz w:val="16"/>
                <w:szCs w:val="16"/>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8"/>
              </w:rPr>
              <w:t>(161,478,920)</w:t>
            </w:r>
          </w:p>
        </w:tc>
        <w:tc>
          <w:tcPr>
            <w:tcW w:w="13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(167,971)</w:t>
            </w:r>
          </w:p>
        </w:tc>
        <w:tc>
          <w:tcPr>
            <w:tcW w:w="14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(399,785)</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w w:val="95"/>
              </w:rPr>
              <w:t>18,532,550</w:t>
            </w:r>
          </w:p>
        </w:tc>
        <w:tc>
          <w:tcPr>
            <w:tcW w:w="0" w:type="dxa"/>
            <w:vAlign w:val="bottom"/>
          </w:tcPr>
          <w:p>
            <w:pPr>
              <w:spacing w:after="0"/>
              <w:rPr>
                <w:sz w:val="1"/>
                <w:szCs w:val="1"/>
                <w:color w:val="auto"/>
              </w:rPr>
            </w:pPr>
          </w:p>
        </w:tc>
      </w:tr>
      <w:tr>
        <w:trPr>
          <w:trHeight w:val="190"/>
        </w:trPr>
        <w:tc>
          <w:tcPr>
            <w:tcW w:w="1540" w:type="dxa"/>
            <w:vAlign w:val="bottom"/>
            <w:gridSpan w:val="2"/>
          </w:tcPr>
          <w:p>
            <w:pPr>
              <w:spacing w:after="0" w:line="190" w:lineRule="exact"/>
              <w:rPr>
                <w:sz w:val="20"/>
                <w:szCs w:val="20"/>
                <w:color w:val="auto"/>
              </w:rPr>
            </w:pPr>
            <w:r>
              <w:rPr>
                <w:rFonts w:ascii="Arial" w:cs="Arial" w:eastAsia="Arial" w:hAnsi="Arial"/>
                <w:sz w:val="18"/>
                <w:szCs w:val="18"/>
                <w:color w:val="auto"/>
              </w:rPr>
              <w:t>31, 2015</w:t>
            </w:r>
          </w:p>
        </w:tc>
        <w:tc>
          <w:tcPr>
            <w:tcW w:w="9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40" w:type="dxa"/>
            <w:vAlign w:val="bottom"/>
          </w:tcPr>
          <w:p>
            <w:pPr>
              <w:jc w:val="center"/>
              <w:ind w:left="347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7"/>
          </w:tcPr>
          <w:p>
            <w:pPr>
              <w:jc w:val="right"/>
              <w:ind w:right="460"/>
              <w:spacing w:after="0"/>
              <w:rPr>
                <w:sz w:val="20"/>
                <w:szCs w:val="20"/>
                <w:color w:val="auto"/>
              </w:rPr>
            </w:pPr>
            <w:r>
              <w:rPr>
                <w:rFonts w:ascii="Arial" w:cs="Arial" w:eastAsia="Arial" w:hAnsi="Arial"/>
                <w:sz w:val="18"/>
                <w:szCs w:val="18"/>
                <w:b w:val="1"/>
                <w:bCs w:val="1"/>
                <w:color w:val="auto"/>
                <w:w w:val="95"/>
              </w:rPr>
              <w:t>Nine Months Ended January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(9,936,571)</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(7,881,916)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00"/>
              <w:spacing w:after="0"/>
              <w:rPr>
                <w:sz w:val="20"/>
                <w:szCs w:val="20"/>
                <w:color w:val="auto"/>
              </w:rPr>
            </w:pPr>
            <w:r>
              <w:rPr>
                <w:rFonts w:ascii="Arial" w:cs="Arial" w:eastAsia="Arial" w:hAnsi="Arial"/>
                <w:sz w:val="18"/>
                <w:szCs w:val="18"/>
                <w:color w:val="auto"/>
              </w:rPr>
              <w:t>Foreign exchange loss (gain)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467,909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(152,575)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727,188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00"/>
              <w:spacing w:after="0"/>
              <w:rPr>
                <w:sz w:val="20"/>
                <w:szCs w:val="20"/>
                <w:color w:val="auto"/>
              </w:rPr>
            </w:pPr>
            <w:r>
              <w:rPr>
                <w:rFonts w:ascii="Arial" w:cs="Arial" w:eastAsia="Arial" w:hAnsi="Arial"/>
                <w:sz w:val="18"/>
                <w:szCs w:val="18"/>
                <w:color w:val="auto"/>
              </w:rPr>
              <w:t>Loss on disposals of property, plant and equipment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Treasury note premium amortization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00"/>
              <w:spacing w:after="0"/>
              <w:rPr>
                <w:sz w:val="20"/>
                <w:szCs w:val="20"/>
                <w:color w:val="auto"/>
              </w:rPr>
            </w:pPr>
            <w:r>
              <w:rPr>
                <w:rFonts w:ascii="Arial" w:cs="Arial" w:eastAsia="Arial" w:hAnsi="Arial"/>
                <w:sz w:val="18"/>
                <w:szCs w:val="18"/>
                <w:color w:val="auto"/>
              </w:rPr>
              <w:t>Compensation expense related to stock option grants &amp; restricted stock</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238,657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569,540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Allowance for doubtful accounts receivable</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0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289,740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960"/>
              <w:spacing w:after="0"/>
              <w:rPr>
                <w:sz w:val="20"/>
                <w:szCs w:val="20"/>
                <w:color w:val="auto"/>
              </w:rPr>
            </w:pPr>
            <w:r>
              <w:rPr>
                <w:rFonts w:ascii="Arial" w:cs="Arial" w:eastAsia="Arial" w:hAnsi="Arial"/>
                <w:sz w:val="18"/>
                <w:szCs w:val="18"/>
                <w:color w:val="auto"/>
              </w:rPr>
              <w:t>Long-term receivables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209,906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Unbilled receivables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(151,855)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96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229,910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(176,254)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(134,126)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9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(348,795)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(229,680)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(435,950)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960"/>
              <w:spacing w:after="0"/>
              <w:rPr>
                <w:sz w:val="20"/>
                <w:szCs w:val="20"/>
                <w:color w:val="auto"/>
              </w:rPr>
            </w:pPr>
            <w:r>
              <w:rPr>
                <w:rFonts w:ascii="Arial" w:cs="Arial" w:eastAsia="Arial" w:hAnsi="Arial"/>
                <w:sz w:val="18"/>
                <w:szCs w:val="18"/>
                <w:color w:val="auto"/>
              </w:rPr>
              <w:t>Return of advanced payment to customer</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(4,709,055)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Unearned revenues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(992,447)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960"/>
              <w:spacing w:after="0"/>
              <w:rPr>
                <w:sz w:val="20"/>
                <w:szCs w:val="20"/>
                <w:color w:val="auto"/>
              </w:rPr>
            </w:pPr>
            <w:r>
              <w:rPr>
                <w:rFonts w:ascii="Arial" w:cs="Arial" w:eastAsia="Arial" w:hAnsi="Arial"/>
                <w:sz w:val="18"/>
                <w:szCs w:val="18"/>
                <w:color w:val="auto"/>
              </w:rPr>
              <w:t>Long-term unearned revenues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(14,751,624)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(8,052,017)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(13,796,959)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(18,494,272)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Maturities of marketable securities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28,240,840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20,989,422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6,787,329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Purchases of equipment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(54,466)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(21,191)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Net cashed provided by investing activities</w:t>
            </w: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21,176,744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the sale of common stock, net of issuance costs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5,933,259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Exercise of stock options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 of debt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(75,000)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Acquisition of treasury stock</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(1,309)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(75,659)</w:t>
            </w: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5,859,445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(339,214)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6,010,247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13,858,659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6,372,788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19,868,906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5,916,638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Capitalized purchases of equipment financed through accounts payable and accrued expenses</w:t>
            </w:r>
          </w:p>
        </w:tc>
        <w:tc>
          <w:tcPr>
            <w:tcW w:w="4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Background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Ocean Power Technologies, Inc. (the “Company”) was incorporated in 1984 in New Jersey, commenced business operations in 1994 and re-incorporated in Delaware in 2007. The Company develops and is seeking to commercialize proprietary systems that generate electricity by harnessing the renewable energy of ocean waves. The Company markets its products in the United States and internationally. Since fiscal 2002, government agencies have accounted for a significant portion of the Company’s revenues. These revenues were largely for the support of product development efforts. The Company’s goal is that an increased portion of its revenues be from the sale of products and maintenance services, as compared to revenue to support its product development efforts. As the Company continues to advance its proprietary technologies, it expects to continue to have a net decrease in cash from operating activities unless and until it achieves positive cash flow from the planned commercialization of its products and services.</w:t>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2014 filed with the Securities and Exchange Commission (“SEC”) and elsewhere in this Form 10-Q.</w:t>
      </w:r>
    </w:p>
    <w:p>
      <w:pPr>
        <w:spacing w:after="0" w:line="18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incurred net losses and negative operating cash flows since inception. As of January 31, 2015, the Company had an accumulated deficit of $161.5 million. As of January 31, 2015, the Company’s cash and cash equivalents and marketable securities balance was approximately $19.9 million as compared to $28.4 million at April 30, 2014. Based upon the Company’s cash and cash equivalents and marketable securities balance as of January 31, 2015, the Company believes that it will be able to finance its capital requirements and operations through at least the first calendar quarter of 2016. In addition, as of January 31, 2015, the Company’s restricted cash balance was approximately $0.6 million, which reflects a significant decrease from the Company’s restricted cash balance of approximately $7.3 million as of April 30, 2014. See Note 2(f).</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2014 and 2013, the Company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insufficiencies of capital, technology development, scalability of technology and production, dependence on skills of key personnel, concentration of customers and suppliers, performance of PowerBuoys, deployment risks and laws, regulations and permitting. In order to complete its future growth strategy, the Company will require additional equity and/or debt financing. There is no assurance that additional equity and/or debt financing will be available to the Company as needed. If sufficient financing is not obtained by the Company, we may be required to further curtail or limit certain product development costs, and/or selling, general and administrative activities in order to reduce our cash expenditures.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2013, we filed a shelf registration statement on Form S-3 (the “S-3” or the “S-3 Shelf”). The S-3 Shelf was declared effective in February 2013. Under the S-3 Shelf, in June 2013, we established an at the market offering facility (the “ATM Facility”) with Ascendiant Capital Markets, LLC (the “Manager”) via an At the Market Offering Agreement (the “ATM Agreement”). Under the ATM Agreement, we offered and sold shares of our common stock from time to time through the Manager, acting as sales agent, in ordinary brokerage transactions at prevailing market prices. Under the ATM Facility, during fiscal 2014, we issued 3,306,334 shares of our common stock at an average price to the public of $3.02 per share, receiving net proceeds from the ATM Facility of approximately $9,698,000.</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Also in fiscal 2014, we entered into an underwriting agreement (the “Underwriting Agreement”) with Roth Capital Partners, LLC (the “Underwriter”) on April 4, 2014, with respect to the issuance and sale in an underwritten public offering (the “Public Offering”) of an aggregate of 3,800,000 shares of our common stock at a price to the public of $3.10 per share. The Underwriting Agreement contained customary representations, warranties and agreements by us, customary conditions to closing and indemnification obligations, and a 90 day lock-up period that limited transactions in our common stock by us. Net proceeds from the Public Offering, which was completed in early April 2014, were approximately $10,828,000.</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Form S-3 limits the aggregate market value of securities that we are permitted to offer in any 12-month period under Form S-3, whether under the ATM Agreement, the Underwriting Agreement or otherwise, to one third of our public float. After the February 2014 share sales, we fully utilized the ATM Agreement and reached the applicable limit under Form S-3. Of the $40 million authorized under the S-3 Shelf, approximately $18.2 million remains available for issuance. During the nine months ended January 31, 2015, there were no proceeds from the sale of stock under the S-3 Shelf.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 and Cost Method Investment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January 31, 2015, there was one noncontrolling interest, consisting of 11.8% of the Company's Australian subsidiary, Ocean Power Technologies (Australasia) Pty. Ltd. (“OPTA”). OPTA owns 100% of Victorian Wave Partners Pty. Ltd. (“VWP”), which is also organized under the laws of Australia.</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January 31, 2015, there were no such entities.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estimated costs to complete for projects;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Currently, the Company has two types of fixed price contracts, firm fixed price and cost-sharing. Under firm fixed price contracts, the Company receives an agreed-upon amount for providing products and services specified in the contract. Under cost-sharing contracts, the fixed amount agreed upon with the customer is only intended to fund a portion of the costs on a specific project.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cost plus and firm fixed price contracts, a profit or loss on a project is recognized depending on whether actual costs are more or less than the agreed upon amount. Under cost sharing contracts, an amount corresponding to the revenue is recorded in cost of revenues, resulting in gross profit on these contracts of zero. The Company’s share of the costs is recorded as product development expense.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Most of the Company’s projects are under cost-sharing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The Company invests excess cash in an overnight U.S. government securities repurchase bank account. In accordance with the terms of the repurchase agreement, the Company does not take possession of the related securities. The agreement contains provisions to ensure that the market value of the underlying assets remain sufficient to protect the Company in the event of default by the bank by requiring that the underlying securities have a total market value of at least 100% of the bank’s total obligations under the agreement.</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January 31, 2015</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April 30, 2014</w:t>
            </w:r>
          </w:p>
        </w:tc>
        <w:tc>
          <w:tcPr>
            <w:tcW w:w="100" w:type="dxa"/>
            <w:vAlign w:val="bottom"/>
          </w:tcPr>
          <w:p>
            <w:pPr>
              <w:spacing w:after="0"/>
              <w:rPr>
                <w:sz w:val="20"/>
                <w:szCs w:val="20"/>
                <w:color w:val="auto"/>
              </w:rPr>
            </w:pPr>
          </w:p>
        </w:tc>
      </w:tr>
      <w:tr>
        <w:trPr>
          <w:trHeight w:val="210"/>
        </w:trPr>
        <w:tc>
          <w:tcPr>
            <w:tcW w:w="6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3,435,554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1,917,176</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Overnight repurchase account</w:t>
            </w:r>
          </w:p>
        </w:tc>
        <w:tc>
          <w:tcPr>
            <w:tcW w:w="16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13,926,933</w:t>
            </w:r>
          </w:p>
        </w:tc>
        <w:tc>
          <w:tcPr>
            <w:tcW w:w="2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Certificates of deposits and US Treasury obligations</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11,499,768</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2,506,419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441,715</w:t>
            </w:r>
          </w:p>
        </w:tc>
      </w:tr>
      <w:tr>
        <w:trPr>
          <w:trHeight w:val="250"/>
        </w:trPr>
        <w:tc>
          <w:tcPr>
            <w:tcW w:w="6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19,868,906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13,858,659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Marketable Securities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Marketable securities with original maturities longer than three months but that mature in less than one year from the balance sheet date are classified as current assets. Marketable securities that mature more than one year from the balance sheet date are classified as noncurrent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January 31, 2015 and April 30, 2014, all of the Company’s investments were classified as held-to-maturity.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Restricted Cash and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Company’s cash is restricted under the terms of three security agreements.</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One agreement is between Ocean Power Technologies, Inc.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carries a fee of 1% per annum of the amount of any such obligations issued by Barclays Bank. The credit facility does not have an expiration date, but is cancelable at the discretion of the bank. During the nine months ended January 31, 2015, the Company reduced the credit facility from €800,000 ($964,656) to approximately €307,000 ($347,525). As of January 31, 2015, there was €278,828 ($315,633) in letters of credit outstanding under this agreement.</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agreement is between Ocean Power Technologies, Inc. and the New Jersey Board of Public Utilities (NJBPU). The Company received a $500,000 recoverable grant award from the NJBPU of which $175,000 is outstanding at January 31, 2015. Under this arrangement, the Company annually assigns to the NJBPU a certificate of deposit in an amount equal to the outstanding grant balance. See Note 6.</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third agreement concerns letters of credit issued by PNC Bank for the benefit of the Oregon Department of State Lands for the removal of certain of the Company’s anchoring and mooring equipment from the seabed off the coast of Oregon. During the nine months ended January 31, 2015, the Company substantially completed the removal activity and reduced the letters of credit from $1,200,000 to one letter of credit of $22,000. This letter of credit is secured by a certificate of deposit with PNC Bank.</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had classified the initial grant funding received from the Australian Renewable Energy Agency (“ARENA”) of A$5,595,723 ($5,179,960), which includes an amount required to be submitted as goods and services tax (GST), as restricted cash as of April 30, 2014.</w:t>
      </w:r>
    </w:p>
    <w:p>
      <w:pPr>
        <w:spacing w:after="0" w:line="170"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During the nine months ended January 31, 2015, the Company remitted the GST in the amount of A$508,702 ($470,905) to the Australian Tax Office (ATO) in accordance with local tax laws and also reclaimed this amount from the ATO during such nine month period. The Company also returned the initial grant funding received of A$5,595,723 ($5,179,960) and interest of A$109,051 ($102,061) to ARENA in accordance with the Deed of Variation and Termination of Funding Deed executed between the parties in August 2014. The Company had accrued this amount in accrued expenses and recorded this amount as restricted cash at April 30, 2014. Restricted cash includes the following:</w:t>
      </w:r>
    </w:p>
    <w:p>
      <w:pPr>
        <w:spacing w:after="0" w:line="238"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January 31, 2015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April 30, 2014</w:t>
            </w:r>
          </w:p>
        </w:tc>
      </w:tr>
      <w:tr>
        <w:trPr>
          <w:trHeight w:val="190"/>
        </w:trPr>
        <w:tc>
          <w:tcPr>
            <w:tcW w:w="20" w:type="dxa"/>
            <w:vAlign w:val="bottom"/>
          </w:tcPr>
          <w:p>
            <w:pPr>
              <w:spacing w:after="0"/>
              <w:rPr>
                <w:sz w:val="16"/>
                <w:szCs w:val="16"/>
                <w:color w:val="auto"/>
              </w:rPr>
            </w:pPr>
          </w:p>
        </w:tc>
        <w:tc>
          <w:tcPr>
            <w:tcW w:w="5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6"/>
              </w:rPr>
              <w:t>Current:</w:t>
            </w:r>
          </w:p>
        </w:tc>
        <w:tc>
          <w:tcPr>
            <w:tcW w:w="5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Australian Renewable Energy Agency (ARENA)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5,179,960</w:t>
            </w: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NJBPU agreement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Oregon Department of State Lands</w:t>
            </w:r>
          </w:p>
        </w:tc>
        <w:tc>
          <w:tcPr>
            <w:tcW w:w="10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22,000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845,000</w:t>
            </w: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Bank Agreement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347,525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469,525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6,124,960</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w w:val="91"/>
              </w:rPr>
              <w:t>January 31, 2015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April 30, 2014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Long Term:</w:t>
            </w:r>
          </w:p>
        </w:tc>
        <w:tc>
          <w:tcPr>
            <w:tcW w:w="10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4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Barclay's Bank Agreement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996,696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NJBPU agreement</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1,221,696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Foreign Exchange Gains and Losses</w:t>
      </w:r>
    </w:p>
    <w:p>
      <w:pPr>
        <w:spacing w:after="0" w:line="225"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gains and losses are included in foreign exchange loss in the accompanying consolidated statements of operations.</w:t>
      </w:r>
    </w:p>
    <w:p>
      <w:pPr>
        <w:spacing w:after="0" w:line="194"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4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Three Months Ended January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Nine Months Ended January</w:t>
            </w:r>
          </w:p>
        </w:tc>
        <w:tc>
          <w:tcPr>
            <w:tcW w:w="100" w:type="dxa"/>
            <w:vAlign w:val="bottom"/>
          </w:tcPr>
          <w:p>
            <w:pPr>
              <w:spacing w:after="0"/>
              <w:rPr>
                <w:sz w:val="18"/>
                <w:szCs w:val="18"/>
                <w:color w:val="auto"/>
              </w:rPr>
            </w:pPr>
          </w:p>
        </w:tc>
      </w:tr>
      <w:tr>
        <w:trPr>
          <w:trHeight w:val="234"/>
        </w:trPr>
        <w:tc>
          <w:tcPr>
            <w:tcW w:w="5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r>
      <w:tr>
        <w:trPr>
          <w:trHeight w:val="250"/>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(246,002)</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23,448</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(467,909)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152,575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6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Foreign currency denominated certificates of deposit and cash accounts: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January 31, 2015</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April 30, 2014</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6,176,656</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Unrestricted</w:t>
            </w:r>
          </w:p>
        </w:tc>
        <w:tc>
          <w:tcPr>
            <w:tcW w:w="3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822,862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1,232,111</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268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1,170,387</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7,408,767</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926"/>
        </w:trPr>
        <w:tc>
          <w:tcPr>
            <w:tcW w:w="11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80" w:type="dxa"/>
            <w:vAlign w:val="bottom"/>
          </w:tcPr>
          <w:p>
            <w:pPr>
              <w:jc w:val="right"/>
              <w:ind w:right="10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2680" w:type="dxa"/>
            <w:vAlign w:val="bottom"/>
            <w:shd w:val="clear" w:color="auto" w:fill="808080"/>
          </w:tcPr>
          <w:p>
            <w:pPr>
              <w:spacing w:after="0"/>
              <w:rPr>
                <w:sz w:val="5"/>
                <w:szCs w:val="5"/>
                <w:color w:val="auto"/>
              </w:rPr>
            </w:pPr>
          </w:p>
        </w:tc>
        <w:tc>
          <w:tcPr>
            <w:tcW w:w="30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Long-Lived Assets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Long-lived assets, such as property and equipment and patents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 During the nine months ended January 31, 2015, the Company reviewed its long-lived assets for impairment and estimated that the remaining useful lives, for purposes of amortizing capitalized external patent costs, should be reduced from approximately five years to one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Concentration of Credit Risk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balances, bank certificates of deposit and trade receivables. The Company invests its excess cash in an overnight U.S. government securities repurchase bank account and does not believe that it is exposed to any significant risks related to its cash accounts, money market funds, certificates of deposit or overnight repurchase account.</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9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0"/>
              </w:rPr>
              <w:t>Three months ended January 31,</w:t>
            </w:r>
          </w:p>
        </w:tc>
        <w:tc>
          <w:tcPr>
            <w:tcW w:w="28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2"/>
              </w:rPr>
              <w:t>Nine months ended January 31,</w:t>
            </w:r>
          </w:p>
        </w:tc>
      </w:tr>
      <w:tr>
        <w:trPr>
          <w:trHeight w:val="183"/>
        </w:trPr>
        <w:tc>
          <w:tcPr>
            <w:tcW w:w="44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Customer</w:t>
            </w:r>
          </w:p>
        </w:tc>
        <w:tc>
          <w:tcPr>
            <w:tcW w:w="120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15"/>
                <w:szCs w:val="15"/>
                <w:color w:val="auto"/>
              </w:rPr>
            </w:pPr>
          </w:p>
        </w:tc>
        <w:tc>
          <w:tcPr>
            <w:tcW w:w="120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5"/>
                <w:szCs w:val="15"/>
                <w:color w:val="auto"/>
              </w:rPr>
            </w:pP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7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1460" w:type="dxa"/>
            <w:vAlign w:val="bottom"/>
            <w:gridSpan w:val="2"/>
          </w:tcPr>
          <w:p>
            <w:pPr>
              <w:spacing w:after="0"/>
              <w:rPr>
                <w:sz w:val="17"/>
                <w:szCs w:val="17"/>
                <w:color w:val="auto"/>
              </w:rPr>
            </w:pPr>
          </w:p>
        </w:tc>
        <w:tc>
          <w:tcPr>
            <w:tcW w:w="1360" w:type="dxa"/>
            <w:vAlign w:val="bottom"/>
            <w:gridSpan w:val="2"/>
          </w:tcPr>
          <w:p>
            <w:pPr>
              <w:spacing w:after="0"/>
              <w:rPr>
                <w:sz w:val="17"/>
                <w:szCs w:val="17"/>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Department of Energy</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Mitsui Engineering &amp; Shipbuilding</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Union (WavePort project)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UK Government's Technology Strategy Board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7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76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its customers to maintain collateral.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Net Loss per Common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computing diluted net loss per share, options to purchase shares of common stock and non-vested restricted stock issued to employees and non-employee directors, totaling 1,937,013 for the three and nine months ended January 31, 2015, and 1,581,016 for the three and nine months ended January 31, 2014, were excluded from the computations as the effect would be anti-dilutive due to the Company's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Recently Issued Accounting Standards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May 28,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requires an entity to recognize the amount of revenue to which it expects to be entitled for the transfer of promised goods or services to customers. The ASU will replace most existing revenue recognition guidance in U.S. Generally Accepted Accounting Principles (“GAAP”) when it becomes effective. The new standard is effective for us on January 1, 2017. Early application is not permitted. The standard permits the use of either the retrospective or the cumulative effect transition method. We are evaluating the effect that ASU 2014-09 will have on our consolidated financial statements and related disclosures. We have not yet selected a transition method nor have we determined the effect of the standard on our ongoing financial reporting.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We are evaluating the effect ASU 2014-15 will have on our consolidated financial statements and disclosures and have not yet determined the effect of the standard on our ongoing financial reporting at this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Marketable securities with initial maturities longer than three months but that mature within one year from the balance sheet date are classified as current assets and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January 31, 2015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7"/>
          </w:tcPr>
          <w:p>
            <w:pPr>
              <w:jc w:val="right"/>
              <w:ind w:right="1160"/>
              <w:spacing w:after="0"/>
              <w:rPr>
                <w:sz w:val="20"/>
                <w:szCs w:val="20"/>
                <w:color w:val="auto"/>
              </w:rPr>
            </w:pPr>
            <w:r>
              <w:rPr>
                <w:rFonts w:ascii="Arial" w:cs="Arial" w:eastAsia="Arial" w:hAnsi="Arial"/>
                <w:sz w:val="18"/>
                <w:szCs w:val="18"/>
                <w:b w:val="1"/>
                <w:bCs w:val="1"/>
                <w:color w:val="auto"/>
                <w:w w:val="99"/>
              </w:rPr>
              <w:t>April 30, 2014</w:t>
            </w:r>
          </w:p>
        </w:tc>
      </w:tr>
      <w:tr>
        <w:trPr>
          <w:trHeight w:val="250"/>
        </w:trPr>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Certificates of Deposit and US Treasury obligations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gridSpan w:val="2"/>
            <w:shd w:val="clear" w:color="auto" w:fill="CCEEFF"/>
          </w:tcPr>
          <w:p>
            <w:pPr>
              <w:ind w:left="960"/>
              <w:spacing w:after="0"/>
              <w:rPr>
                <w:sz w:val="20"/>
                <w:szCs w:val="20"/>
                <w:color w:val="auto"/>
              </w:rPr>
            </w:pPr>
            <w:r>
              <w:rPr>
                <w:rFonts w:ascii="Arial" w:cs="Arial" w:eastAsia="Arial" w:hAnsi="Arial"/>
                <w:sz w:val="18"/>
                <w:szCs w:val="18"/>
                <w:color w:val="auto"/>
                <w:w w:val="87"/>
              </w:rPr>
              <w:t>50,000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14,493,881</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629"/>
        </w:trPr>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(4) Balance Sheet Detail</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1"/>
              </w:rPr>
              <w:t>January 31, 2015</w:t>
            </w:r>
          </w:p>
        </w:tc>
        <w:tc>
          <w:tcPr>
            <w:tcW w:w="120" w:type="dxa"/>
            <w:vAlign w:val="bottom"/>
          </w:tcPr>
          <w:p>
            <w:pPr>
              <w:spacing w:after="0"/>
              <w:rPr>
                <w:sz w:val="24"/>
                <w:szCs w:val="24"/>
                <w:color w:val="auto"/>
              </w:rPr>
            </w:pPr>
          </w:p>
        </w:tc>
        <w:tc>
          <w:tcPr>
            <w:tcW w:w="138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4"/>
              </w:rPr>
              <w:t>April 30, 2014</w:t>
            </w:r>
          </w:p>
        </w:tc>
      </w:tr>
      <w:tr>
        <w:trPr>
          <w:trHeight w:val="210"/>
        </w:trPr>
        <w:tc>
          <w:tcPr>
            <w:tcW w:w="300" w:type="dxa"/>
            <w:vAlign w:val="bottom"/>
          </w:tcPr>
          <w:p>
            <w:pPr>
              <w:spacing w:after="0"/>
              <w:rPr>
                <w:sz w:val="18"/>
                <w:szCs w:val="18"/>
                <w:color w:val="auto"/>
              </w:rPr>
            </w:pPr>
          </w:p>
        </w:tc>
        <w:tc>
          <w:tcPr>
            <w:tcW w:w="66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Accounts receivable</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18,991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4"/>
          </w:tcPr>
          <w:p>
            <w:pPr>
              <w:jc w:val="right"/>
              <w:ind w:right="100"/>
              <w:spacing w:after="0"/>
              <w:rPr>
                <w:sz w:val="20"/>
                <w:szCs w:val="20"/>
                <w:color w:val="auto"/>
              </w:rPr>
            </w:pPr>
            <w:r>
              <w:rPr>
                <w:rFonts w:ascii="Arial" w:cs="Arial" w:eastAsia="Arial" w:hAnsi="Arial"/>
                <w:sz w:val="18"/>
                <w:szCs w:val="18"/>
                <w:color w:val="auto"/>
              </w:rPr>
              <w:t>308,731</w:t>
            </w:r>
          </w:p>
        </w:tc>
      </w:tr>
      <w:tr>
        <w:trPr>
          <w:trHeight w:val="20"/>
        </w:trPr>
        <w:tc>
          <w:tcPr>
            <w:tcW w:w="300" w:type="dxa"/>
            <w:vAlign w:val="bottom"/>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66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0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Patents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Patents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1,536,029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1,536,029</w:t>
            </w:r>
          </w:p>
        </w:tc>
      </w:tr>
      <w:tr>
        <w:trPr>
          <w:trHeight w:val="216"/>
        </w:trPr>
        <w:tc>
          <w:tcPr>
            <w:tcW w:w="30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(1,328,952)</w:t>
            </w:r>
          </w:p>
        </w:tc>
        <w:tc>
          <w:tcPr>
            <w:tcW w:w="120" w:type="dxa"/>
            <w:vAlign w:val="bottom"/>
          </w:tcPr>
          <w:p>
            <w:pPr>
              <w:spacing w:after="0"/>
              <w:rPr>
                <w:sz w:val="18"/>
                <w:szCs w:val="18"/>
                <w:color w:val="auto"/>
              </w:rPr>
            </w:pPr>
          </w:p>
        </w:tc>
        <w:tc>
          <w:tcPr>
            <w:tcW w:w="1380" w:type="dxa"/>
            <w:vAlign w:val="bottom"/>
            <w:gridSpan w:val="4"/>
          </w:tcPr>
          <w:p>
            <w:pPr>
              <w:jc w:val="right"/>
              <w:ind w:right="40"/>
              <w:spacing w:after="0"/>
              <w:rPr>
                <w:sz w:val="20"/>
                <w:szCs w:val="20"/>
                <w:color w:val="auto"/>
              </w:rPr>
            </w:pPr>
            <w:r>
              <w:rPr>
                <w:rFonts w:ascii="Arial" w:cs="Arial" w:eastAsia="Arial" w:hAnsi="Arial"/>
                <w:sz w:val="18"/>
                <w:szCs w:val="18"/>
                <w:color w:val="auto"/>
              </w:rPr>
              <w:t>(707,731)</w:t>
            </w:r>
          </w:p>
        </w:tc>
      </w:tr>
      <w:tr>
        <w:trPr>
          <w:trHeight w:val="250"/>
        </w:trPr>
        <w:tc>
          <w:tcPr>
            <w:tcW w:w="300" w:type="dxa"/>
            <w:vAlign w:val="bottom"/>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207,077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828,298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300" w:type="dxa"/>
            <w:vAlign w:val="bottom"/>
          </w:tcPr>
          <w:p>
            <w:pPr>
              <w:spacing w:after="0"/>
              <w:rPr>
                <w:sz w:val="17"/>
                <w:szCs w:val="17"/>
                <w:color w:val="auto"/>
              </w:rPr>
            </w:pPr>
          </w:p>
        </w:tc>
        <w:tc>
          <w:tcPr>
            <w:tcW w:w="66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00" w:type="dxa"/>
            <w:vAlign w:val="bottom"/>
          </w:tcPr>
          <w:p>
            <w:pPr>
              <w:spacing w:after="0"/>
              <w:rPr>
                <w:sz w:val="18"/>
                <w:szCs w:val="18"/>
                <w:color w:val="auto"/>
              </w:rPr>
            </w:pPr>
          </w:p>
        </w:tc>
        <w:tc>
          <w:tcPr>
            <w:tcW w:w="66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Accrued expenses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Project costs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735,859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1,263,293</w:t>
            </w:r>
          </w:p>
        </w:tc>
      </w:tr>
      <w:tr>
        <w:trPr>
          <w:trHeight w:val="216"/>
        </w:trPr>
        <w:tc>
          <w:tcPr>
            <w:tcW w:w="30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Contract loss reserve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263,469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 incentive payments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491,925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310,370</w:t>
            </w:r>
          </w:p>
        </w:tc>
      </w:tr>
      <w:tr>
        <w:trPr>
          <w:trHeight w:val="216"/>
        </w:trPr>
        <w:tc>
          <w:tcPr>
            <w:tcW w:w="30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Accrued salary and benefits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504,233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8"/>
                <w:szCs w:val="18"/>
                <w:color w:val="auto"/>
              </w:rPr>
              <w:t>455,909</w:t>
            </w:r>
          </w:p>
        </w:tc>
      </w:tr>
      <w:tr>
        <w:trPr>
          <w:trHeight w:val="216"/>
        </w:trPr>
        <w:tc>
          <w:tcPr>
            <w:tcW w:w="30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Legal and accounting fees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258,642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168,402</w:t>
            </w:r>
          </w:p>
        </w:tc>
      </w:tr>
      <w:tr>
        <w:trPr>
          <w:trHeight w:val="216"/>
        </w:trPr>
        <w:tc>
          <w:tcPr>
            <w:tcW w:w="30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Goods and services tax (GST) due to Australian Tax Office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8"/>
                <w:szCs w:val="18"/>
                <w:color w:val="auto"/>
              </w:rPr>
              <w:t>470,905</w:t>
            </w:r>
          </w:p>
        </w:tc>
      </w:tr>
      <w:tr>
        <w:trPr>
          <w:trHeight w:val="216"/>
        </w:trPr>
        <w:tc>
          <w:tcPr>
            <w:tcW w:w="300" w:type="dxa"/>
            <w:vAlign w:val="bottom"/>
          </w:tcPr>
          <w:p>
            <w:pPr>
              <w:spacing w:after="0"/>
              <w:rPr>
                <w:sz w:val="18"/>
                <w:szCs w:val="18"/>
                <w:color w:val="auto"/>
              </w:rPr>
            </w:pPr>
          </w:p>
        </w:tc>
        <w:tc>
          <w:tcPr>
            <w:tcW w:w="6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194,727</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262,360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2,448,855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4"/>
          </w:tcPr>
          <w:p>
            <w:pPr>
              <w:jc w:val="right"/>
              <w:ind w:right="100"/>
              <w:spacing w:after="0"/>
              <w:rPr>
                <w:sz w:val="20"/>
                <w:szCs w:val="20"/>
                <w:color w:val="auto"/>
              </w:rPr>
            </w:pPr>
            <w:r>
              <w:rPr>
                <w:rFonts w:ascii="Arial" w:cs="Arial" w:eastAsia="Arial" w:hAnsi="Arial"/>
                <w:sz w:val="18"/>
                <w:szCs w:val="18"/>
                <w:color w:val="auto"/>
              </w:rPr>
              <w:t>2,931,239</w:t>
            </w: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(5) Related Party Transactions</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2"/>
              </w:rPr>
              <w:t>Three Months Ended January</w:t>
            </w:r>
          </w:p>
        </w:tc>
      </w:tr>
      <w:tr>
        <w:trPr>
          <w:trHeight w:val="234"/>
        </w:trPr>
        <w:tc>
          <w:tcPr>
            <w:tcW w:w="9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8"/>
                <w:szCs w:val="18"/>
                <w:color w:val="auto"/>
              </w:rPr>
            </w:pPr>
          </w:p>
        </w:tc>
      </w:tr>
      <w:tr>
        <w:trPr>
          <w:trHeight w:val="250"/>
        </w:trPr>
        <w:tc>
          <w:tcPr>
            <w:tcW w:w="98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Related party consulting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168,500</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r>
        <w:trPr>
          <w:trHeight w:val="448"/>
        </w:trPr>
        <w:tc>
          <w:tcPr>
            <w:tcW w:w="9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1"/>
              </w:rPr>
              <w:t>Nine Months Ended January</w:t>
            </w:r>
          </w:p>
        </w:tc>
      </w:tr>
      <w:tr>
        <w:trPr>
          <w:trHeight w:val="234"/>
        </w:trPr>
        <w:tc>
          <w:tcPr>
            <w:tcW w:w="98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8"/>
                <w:szCs w:val="18"/>
                <w:color w:val="auto"/>
              </w:rPr>
            </w:pPr>
          </w:p>
        </w:tc>
      </w:tr>
      <w:tr>
        <w:trPr>
          <w:trHeight w:val="250"/>
        </w:trPr>
        <w:tc>
          <w:tcPr>
            <w:tcW w:w="98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Related party consulting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434,188</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2014, the Company entered into an Executive Transition Agreement with George W. Taylor, who was formerly employed by the Company as Executive Vice Chairman and served on the Company’s Board of Directors prior to that date. Under this agreement, Dr. Taylor will receive up to fifteen months of consulting fees at a monthly rate of $20,000. For the three and nine months ended January 31, 2015, the Company recorded $60,000 and $180,000 respectively in expense relating to this agreement.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2014, the Company entered into an agreement with David L. Keller, who had served as a non-executive director of the Company since October 2013. Under this agreement, Mr. Keller served as Interim Chief Executive Officer effective with the June 9, 2014 termination of the Company’s former Chief Executive Officer, Charles F. Dunleavy and received a consulting fee of $1,500 per day of services provided. Effective January 20, 2015, Mr. George H. Kirby was appointed President, Chief Executive Officer and Director of the Company and Mr. Keller resigned as Interim CEO. Mr. Keller continues to serve as a non-executive director of the Company. For the three and nine months ended January 31, 2015, the Company recorded $108,500 and $254,188 respectively in expense relating Mr. Keller’s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awarded a recoverable grant totaling $500,000, between April 2009 and June 2010, from the NJBPU under the Renewable Energy Business Venture Assistance Program. Under the terms of this agreement, the amount to be repaid is a fixed monthly amount of principal only, repayable over a five-year period beginning in November 2011. The terms also required the Company to assign to the NJBPU a certificate of deposit in an amount equal to the outstanding grant balance. See Note 2(f).</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January 31, 2015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April 30, 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Credits Payable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$600,000, less the aggregate discount on any emission credits sold to the investor prior to such date. In December 2012, the Company and the investor agreed to extend the period for the sale of emission credits until December 31, 2017. As of January 31, 2015, the Company has not generated any emissions credits eligible for purchase under the agreement. The $600,000 has been classified as a noncurrent liability as of January 31, 2015.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Stock-based compensation costs decreased for the three and nine month periods ended January 31, 2015 versus January 31, 2014 due primarily to the termination for cause of Charles F. Dunleavy, former Chief Executive Officer, on June 9, 2014. In accordance with the Company’s 2001 Stock Plan and the 2006 Stock Incentive Plan, all vested and unvested grants are forfeited upon termination for cause. In addition, the Company issued stock-based awards during the period of October 2014 to December 2014, where for the prior year stock-based awards were issued during the month of June 2013. The aggregate stock-based compensation expense related to all stock-based transactions recorded in the consolidated statements of operations was approximately $239,000 and $570,000 for the nine months ended January 31, 2015 and 2014,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Options Granted During the Nine Months Ended January 31, 2015 and 2014</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fair value of each stock option granted, for both service-based and performance-based vesting requirements, during the nine months ended January 31, 2015 and 2014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was based on the Company’s historical volatility for the nine months ended January 31, 2015 and 2014.</w:t>
      </w:r>
    </w:p>
    <w:p>
      <w:pPr>
        <w:spacing w:after="0" w:line="243"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Nine Months Ended January 31,</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5680" w:type="dxa"/>
            <w:vAlign w:val="bottom"/>
            <w:gridSpan w:val="2"/>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85.49%</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76.29%</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$0.72 and $1.26 for stock options granted during the nine months ended January 31, 2015 and 2014,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A summary of stock options under the plans is as follows:</w:t>
            </w: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Weighted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200" w:type="dxa"/>
            <w:vAlign w:val="bottom"/>
          </w:tcPr>
          <w:p>
            <w:pPr>
              <w:jc w:val="center"/>
              <w:ind w:left="290"/>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Underlying</w:t>
            </w:r>
          </w:p>
        </w:tc>
        <w:tc>
          <w:tcPr>
            <w:tcW w:w="1200" w:type="dxa"/>
            <w:vAlign w:val="bottom"/>
          </w:tcPr>
          <w:p>
            <w:pPr>
              <w:jc w:val="center"/>
              <w:ind w:left="270"/>
              <w:spacing w:after="0"/>
              <w:rPr>
                <w:sz w:val="20"/>
                <w:szCs w:val="20"/>
                <w:color w:val="auto"/>
              </w:rPr>
            </w:pPr>
            <w:r>
              <w:rPr>
                <w:rFonts w:ascii="Arial" w:cs="Arial" w:eastAsia="Arial" w:hAnsi="Arial"/>
                <w:sz w:val="18"/>
                <w:szCs w:val="18"/>
                <w:b w:val="1"/>
                <w:bCs w:val="1"/>
                <w:color w:val="auto"/>
                <w:w w:val="86"/>
              </w:rPr>
              <w:t>Exercise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20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April 30, 2014</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1,472,292</w:t>
            </w: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5.53</w:t>
            </w:r>
          </w:p>
        </w:tc>
        <w:tc>
          <w:tcPr>
            <w:tcW w:w="2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79"/>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(497,533)</w:t>
            </w:r>
          </w:p>
        </w:tc>
        <w:tc>
          <w:tcPr>
            <w:tcW w:w="1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7.17</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Granted</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115,913</w:t>
            </w:r>
          </w:p>
        </w:tc>
        <w:tc>
          <w:tcPr>
            <w:tcW w:w="12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1.02</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31, 2015</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1,090,672</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4.31</w:t>
            </w:r>
          </w:p>
        </w:tc>
        <w:tc>
          <w:tcPr>
            <w:tcW w:w="162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5140" w:type="dxa"/>
            <w:vAlign w:val="bottom"/>
          </w:tcPr>
          <w:p>
            <w:pPr>
              <w:spacing w:after="0" w:line="196" w:lineRule="exact"/>
              <w:rPr>
                <w:sz w:val="20"/>
                <w:szCs w:val="20"/>
                <w:color w:val="auto"/>
              </w:rPr>
            </w:pPr>
            <w:r>
              <w:rPr>
                <w:rFonts w:ascii="Arial" w:cs="Arial" w:eastAsia="Arial" w:hAnsi="Arial"/>
                <w:sz w:val="18"/>
                <w:szCs w:val="18"/>
                <w:color w:val="auto"/>
              </w:rPr>
              <w:t>Exercisable as of January 31, 2015</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749,670</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96"/>
              </w:rPr>
              <w:t>5.66</w:t>
            </w:r>
          </w:p>
        </w:tc>
        <w:tc>
          <w:tcPr>
            <w:tcW w:w="1620" w:type="dxa"/>
            <w:vAlign w:val="bottom"/>
            <w:gridSpan w:val="2"/>
          </w:tcPr>
          <w:p>
            <w:pPr>
              <w:ind w:left="130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January 31, 2015, the total intrinsic value of outstanding and exercisable options was $0. As of January 31, 2015, approximately 332,000 additional options are expected to vest in the future, which options had no intrinsic value and a weighted average remaining contractual term of 8.7 years. There was approximately $130,000 and $500,000 of total recognized compensation cost related to stock options for the nine months ended January 31, 2015 and 2014, respectively. As of January 31, 2015, there was approximately $209,000 of total unrecognized compensation cost related to non-vested stock options granted under the plans. This cost is expected to be recognized over a weighted-average period of 2.1 years. The Company normally issues new shares to satisfy option exercises under these plans. Stock options outstanding as of January 31, 2015 included 115,786 stock options subject to performance-based vesting requirements.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Compensation expense for non-vested restricted stock is historically recorded based on its market value on the date of grant and recognized over the associated service and performance period. During the nine months ended January 31, 2015, the Company granted 438,012 shares subject to service-based vesting requirements and 371,000 shares subject to performance-based vesting requirements. The service-based vesting grants include a grant to a non-executive director of the Company for 104,000 shares. This grant was issued pursuant to the 2006 Stock Incentive Plan and shall vest immediately upon the approval by the shareholders at the 2015 Annual Meeting (tentatively planned for early October 2015) of additional shares to be authorized under the Company's 2006 Stock Incentive Plan as amended. In the event that the shareholder approval referred to above is not obtained or is otherwise deemed unnecessary, the Board shall determine such other vesting schedule or other form(s) of equivalent compensation as may be necessary or appropriate. The achievement or vesting requirement of the performance-based grants is tied to the Company's total shareholder return (TSR) relative to the total shareholder return of three alternative energy Exchange Traded Funds as measured over a specific performance period. No vesting of the relevant shares will occur in instances where the Company’s TSR for the relevant period is below 80% of the peer group. However, additional opportunities to vest some or all of a portion of the shares in a subsequent period may occur. Compensation expense for these awards with market-based vesting is calculated based on the estimated fair value as of the grant date utilizing a Monte Carlo simulation model and is recognized over the service period on a straight-line basis. During the nine months ended January 31, 2015, 9,380 shares of non-vested restricted stock subject to performance-based vesting requirements were forfeited in accordance with performance objectives. Restricted stock issued and unvested at January 31, 2015 included 408,329 shares of non-vested restricted stock subject to performance-based vesting requirements.</w:t>
      </w:r>
    </w:p>
    <w:p>
      <w:pPr>
        <w:sectPr>
          <w:pgSz w:w="11900" w:h="16838" w:orient="portrait"/>
          <w:cols w:equalWidth="0" w:num="1">
            <w:col w:w="11420"/>
          </w:cols>
          <w:pgMar w:left="240" w:top="580" w:right="2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under the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Issued and unvested at April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-121920</wp:posOffset>
            </wp:positionV>
            <wp:extent cx="687768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68776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687768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Issued and unvested at January 31,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7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Number</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Average Price per</w:t>
            </w:r>
          </w:p>
        </w:tc>
      </w:tr>
      <w:tr>
        <w:trPr>
          <w:trHeight w:val="234"/>
        </w:trPr>
        <w:tc>
          <w:tcPr>
            <w:tcW w:w="1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of Shares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Share</w:t>
            </w:r>
          </w:p>
        </w:tc>
      </w:tr>
      <w:tr>
        <w:trPr>
          <w:trHeight w:val="411"/>
        </w:trPr>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97,610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1500" w:type="dxa"/>
            <w:vAlign w:val="bottom"/>
          </w:tcPr>
          <w:p>
            <w:pPr>
              <w:jc w:val="right"/>
              <w:spacing w:after="0"/>
              <w:rPr>
                <w:sz w:val="20"/>
                <w:szCs w:val="20"/>
                <w:color w:val="auto"/>
              </w:rPr>
            </w:pPr>
            <w:r>
              <w:rPr>
                <w:rFonts w:ascii="Arial" w:cs="Arial" w:eastAsia="Arial" w:hAnsi="Arial"/>
                <w:sz w:val="18"/>
                <w:szCs w:val="18"/>
                <w:color w:val="auto"/>
              </w:rPr>
              <w:t>809,012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0.65</w:t>
            </w:r>
          </w:p>
        </w:tc>
      </w:tr>
      <w:tr>
        <w:trPr>
          <w:trHeight w:val="216"/>
        </w:trPr>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(9,380)</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(50,901)</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10"/>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846,321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640"/>
          </w:cols>
          <w:pgMar w:left="240" w:top="580" w:right="239" w:bottom="1440" w:gutter="0" w:footer="0" w:header="0"/>
          <w:type w:val="continuous"/>
        </w:sectPr>
      </w:pP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was approximately $109,000 and $70,000 of total recognized compensation cost related to restricted stock for the nine months ended January 31, 2015 and 2014, respectively. As of January 31, 2015, there was approximately $438,000 of total unrecognized compensation cost related to non-vested restricted stock granted under the plans. This cost is expected to be recognized over a weighted average period of 2.7 years.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(c)Treasury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January 31, 2015 and 2014, 806 and 4,081 shares, respectively, of common stock were purchased by the Company from employees to pay taxes related to the vesting of restricted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is a defendant in four putative securities class actions pending in the United States District Court for the District of New Jersey. See Roby v. Ocean Power Technologies, Inc., et al., Case No. 3:14-cv-03799-FLW-LHG; Chew, et al. v. Ocean Power Technologies, Inc. et. al., Case No 3:14-cv-03815-MAS-DEA; Konstantinidis v. Ocean Power Technologies, Inc., et al., Case No. 3:14-cv-04015-FLW-DEA; Turner v. Ocean Power Technologies, Inc., et al., Case No. 3:14-cv-04592. The Company's former Chief Executive Officer is named as a defendant in each of the lawsuits and the Company's Chief Financial Officer is named as a defendant in two of the lawsuits. The complaints allege claims for violations of §10(b) and §20(a) of the Securities Exchange Act of 1934 arising out of public statements relating to a now terminated agreement between Victorian Wave Partners Pty. Ltd. and the Australian Renewable Energy Agency for the development of a wave power station (the "VWP Project"). All four complaints seek unspecified monetary damages and other relief.</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12, 2014, five motions for appointment of lead plaintiff were filed. The motions also seek to consolidate the actions. The Court has not ruled on the motions. The cases are still in their preliminary stages and defendants have not yet responded to the complaints.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10, 2014, the Company received a demand letter ("Demand Letter") from an attorney claiming to represent a shareholder demanding that the Company's Board of Directors establish an independent committee to investigate and remedy alleged breaches of fiduciary duties by the Board of Directors and management relating to the VWP Project. The Company is continuing to evaluate the Demand Letter but also invited the attorney to participate in the Section 220 Demand process discussed below. On February 6, 2015, the Company produced documents to the attorney pursuant to a confidentiality agreement in connection with the Section 220 Demand process.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received a letter, dated August 19, 2014, (the "Section 220 Demand") from another attorney claiming to represent a shareholder demanding, pursuant to 8 Del. C. § 220, to inspect certain books and records of the Company relating to the VWP Project and the termination of Charles Dunleavy as the Company's Chief Executive Officer. The Company has received two additional Section 220 Demands relating to the same subject matter from attorneys claiming to represent two different shareholders. The Company has responded in writing to the three Section 220 Demands and on February 6, 2015 produced documents to each of the attorneys pursuant to confidentiality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Litigation: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10, 2014, the Company announced that it had terminated Charles Dunleavy as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toll his alleged employment claims pending resolution of the shareholder litigation.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is involved from time to time in certain legal actions arising in the ordinary course of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 Spain IVA (sales tax)</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received notice that the Spanish tax authorities are inquiring into its 2010 IVA (value-added tax) filing for which the Company benefitted from the offset of approximately $250,000 of input tax. The Company believes that the inquiry will find that the tax credit was properly claimed and, therefore, no liability has been recorded. The Company issued two letters of credit in the amount of €278,828 ($315,633) at the request of the Spanish tax authorities. This is a customary request during the inquiry period. In November 2014, the Company received a partial refund of the amount under dispute and continues to expect that this matter will be resolved in the Company’s favor.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January 31, 2015, the Company recorded an income tax benefit of $1,137,872, representing the proceeds from the sale of $14,004,000 of New Jersey net operating loss carryforwards and research and development tax credits. During the three and nine months ended January 31, 2014, the Company recorded an income tax benefit of $1,745,895, representing the proceeds from the sale of $15,347,000 of New Jersey net operating loss carryforwards and research and development tax credits.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as a result of the sale of New Jersey net operating loss carryforwards, the Company did not recognize any consolidated income tax benefit (expense) for the three and nine month periods ended January 31, 2015 and 2014.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January 31, 2015, the Company had no material changes in uncertain tax positions.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Segments and Geographic Information</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views its business as one segment, which is the development of its PowerBuoy prototype for wave energy applications. The Company operates on a worldwide basis with one operating company in the US, one operating subsidiary in the UK and one operating subsidiary in Australia, which are categorized below as North America, Europe, and Asia and Australia, respectively. Revenues are generally attributed to the operating unit that bills the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Geographic information is as follows: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North</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Asia and</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America</w:t>
            </w:r>
          </w:p>
        </w:tc>
        <w:tc>
          <w:tcPr>
            <w:tcW w:w="180" w:type="dxa"/>
            <w:vAlign w:val="bottom"/>
          </w:tcPr>
          <w:p>
            <w:pPr>
              <w:spacing w:after="0"/>
              <w:rPr>
                <w:sz w:val="20"/>
                <w:szCs w:val="20"/>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Europe</w:t>
            </w:r>
          </w:p>
        </w:tc>
        <w:tc>
          <w:tcPr>
            <w:tcW w:w="14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Australia</w:t>
            </w:r>
          </w:p>
        </w:tc>
        <w:tc>
          <w:tcPr>
            <w:tcW w:w="14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January 31, 2015</w:t>
            </w:r>
          </w:p>
        </w:tc>
        <w:tc>
          <w:tcPr>
            <w:tcW w:w="15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328,511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328,511</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(2,784,095)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(258,636)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(47,194)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(3,089,925)</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January 31, 2014</w:t>
            </w:r>
          </w:p>
        </w:tc>
        <w:tc>
          <w:tcPr>
            <w:tcW w:w="15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196,783</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2,839</w:t>
            </w: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199,622</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(2,062,915)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(165,977)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(322,205)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(2,551,097)</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Nine months ended January 31, 2015</w:t>
            </w:r>
          </w:p>
        </w:tc>
        <w:tc>
          <w:tcPr>
            <w:tcW w:w="1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3,616,827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3,616,827</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Operating loss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(8,981,672)</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(993,308)</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(768,151)</w:t>
            </w: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(10,743,131)</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Nine months ended January 31, 2014</w:t>
            </w:r>
          </w:p>
        </w:tc>
        <w:tc>
          <w:tcPr>
            <w:tcW w:w="1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945,372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178,785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1,124,157</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Operating loss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(7,900,261)</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(877,902)</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(1,008,796)</w:t>
            </w: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(9,786,959)</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January 31, 2015</w:t>
            </w:r>
          </w:p>
        </w:tc>
        <w:tc>
          <w:tcPr>
            <w:tcW w:w="15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Long-lived assets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261,519</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1,331</w:t>
            </w: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262,850</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21,118,642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640,859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138,800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21,898,301</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April 30, 2014</w:t>
            </w:r>
          </w:p>
        </w:tc>
        <w:tc>
          <w:tcPr>
            <w:tcW w:w="15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Long-lived assets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305,314</w:t>
            </w: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12,024</w:t>
            </w: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317,513</w:t>
            </w:r>
          </w:p>
        </w:tc>
        <w:tc>
          <w:tcPr>
            <w:tcW w:w="3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31,313,240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1,003,205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5,768,390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38,084,835</w:t>
            </w:r>
          </w:p>
        </w:tc>
        <w:tc>
          <w:tcPr>
            <w:tcW w:w="340" w:type="dxa"/>
            <w:vAlign w:val="bottom"/>
          </w:tcPr>
          <w:p>
            <w:pPr>
              <w:spacing w:after="0"/>
              <w:rPr>
                <w:sz w:val="18"/>
                <w:szCs w:val="18"/>
                <w:color w:val="auto"/>
              </w:rPr>
            </w:pPr>
          </w:p>
        </w:tc>
      </w:tr>
      <w:tr>
        <w:trPr>
          <w:trHeight w:val="891"/>
        </w:trPr>
        <w:tc>
          <w:tcPr>
            <w:tcW w:w="3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05"/>
        </w:trPr>
        <w:tc>
          <w:tcPr>
            <w:tcW w:w="30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61"/>
        </w:trPr>
        <w:tc>
          <w:tcPr>
            <w:tcW w:w="300" w:type="dxa"/>
            <w:vAlign w:val="bottom"/>
            <w:shd w:val="clear" w:color="auto" w:fill="808080"/>
          </w:tcPr>
          <w:p>
            <w:pPr>
              <w:spacing w:after="0"/>
              <w:rPr>
                <w:sz w:val="5"/>
                <w:szCs w:val="5"/>
                <w:color w:val="auto"/>
              </w:rPr>
            </w:pPr>
          </w:p>
        </w:tc>
        <w:tc>
          <w:tcPr>
            <w:tcW w:w="41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19" w:name="page20"/>
    <w:bookmarkEnd w:id="19"/>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discussion and analysis should be read in conjunction with the accompanying unaudited consolidated financial statements and related notes included in this Quarterly Report on Form 10-Q. Some of the information contained in this discussion and analysis or set forth elsewhere in this Form 10-Q, including information with respect to our plans and strategy for our business, includes forward-looking statements that involve risks and uncertainties. You should review the "Risk Factors" section of our Annual Report on Form 10-K for fiscal 2014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2014 refers to the year ended April 30,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are developing and are seeking to commercialize proprietary systems that generate electricity by harnessing the renewable energy of ocean waves. Our PowerBuoy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systems use proprietary technologies that convert the mechanical energy created by the rising and falling of ocean waves into electricity. We currently have and are continuing to develop both larger and smaller PowerBuoy prototypes which can be utilized in autonomous or other applications. Since fiscal 2002, government agencies have accounted for a significant portion of our revenues. These revenues were largely for the support of our product development efforts. Our goal is that an increased portion of our revenues will be from the sale of products and services, as compared to revenue from grants to support our product development efforts. As we continue to advance our proprietary technologies, we expect to have a net use of cash from operating activities unless and until we achieve positive cash flow from the planned commercialization of our products and services.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PowerBuoy system is based on modular, ocean-going buoys, which we have been periodically ocean testing since 1997. The rising and falling of the waves moves the buoy-like structure, creating mechanical energy that our proprietary technologies convert into electricity. We have tested and developed wave power generation and control technology in novel applications and have deployed and maintained our systems in the ocean for testing. We are developing PowerBuoy technology that has the unique, patented capability to electronically "tune" its performance as wave characteristics change. We expect this will enable the PowerBuoy to optimize its efficiency and resulting power output in dynamic ocean wave conditions. Our two PowerBuoy prototype products are designed for the following applications:</w:t>
      </w:r>
    </w:p>
    <w:p>
      <w:pPr>
        <w:spacing w:after="0" w:line="193" w:lineRule="exact"/>
        <w:rPr>
          <w:sz w:val="20"/>
          <w:szCs w:val="20"/>
          <w:color w:val="auto"/>
        </w:rPr>
      </w:pPr>
    </w:p>
    <w:p>
      <w:pPr>
        <w:jc w:val="both"/>
        <w:ind w:left="660" w:hanging="328"/>
        <w:spacing w:after="0" w:line="28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larger scale prototype PowerBuoy product is designed to supply electricity to a stand-alone power user or local or regional electric power grid. Installations may be comprised of a single PowerBuoy or an integrated array of PowerBuoys, plus the remaining components required to deliver electricity to the end user or power grid. In July 2007, our PowerBuoy interface was certified as compliant with international standards. Intertek, an independent laboratory, provided testing and evaluation services to certify that our grid connection systems comply with designated national and international standards. The PowerBuoy grid interface bears the Electrical Testing Laboratories (ETL) listing mark, and can be connected to the utility grid. In September 2010, working in conjunction with the US Navy and Hawaii Electric Company, our 40 kilowatt (kW)-rated PowerBuoy, located at Marine Corps Base Hawaii, became the first-ever grid connected wave energy device in the United States. In January 2011, our larger scale PowerBuoy design (the “150kW PowerBuoy” or “PB150”) structure and mooring system achieved independent certification from Lloyd’s Register. This certification confirmed that the PB150B1 design complies with certain international standards promulgated for floating offshore installations. The Lloyd’s Register (1999 Rules and Regulations for the classification of Floating Offshore Installation at Fixed Locations) process included detailed design analysis and appraisals, addressing the PB150B1 structure, hydrodynamics, mooring and anchoring. This PowerBuoy was deployed off the coast of Scotland from April 2011 through October 2011. While the PowerBuoy did not produce significant or anticipated power during its deployment period, learning from the deployment was incorporated into subsequent PowerBuoy designs. Best practices from the certification have been incorporated into ongoing design improvements. We expect that the next version of the large PowerBuoy will be ready for deployment at the end of this month. Actual deployment will occur as soon as final permits are received and an acceptable weather window opens.</w:t>
      </w:r>
    </w:p>
    <w:p>
      <w:pPr>
        <w:spacing w:after="0" w:line="168" w:lineRule="exact"/>
        <w:rPr>
          <w:rFonts w:ascii="Arial" w:cs="Arial" w:eastAsia="Arial" w:hAnsi="Arial"/>
          <w:sz w:val="16"/>
          <w:szCs w:val="16"/>
          <w:color w:val="auto"/>
        </w:rPr>
      </w:pPr>
    </w:p>
    <w:p>
      <w:pPr>
        <w:jc w:val="both"/>
        <w:ind w:left="660" w:hanging="328"/>
        <w:spacing w:after="0" w:line="28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smaller prototype PowerBuoy system is designed to generate power for use autonomously (independent of an existing power grid) in remote locations. In 2011, we deployed and operated off the coast of New Jersey an autonomous prototype PowerBuoy (the “APB-350”), which we designed and manufactured for the US Navy’s Littoral Expeditionary Autonomous PowerBuoy (LEAP) contract for coastal security and maritime surveillance. The prototype APB-350 PowerBuoy structure, incorporating a unique power take-off and onboard system for energy storage and management, is significantly smaller than our utility scale PowerBuoy. With the partial funding from the US Navy, we were able to continue to improve our prototype PowerBuoy system. The prototype APB-350 Autonomous PowerBuoy aims at potentially providing persistent, off-grid clean energy in remote ocean locations. We believe there are a variety of potential applications for this system, including ocean-based communication and data gathering such as for tsunami warnings and seismic surveys, homeland security, offshore oil and gas platforms and aquaculture. Within the Homeland Security market sector, in 2012, we executed a Cooperative Research and Development Agreement, or CRADA, with the U.S. Department of Homeland Security, which utilized the same prototype APB-350 Autonomous PowerBuoy. An additional 2013 deployment provided critical data to inform the next design iteration of the prototype APB-350, which will incorporate major modifications to address critical operations and reliability improvements. We anticipate deploying the next version of the smaller PowerBuoy in calendar 2015.</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jc w:val="both"/>
        <w:spacing w:after="0" w:line="342" w:lineRule="auto"/>
        <w:rPr>
          <w:sz w:val="20"/>
          <w:szCs w:val="20"/>
          <w:color w:val="auto"/>
        </w:rPr>
      </w:pPr>
      <w:r>
        <w:rPr>
          <w:rFonts w:ascii="Arial" w:cs="Arial" w:eastAsia="Arial" w:hAnsi="Arial"/>
          <w:sz w:val="16"/>
          <w:szCs w:val="16"/>
          <w:color w:val="auto"/>
        </w:rPr>
        <w:t>Our product development and engineering efforts are focused primarily on technologies that aim to increase energy output, reliability and scalability of the design of our PowerBuoy system, with the goal of generating electricity at a competitive levelized cost of energy, initially for autonomous applications.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fiscal 2014, we worked on projects with the US Department of Energy (“DOE”), our WavePort project in Spain, our project with Mitsui Engineering &amp; Shipbuilding (“MES”) and continued our efforts to increase the power output and reliability of our utility and autonomous PowerBuoy systems.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nine months ended January 31, 2015, we continued work on our projects with MES and the DOE. We also completed our contract with the European Union (EC) for our WavePort project in Spain. We had announced that the next step in this project would be partially funded by a grant that we received from Ente Vasco de la Energia (“EVE”) a Basque regional energy agency. We had anticipated that the PB40 PowerBuoy would be deployed at a site off the north coast of Spain, along with other components of the project to be provided by members of the consortium under the EC contract. Due to a variety of factors, rather than deploying the PB40 PowerBuoy off of the coast of Spain, we now intend to deploy off the coast of New Jersey. Since the EVE grant, which is up to Euro 1.13 million ($1.56 million), depends on a deployment in Spain (among other factors) and runs to December 31, 2015, we have removed the EVE grant from our backlog. However, we remain in communication with EVE in regards to utilizing the grant on a future beneficial project, although there can be no assurance that the EVE grant will ever be utilized, and if so, on what terms.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PowerBuoy arrived in Bayonne, NJ from Santander, Spain in mid-November and our intent is to deploy and ocean test the PB40 in order to achieve the original WavePort project objectives to demonstrate performance of a large scale wave energy converter. We expect to be ready for deployment this month and actual deployment will occur as soon as final permits are received and an acceptable weather window opens.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our Reedsport project in Oregon, we had obtained a permit from the Federal Energy Regulatory Commission (“FERC”) for a multi-stage wave power project off the coast of Reedsport, Oregon. In addition, we received two cost-sharing contracts with the (DOE) for approximately $4.4 million to construct and deploy a single PowerBuoy off the coast of Reedsport. We subsequently obtained a license from FERC in August 2012 that authorized installation and operation of a 10-buoy grid connected wave energy array (the “License”). Due to the complexity of the FERC regulations for the single buoy, higher than anticipated project costs, unanticipated technical risks, and uncertainty surrounding permitting, we made the decision not to proceed with the project. Accordingly, we announced in March 2014 our surrender of the permit for one phase of the project and announced in April 2014 that we were taking the steps necessary to close out this project with the DOE. In May 2014, we filed an application to surrender the FERC permit for the remaining phases. In August, we completed the removal of the anchoring and mooring equipment from the seabed off the coast of Oregon. We are in the process of submittal and acceptance of final reports to FERC.</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continued our efforts to increase the output and reliability of our utility and autonomous PowerBuoy systems. Our development efforts also remain focused on further optimization of our modular and optimized power takeoff technology.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January 31, 2015, our total negotiated backlog was $1.3 million compared with $5.6 million at January 31, 2014. Some of our backlog at January 31, 2015 and 2014 consisted of cost-sharing contracts as described in the Financial Operations Overview section of Management’s Discussion and Analysis in this Quarterly Report on Form 10-Q. Our backlog can include both funded amounts, which are unfilled firm orders for our products and services for which funding has been both authorized and appropriated by the customer (Congress, in the case of US Government agencies), and unfunded amounts, which are unfilled firm orders from the DOE for which funding has not been appropriated. If any of our contracts were to be terminated, our backlog would be reduced by the expected value of the remaining terms of such contracts. Currently we expect that our backlog will continue to decline; however, we continue to focus on obtaining new contracts and customers to further our technology and are exploring potential partnerships and strategic alliances. Our backlog was fully funded at January 31, 2015 and 2014. Further, in September 2013, we were selected for a $1.0 million award from the DOE to enhance the commercial viability of our PowerBuoy system through mechanical component design changes. On September 26, 2014, the DOE notified the Company of DOE’s decision to terminate negotiations with respect to the financial assistance award under the funding opportunity, and the Company accepted DOE’s decision without protest. As previously disclosed, we had not received any funds from DOE with respect to this award and had not included the award in our backlog.</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reduced our backlog by $1.0 million for the grant that we received from Ente Vasco de la Energia (“EVE”) a Basque regional energy agency that would provide partial funding for the deployment of the PowerBuoy off the coast of Spain. It is our intent to deploy the PowerBuoy off the coast of New Jersey as discussed above and we remain in communication with EVE in regards to utilizing the grant on a future beneficial project.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72" w:lineRule="auto"/>
        <w:rPr>
          <w:sz w:val="20"/>
          <w:szCs w:val="20"/>
          <w:color w:val="auto"/>
        </w:rPr>
      </w:pPr>
      <w:r>
        <w:rPr>
          <w:rFonts w:ascii="Arial" w:cs="Arial" w:eastAsia="Arial" w:hAnsi="Arial"/>
          <w:sz w:val="17"/>
          <w:szCs w:val="17"/>
          <w:color w:val="auto"/>
        </w:rPr>
        <w:t>Currently our contract with Mitsui Engineering &amp; Shipbuilding (MES) is undergoing a stage-gate review process and activity has been suspended until we receive further notification from MES. Stage-gate reviews are used in product development to gather key information needed to advance the project to the next gate or decision point. This process has been utilized by other customers such as the Department of Energy. MES has indicated that work under this contract could resume on and after April 2015 upon passing the stage-gate review. We are currently accessing the unbilled costs on this project to determine if fourth quarter revenues from this project will be reduced pending restart of this project. In addition, depending on the outcome of the stage-gate review, the scope of the project may be decreased or increased and other terms, including schedule, of the project may change. A significant reduction in the remaining scope of the project could have a material adverse effect on our future revenue and backlog.</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January 31, 2015, we generated revenues of $0.3 million and incurred a net loss attributable to Ocean Power Technologies, Inc. of $2.2 million, and for the three months ended January 31, 2014, we generated revenues of $0.2 million and incurred a net loss attributable to Ocean Power Technologies, Inc. of $0.7 million. As of January 31, 2015, our accumulated deficit was $161.5 million. We have not been profitable since inception, and we do not know whether or when we will become profitable because of the significant uncertainties with respect to our ability to successfully commercialize our PowerBuoy systems in the emerging renewable energy market.</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Currently, the cost of electricity generated from wave energy, without the benefit of subsidies or other economic incentives, substantially exceeds the prevailing price of electricity in all significant markets in the world. As a result, the near-term growth of the market opportunity for our utility PowerBuoy systems, which are designed with the capability to feed electricity into a local or regional power grid, depends significantly on the availability and magnitude of government incentives and subsidies for wave energy. Federal, state and local governmental bodies in many countries have provided subsidies in the form of tariff subsidies, rebates, tax credits and other incentives to utilities, power generators and distributors using renewable energy. However, these incentives and subsidies generally decline over time. Many incentive and subsidy programs have specific expiration dates, and there can be no assurance that our technology will qualify for current or future subsidies. The timing, scope and size of new government programs for renewable energy are uncertain, and there can be no assurances that we or our customers will be successful in obtaining any additional government funding or that projects will be profitable even with available funding.</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Included in our diversification strategy is the use of PowerBuoy technology for the autonomous applications markets. Such applications require open ocean power sources that operate independently of the utility grid by supplying electric power to payloads that are integrated directly in the PowerBuoy and/or located in its vicinity. Based on market research and available public data, we believe considerable business opportunity exists in six markets that would have a direct need for our autonomous PowerBuoys: ocean observing, offshore wind, defense and security, oil and gas, communications, and ocean aquaculture. Based on power needs, sensor types and other considerations, we believe our APB-350 could have the ability to satisfy several application requirements within these six markets. It is designed to offer a substantial amount of persistent power while also providing a simple and stable integration platform that is deployable using readily available vessels and skills. The APB-350 is currently undergoing a design re-spin focusing on improving its commercial viability, its reliability and endurance. Based on our product and technology roadmap, we expect the APB-350 will undergo a significant in-ocean testing and by summer of 2016, we believe that it will achieve a maturity level that allows us to proceed with our commercial launch. Our intention is to perform first product demonstrations with early adopters and launch customers near the same timeframe. We anticipate that the APB-350 will have sufficient power to address application needs in all six markets such as metrological data collection, wind and environmental data collection for offshore wind, and sensors and communications for homeland defense. With additional power available, we believe new applications will be enabled through the development of new sensors and hardware that were not feasible or financially viable with incumbent power sources such as generators, solar, wind and battery based sources.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is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2009, Leighton Contractors Pty. Ltd. (Leighton) formed Victorian Wave Partners Pty Ltd (“VWP”), a special purpose company for the development of a wave power project off the coast of Victoria, Australia. In 2010, VWP and the Commonwealth of Australia entered into an Energy Demonstration Program Funding Deed (“Funding Deed”), wherein VWP was awarded an A$66.5 million (approximately US$62 million) grant for the wave power project; however, receipt of funds under the grant was subject to certain terms, including achievement of future significant external funding milestones. The grant was expected to be used towards the A$232 million proposed cost of building and deploying a wave power station off the coast of Australia (the “Project”). In March 2012, our Australian subsidiary Ocean Power Technologies (Australasia) Pty. Ltd acquired 100% ownership of VWP from Leighton. In January 2014, VWP signed a Deed of Variation with the Australian Renewable Energy Agency (“ARENA”) that amended the Funding Deed, and, in March 2014, received the initial portion of the grant from ARENA in the amount of approximately A$5.6 million (approximately US$5.2 million) (the “Initial Funding”). The Initial Funding was subject to claw-back provisions if certain contractual requirements, including performance criteria, were not satisfied. In light of the claw-back provisions, the Company determined to classify the Initial Funding as an advance payment, hold the funds as restricted cash and defer recognition of the funds as revenue.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312" w:lineRule="auto"/>
        <w:rPr>
          <w:sz w:val="20"/>
          <w:szCs w:val="20"/>
          <w:color w:val="auto"/>
        </w:rPr>
      </w:pPr>
      <w:r>
        <w:rPr>
          <w:rFonts w:ascii="Arial" w:cs="Arial" w:eastAsia="Arial" w:hAnsi="Arial"/>
          <w:sz w:val="16"/>
          <w:szCs w:val="16"/>
          <w:color w:val="auto"/>
        </w:rPr>
        <w:t>In July 2014, VWP’s Board of Directors concluded that the wave power demonstration project contemplated was no longer commercially viable, and VWP delivered a termination notice to ARENA. In August 2014, the Company and ARENA executed the Deed of Variation and Termination of Funding Deed. Under this agreement the Company returned the initial grant funding received of A$5,595,723 ($5,179,960) and interest of A$109,051 ($102,061).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consolidated statements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Some revenue contracts may contain complex criteria or uncertainty surrounding the terms of performance and customer acceptance. These contracts are subject to interpretation, and management may make a judgment as to the amount of revenue earned and recorded. Because we have a small number of contracts, revisions to the percentage-of-completion determination, management interpretation or delays in meeting performance and contractual criteria or in completing projects may have a significant effect on our revenue for the periods involved. Upon anticipating a loss on a contract, we recognize the full amount of the anticipated loss in the current period.</w:t>
      </w: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Generally, our contracts are either cost plus or fixed 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 price contracts, firm fixed price and cost-sharing. Under firm fixed price contracts, we receive an agreed-upon amount for providing products and services that are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 Most of our revenue for the three and nine months ended January 31, 2015 and 2014 was from cost-sharing contracts, however, in the three and nine months ended January 31, 2015 our firm fixed price contract with MES recorded under the percentage-of-completion method had an increase in estimated total costs of the project. This increase in estimated project costs resulted in a gross loss, and we recorded an accrual for the future anticipated loss on the contract.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regarding the breakdown of our revenues by customer for the three and nine months ended January 31, 2015 and 2014:</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800" w:type="dxa"/>
            <w:vAlign w:val="bottom"/>
            <w:gridSpan w:val="6"/>
          </w:tcPr>
          <w:p>
            <w:pPr>
              <w:spacing w:after="0"/>
              <w:rPr>
                <w:sz w:val="20"/>
                <w:szCs w:val="20"/>
                <w:color w:val="auto"/>
              </w:rPr>
            </w:pPr>
            <w:r>
              <w:rPr>
                <w:rFonts w:ascii="Arial" w:cs="Arial" w:eastAsia="Arial" w:hAnsi="Arial"/>
                <w:sz w:val="18"/>
                <w:szCs w:val="18"/>
                <w:b w:val="1"/>
                <w:bCs w:val="1"/>
                <w:color w:val="auto"/>
                <w:w w:val="98"/>
              </w:rPr>
              <w:t>Three months ended January 31,</w:t>
            </w:r>
          </w:p>
        </w:tc>
        <w:tc>
          <w:tcPr>
            <w:tcW w:w="2700" w:type="dxa"/>
            <w:vAlign w:val="bottom"/>
            <w:gridSpan w:val="6"/>
          </w:tcPr>
          <w:p>
            <w:pPr>
              <w:ind w:left="60"/>
              <w:spacing w:after="0"/>
              <w:rPr>
                <w:sz w:val="20"/>
                <w:szCs w:val="20"/>
                <w:color w:val="auto"/>
              </w:rPr>
            </w:pPr>
            <w:r>
              <w:rPr>
                <w:rFonts w:ascii="Arial" w:cs="Arial" w:eastAsia="Arial" w:hAnsi="Arial"/>
                <w:sz w:val="18"/>
                <w:szCs w:val="18"/>
                <w:b w:val="1"/>
                <w:bCs w:val="1"/>
                <w:color w:val="auto"/>
                <w:w w:val="96"/>
              </w:rPr>
              <w:t>Nine months ended January 31,</w:t>
            </w:r>
          </w:p>
        </w:tc>
      </w:tr>
      <w:tr>
        <w:trPr>
          <w:trHeight w:val="183"/>
        </w:trPr>
        <w:tc>
          <w:tcPr>
            <w:tcW w:w="53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Customer</w:t>
            </w: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10"/>
              <w:spacing w:after="0" w:line="182" w:lineRule="exact"/>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5"/>
                <w:szCs w:val="15"/>
                <w:color w:val="auto"/>
              </w:rPr>
            </w:pP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Department of Energy</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Mitsui Engineering &amp; Shipbuilding</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Union (WavePort project)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UK Government's Technology Strategy Board</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50"/>
        </w:trPr>
        <w:tc>
          <w:tcPr>
            <w:tcW w:w="76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The following table shows the percentage of our revenues by geographical location of our customers for the nine months ended January 31, 2015 and 2014:</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46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Nine months ended January 31,</w:t>
            </w:r>
          </w:p>
        </w:tc>
        <w:tc>
          <w:tcPr>
            <w:tcW w:w="0" w:type="dxa"/>
            <w:vAlign w:val="bottom"/>
          </w:tcPr>
          <w:p>
            <w:pPr>
              <w:spacing w:after="0"/>
              <w:rPr>
                <w:sz w:val="1"/>
                <w:szCs w:val="1"/>
                <w:color w:val="auto"/>
              </w:rPr>
            </w:pPr>
          </w:p>
        </w:tc>
      </w:tr>
      <w:tr>
        <w:trPr>
          <w:trHeight w:val="183"/>
        </w:trPr>
        <w:tc>
          <w:tcPr>
            <w:tcW w:w="568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Customer Location</w:t>
            </w:r>
          </w:p>
        </w:tc>
        <w:tc>
          <w:tcPr>
            <w:tcW w:w="1540" w:type="dxa"/>
            <w:vAlign w:val="bottom"/>
            <w:tcBorders>
              <w:top w:val="single" w:sz="8" w:color="auto"/>
            </w:tcBorders>
          </w:tcPr>
          <w:p>
            <w:pPr>
              <w:jc w:val="right"/>
              <w:ind w:right="510"/>
              <w:spacing w:after="0" w:line="182" w:lineRule="exact"/>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490"/>
              <w:spacing w:after="0" w:line="182" w:lineRule="exact"/>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780" w:type="dxa"/>
            <w:vAlign w:val="bottom"/>
            <w:gridSpan w:val="2"/>
          </w:tcPr>
          <w:p>
            <w:pPr>
              <w:spacing w:after="0"/>
              <w:rPr>
                <w:sz w:val="17"/>
                <w:szCs w:val="17"/>
                <w:color w:val="auto"/>
              </w:rPr>
            </w:pPr>
          </w:p>
        </w:tc>
        <w:tc>
          <w:tcPr>
            <w:tcW w:w="16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1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revenue recorded for the nine months ended January 31, 2015 and 2014 was generated from cost-sharing contracts, which result in zero gross profit, however, in the nine months ended January 31, 2015 our firm fixed price contract with MES recorded under the percentage-of-completion method had an increase in estimated total costs of the project. This increase in estimated project costs resulted in a gross loss and we recorded an accrual for the future anticipated loss on the contract.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generate a gross profit will depend on the nature of future contracts, our success at increasing sales of our PowerBuoy systems and our ability to manage costs incurred on fixed price commercial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utility PowerBuoy system, and to our research and development of new products, product applications and complementary technologies. We expense all of our product development costs as incurred. Over the next several years, it is our intent to fund the majority of our research and development expenses, including cost-sharing arrangements, with sources of external funding. If we are unable to obtain external funding, we may curtail our research and development expenses and scope as necessary.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consists of interest received on cash and cash equivalents, investments in commercial bank-issued certificates of deposit and US Treasury bills and notes and interest expense paid on certain obligations to third parties. Total cash, cash equivalents, restricted cash, and marketable securities were $20.5 million as of January 31, 2015, compared to $19.6 million as of January 31,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 gain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invest in certificates of deposit and maintain cash accounts that are denominated in British pounds sterling, Euros and Australian dollars. These foreign-denominated certificates of deposit and cash accounts had a balance of $1.2 million as of January 31, 2015 and $2.1 million as of January 31, 2014, compared to our total cash, cash equivalents, restricted cash, and marketable securities balances of $20.5 million as of January 31, 2015 and $19.6 million as of January 31, 2014. These foreign currency balances are translated at each month end to our functional currency, the US dollar, and any resulting gain or loss is recognized in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76"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 portion of our international revenues for the three and nine months ended January 31, 2015 and 2014 were recorded in Euros or British pounds sterling.</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nine months ended January 31, 2015 and 2014, we sold New Jersey net operating tax loss carryforwards and research and development credits resulting in income tax benefits of $1.1 million and $1.7 million, respectively. Previously, these carryforward amounts were subject to valuation allowances.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2015 Compared to Three Months Ended January 31, 2014</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January 31, 2015 and 2014:</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60" w:type="dxa"/>
            <w:vAlign w:val="bottom"/>
            <w:gridSpan w:val="6"/>
            <w:vMerge w:val="restart"/>
          </w:tcPr>
          <w:p>
            <w:pPr>
              <w:jc w:val="right"/>
              <w:ind w:right="620"/>
              <w:spacing w:after="0"/>
              <w:rPr>
                <w:sz w:val="20"/>
                <w:szCs w:val="20"/>
                <w:color w:val="auto"/>
              </w:rPr>
            </w:pPr>
            <w:r>
              <w:rPr>
                <w:rFonts w:ascii="Arial" w:cs="Arial" w:eastAsia="Arial" w:hAnsi="Arial"/>
                <w:sz w:val="18"/>
                <w:szCs w:val="18"/>
                <w:b w:val="1"/>
                <w:bCs w:val="1"/>
                <w:color w:val="auto"/>
                <w:w w:val="97"/>
              </w:rPr>
              <w:t>Three Months ended January 31,</w:t>
            </w: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21"/>
        </w:trPr>
        <w:tc>
          <w:tcPr>
            <w:tcW w:w="4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60" w:type="dxa"/>
            <w:vAlign w:val="bottom"/>
            <w:gridSpan w:val="6"/>
            <w:vMerge w:val="continue"/>
          </w:tcPr>
          <w:p>
            <w:pPr>
              <w:spacing w:after="0"/>
              <w:rPr>
                <w:sz w:val="19"/>
                <w:szCs w:val="19"/>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2015 Period to</w:t>
            </w: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 Period</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199,622</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379,106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193,213</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(loss) profit</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(50,595)</w:t>
            </w:r>
          </w:p>
        </w:tc>
        <w:tc>
          <w:tcPr>
            <w:tcW w:w="1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1,082,628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785,946</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76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2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1,956,702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1,771,560</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3,039,330</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2,557,506</w:t>
            </w:r>
          </w:p>
        </w:tc>
        <w:tc>
          <w:tcPr>
            <w:tcW w:w="18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8"/>
                <w:szCs w:val="18"/>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(3,089,925)</w:t>
            </w:r>
          </w:p>
        </w:tc>
        <w:tc>
          <w:tcPr>
            <w:tcW w:w="3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(2,551,097)</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6,793</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3,336</w:t>
            </w: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280" w:type="dxa"/>
            <w:vAlign w:val="bottom"/>
          </w:tcPr>
          <w:p>
            <w:pPr>
              <w:spacing w:after="0"/>
              <w:rPr>
                <w:sz w:val="18"/>
                <w:szCs w:val="18"/>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(246,002)</w:t>
            </w:r>
          </w:p>
        </w:tc>
        <w:tc>
          <w:tcPr>
            <w:tcW w:w="3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23,448</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(3,329,134)</w:t>
            </w:r>
          </w:p>
        </w:tc>
        <w:tc>
          <w:tcPr>
            <w:tcW w:w="180" w:type="dxa"/>
            <w:vAlign w:val="bottom"/>
            <w:gridSpan w:val="2"/>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(2,524,313)</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1,137,872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1,745,895</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(2,191,262)</w:t>
            </w:r>
          </w:p>
        </w:tc>
        <w:tc>
          <w:tcPr>
            <w:tcW w:w="1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(778,418)</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2"/>
        </w:trPr>
        <w:tc>
          <w:tcPr>
            <w:tcW w:w="4760" w:type="dxa"/>
            <w:vAlign w:val="bottom"/>
          </w:tcPr>
          <w:p>
            <w:pPr>
              <w:ind w:left="160"/>
              <w:spacing w:after="0" w:line="201" w:lineRule="exact"/>
              <w:rPr>
                <w:sz w:val="20"/>
                <w:szCs w:val="20"/>
                <w:color w:val="auto"/>
              </w:rPr>
            </w:pPr>
            <w:r>
              <w:rPr>
                <w:rFonts w:ascii="Arial" w:cs="Arial" w:eastAsia="Arial" w:hAnsi="Arial"/>
                <w:sz w:val="18"/>
                <w:szCs w:val="18"/>
                <w:color w:val="auto"/>
              </w:rPr>
              <w:t>Less: Net loss attributable to the noncontrolling interest in</w:t>
            </w:r>
          </w:p>
        </w:tc>
        <w:tc>
          <w:tcPr>
            <w:tcW w:w="280" w:type="dxa"/>
            <w:vAlign w:val="bottom"/>
          </w:tcPr>
          <w:p>
            <w:pPr>
              <w:spacing w:after="0"/>
              <w:rPr>
                <w:sz w:val="17"/>
                <w:szCs w:val="17"/>
                <w:color w:val="auto"/>
              </w:rPr>
            </w:pP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5,291</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38,628</w:t>
            </w:r>
          </w:p>
        </w:tc>
        <w:tc>
          <w:tcPr>
            <w:tcW w:w="18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7"/>
        </w:trPr>
        <w:tc>
          <w:tcPr>
            <w:tcW w:w="4760" w:type="dxa"/>
            <w:vAlign w:val="bottom"/>
          </w:tcPr>
          <w:p>
            <w:pPr>
              <w:ind w:left="320"/>
              <w:spacing w:after="0"/>
              <w:rPr>
                <w:sz w:val="20"/>
                <w:szCs w:val="20"/>
                <w:color w:val="auto"/>
              </w:rPr>
            </w:pPr>
            <w:r>
              <w:rPr>
                <w:rFonts w:ascii="Arial" w:cs="Arial" w:eastAsia="Arial" w:hAnsi="Arial"/>
                <w:sz w:val="18"/>
                <w:szCs w:val="18"/>
                <w:color w:val="auto"/>
              </w:rPr>
              <w:t>Ocean Power Technologies (Australasia) Pty Ltd.</w:t>
            </w: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(2,185,971)</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(739,790)</w:t>
            </w: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spacing w:after="0" w:line="210" w:lineRule="exact"/>
              <w:rPr>
                <w:sz w:val="20"/>
                <w:szCs w:val="20"/>
                <w:color w:val="auto"/>
              </w:rPr>
            </w:pPr>
            <w:r>
              <w:rPr>
                <w:rFonts w:ascii="Arial" w:cs="Arial" w:eastAsia="Arial" w:hAnsi="Arial"/>
                <w:sz w:val="14"/>
                <w:szCs w:val="14"/>
                <w:color w:val="auto"/>
              </w:rPr>
              <w:t>(195</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Revenues increased by $0.1 million, or 65%, to $0.3 million in the three months ended January 31, 2015, as compared to $0.2 million in the three months ended January 31, 2014. The increase in revenue is primarily related increased billable work under the current phase of our project with MES.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 of revenues increased by $0.2 million, or 96%, to $0.3 million in the three months ended January 31, 2015, as compared to $0.2 million in the three months ended January 31, 2014. The increase in cost of revenue is primarily related to costs for increased billable work under the current phase of our project with MES. Our firm fixed price contract with MES recorded under the percentage-of-completion method had an increase in estimated total costs of the project. This increase in estimated project costs resulted in a gross loss and we recorded an accrual for the future anticipated loss on the contract.</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Some of our projects in the nine month period ended January 31, 2015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development costs increased by $0.3 million, or 38%, to $1.1 million in the three months ended January 31, 2015, as compared to $0.8 million in the three months ended January 31, 2014. The increase in product development costs was related primarily to costs associated with our PB40 PowerBuoy project that we expect to be ready for deployment this month off the coast of New Jersey. Actual deployment will occur as soon as final permits are received and an acceptable weather window opens. In addition, costs were increased associated with the next design iteration of the APB-350. We intend to deploy this next version of the smaller PowerBuoy in calendar 2015. Over the next several years, it is our intent to fund the majority of our research and development expenses, including cost-sharing arrangements, with sources of external funding. If we are unable to obtain external funding, we may curtail product development expenses and/or scope as necessary.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costs increased by approximately $0.2 million, or 10%, to $2.0 million for the three months ended January 31, 2015 as compared to $1.8 million for the three months ended January 31, 2014. The increase was related primarily to third party consultant fees, patent costs due to shortening the estimated useful lives for recording amortization expense and employee related costs. In addition, during the three months ended January 31, 2014, we had a favorable adjustment for a doubtful allowance on a customer receivable. These increases were offset by decreased site development expenses related to our terminated project in Australia.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was approximately $7,000 for the three months ended January 31, 2015, and the $3,000 for the three months ended January 31, 2014.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 gain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exchange loss was $246,000 for the three months ended January 31, 2015, compared to a foreign exchange gain of $23,000 for the three months ended January 31, 2014. The difference was attributable primarily to the relative change in value of the British pound sterling, Euro and Australian dollar compared to the US dollar during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three months ended January 31, 2015 and 2014, we sold New Jersey net operating tax loss carryforwards and research and development credits resulting in income tax benefits of $1.1 million and $1.7 million, respectively. Previously, these carryforward amounts were subject to valuation allowances.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Nine Months Ended January 31, 2015 Compared to Nine Months Ended January 31, 2014</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nine months ended January 31, 2015 and 2014:</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20" w:type="dxa"/>
            <w:vAlign w:val="bottom"/>
            <w:gridSpan w:val="5"/>
            <w:vMerge w:val="restart"/>
          </w:tcPr>
          <w:p>
            <w:pPr>
              <w:jc w:val="right"/>
              <w:ind w:right="460"/>
              <w:spacing w:after="0"/>
              <w:rPr>
                <w:sz w:val="20"/>
                <w:szCs w:val="20"/>
                <w:color w:val="auto"/>
              </w:rPr>
            </w:pPr>
            <w:r>
              <w:rPr>
                <w:rFonts w:ascii="Arial" w:cs="Arial" w:eastAsia="Arial" w:hAnsi="Arial"/>
                <w:sz w:val="18"/>
                <w:szCs w:val="18"/>
                <w:b w:val="1"/>
                <w:bCs w:val="1"/>
                <w:color w:val="auto"/>
                <w:w w:val="94"/>
              </w:rPr>
              <w:t>Nine Months ended January 31,</w:t>
            </w: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21"/>
        </w:trPr>
        <w:tc>
          <w:tcPr>
            <w:tcW w:w="5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20" w:type="dxa"/>
            <w:vAlign w:val="bottom"/>
            <w:gridSpan w:val="5"/>
            <w:vMerge w:val="continue"/>
          </w:tcPr>
          <w:p>
            <w:pPr>
              <w:spacing w:after="0"/>
              <w:rPr>
                <w:sz w:val="19"/>
                <w:szCs w:val="19"/>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2015 Period to</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2014 Period</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3,616,827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1,124,157</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4,344,346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1,115,925</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(loss) profit</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(727,519)</w:t>
            </w: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(8,938)</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1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2,227,060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3,666,980</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42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7,788,552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6,128,211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10,015,612</w:t>
            </w: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9,795,191</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(10,743,131)</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(9,786,959)</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(48,403)</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6,573</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185,000</w:t>
            </w:r>
          </w:p>
        </w:tc>
        <w:tc>
          <w:tcPr>
            <w:tcW w:w="3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 gain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(467,909)</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152,575</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(11,074,443)</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(9,627,811)</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80" w:type="dxa"/>
            <w:vAlign w:val="bottom"/>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1,137,872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1,745,895</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(9,936,571)</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(7,881,916)</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Less: Net loss attributable to the noncontrolling interest in Ocean</w:t>
            </w:r>
          </w:p>
        </w:tc>
        <w:tc>
          <w:tcPr>
            <w:tcW w:w="18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98,154</w:t>
            </w:r>
          </w:p>
        </w:tc>
        <w:tc>
          <w:tcPr>
            <w:tcW w:w="32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121,599</w:t>
            </w: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Technologies (Australasia) Pty Ltd.</w:t>
            </w:r>
          </w:p>
        </w:tc>
        <w:tc>
          <w:tcPr>
            <w:tcW w:w="18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(9,838,417)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(7,760,317)</w:t>
            </w:r>
          </w:p>
        </w:tc>
        <w:tc>
          <w:tcPr>
            <w:tcW w:w="1640" w:type="dxa"/>
            <w:vAlign w:val="bottom"/>
            <w:gridSpan w:val="2"/>
          </w:tcPr>
          <w:p>
            <w:pPr>
              <w:jc w:val="right"/>
              <w:spacing w:after="0" w:line="210" w:lineRule="exact"/>
              <w:rPr>
                <w:sz w:val="20"/>
                <w:szCs w:val="20"/>
                <w:color w:val="auto"/>
              </w:rPr>
            </w:pPr>
            <w:r>
              <w:rPr>
                <w:rFonts w:ascii="Arial" w:cs="Arial" w:eastAsia="Arial" w:hAnsi="Arial"/>
                <w:sz w:val="14"/>
                <w:szCs w:val="14"/>
                <w:color w:val="auto"/>
              </w:rPr>
              <w:t>(27</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Revenues increased by $2.5 million, or 222%, to $3.6 million in the nine months ended January 31, 2015, as compared to $1.1 million in the nine months ended January 31, 2014. The increase in revenue is primarily related to increased billable work for the removal of the anchoring and mooring equipment from the seabed off the coast of Oregon and increased billable work under the current phase of our project with MES and revenue related to the completion of our WavePort contract with the EU. These increases were partially offset by decreased revenue on other billable development projects.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Cost of revenues increased by $3.2 million, or 289%, to $4.3 million in the nine months ended January 31, 2015, as compared to $1.1 million in the nine months ended January 31, 2014. The increase in cost of revenues is primarily related to costs for increased billable work for the removal of the anchoring and mooring equipment from the seabed off the coast of Oregon and increased billable work under the current phase of our project with MES and cost of revenue related to the completion of our WavePort contract with the EU. Our firm fixed price contract with MES recorded under the percentage-of-completion method had an increase in estimated total costs of the project. This increase in estimated project costs resulted in a gross loss and we recorded an accrual for the future anticipated loss on the contract. These increases were partially offset by decreased cost of revenues on other billable development projects.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Some of our projects in the nine month period ended January 31, 2015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Product development costs decreased by $1.4 million, or 39%, to $2.2 million in the nine months ended January 31, 2015 as compared to $3.7 million in the nine months ended January 31, 2014. The decrease in product development costs was related primarily to the substantial completion of our cost-sharing contract with the DOE for our Reedsport project in Oregon and decreased costs associated with other internally funded development projects. Over the next several years, it is our intent to fund the majority of our research and development expenses, including cost-sharing arrangements, with sources of external funding. If we are unable to obtain external funding, we may curtail product development expenses and/or scope as necessary.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costs increased by approximately $1.7 million, or 27%, to $7.8 million for the nine months ended January 31, 2015 as compared to $6.1 million for the nine months ended January 31, 2014. The increase was related primarily to legal fees to address the shareholder litigation and related matters. In addition, costs increased related to third party consultant fees and patent costs due to shortening the estimated useful lives for recording amortization expense. These increases were offset by decreased employee related costs and decreased site development expenses related to our terminated project in Australia. In addition, during the nine months ended January 31, 2014, we had a favorable adjustment for a doubtful allowance on a customer receivable.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income (expense) decreased to ($48,000) for the nine months ended January 31, 2015, as compared to $7,000 in the nine months ended January 31, 2014. This change was related primarily to interest expense recorded for the repayment of funds received in March 2014 from ARENA of $5.2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 gain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exchange loss was $468,000 for the nine months ended January 31, 2015, compared to a foreign exchange gain of $153,000 for the nine months ended January 31, 2014. The difference was attributable primarily to the relative change in value of the British pound sterling, Euro and Australian dollar compared to the US dollar during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January 31, 2015, we reached a favorable settlement with a vendor regarding a disputed transaction, which comprises the amount of $185,000 recorded within Other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nine months ended January 31, 2015 and 2014, we sold New Jersey net operating tax loss carryforwards and research and development credits resulting in income tax benefits of $1.1 million and $1.7 million, respectively. Previously, these carryforward amounts were subject to valuation allowances.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the planned growth of our business. For the two years ended April 30, 2014, our net losses were $26.0 million and our net cash used in operating activities was $17.3 million.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w w:val="93"/>
              </w:rPr>
              <w:t>Cash flows for the nine months ended January 31, 2015 and 2014 were as follows: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2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7"/>
              </w:rPr>
              <w:t>Nine Months Ended January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(9,936,571)</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(7,881,916)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noncash operating items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1,437,525</w:t>
            </w:r>
          </w:p>
        </w:tc>
        <w:tc>
          <w:tcPr>
            <w:tcW w:w="1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447,419</w:t>
            </w: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cash operating loss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(8,499,046)</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(7,434,497)</w:t>
            </w: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operating assets and liabilities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(6,252,578)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(617,520)</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(14,751,624)</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(8,052,017)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180" w:type="dxa"/>
            <w:vAlign w:val="bottom"/>
            <w:gridSpan w:val="2"/>
          </w:tcPr>
          <w:p>
            <w:pPr>
              <w:spacing w:after="0"/>
              <w:rPr>
                <w:sz w:val="17"/>
                <w:szCs w:val="17"/>
                <w:color w:val="auto"/>
              </w:rPr>
            </w:pPr>
          </w:p>
        </w:tc>
        <w:tc>
          <w:tcPr>
            <w:tcW w:w="480" w:type="dxa"/>
            <w:vAlign w:val="bottom"/>
            <w:gridSpan w:val="2"/>
          </w:tcPr>
          <w:p>
            <w:pPr>
              <w:spacing w:after="0"/>
              <w:rPr>
                <w:sz w:val="17"/>
                <w:szCs w:val="17"/>
                <w:color w:val="auto"/>
              </w:rPr>
            </w:pPr>
          </w:p>
        </w:tc>
        <w:tc>
          <w:tcPr>
            <w:tcW w:w="15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21,176,744</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1,728,959</w:t>
            </w: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55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(75,659)</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5,859,445</w:t>
            </w:r>
          </w:p>
        </w:tc>
        <w:tc>
          <w:tcPr>
            <w:tcW w:w="0" w:type="dxa"/>
            <w:vAlign w:val="bottom"/>
          </w:tcPr>
          <w:p>
            <w:pPr>
              <w:spacing w:after="0"/>
              <w:rPr>
                <w:sz w:val="1"/>
                <w:szCs w:val="1"/>
                <w:color w:val="auto"/>
              </w:rPr>
            </w:pPr>
          </w:p>
        </w:tc>
      </w:tr>
      <w:tr>
        <w:trPr>
          <w:trHeight w:val="197"/>
        </w:trPr>
        <w:tc>
          <w:tcPr>
            <w:tcW w:w="660" w:type="dxa"/>
            <w:vAlign w:val="bottom"/>
          </w:tcPr>
          <w:p>
            <w:pPr>
              <w:spacing w:after="0"/>
              <w:rPr>
                <w:sz w:val="17"/>
                <w:szCs w:val="17"/>
                <w:color w:val="auto"/>
              </w:rPr>
            </w:pPr>
          </w:p>
        </w:tc>
        <w:tc>
          <w:tcPr>
            <w:tcW w:w="55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(339,214)</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7,463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$14.8 million and $8.1 million for the nine months ended January 31, 2015 and 2014, respectively. The change was the result of an increase in net loss of $2.1 million and an increase in cash used by the net change in operating assets and liabilities of $5.6 million primarily due to the return of the advance payment of $4.7 million related to the former ARENA contract, offset by an increase in noncash operating items of $1.0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net loss for the nine months ended January 31, 2015 compared to the nine months ended January 31, 2014 reflects a gross loss of $0.7 million relating to our project with MES, an increase in selling, general and administrative costs of $1.7 million, offset by a decrease in product development costs of $1.4 million relating primarily to our project in Reedsport, Oregon, a decrease in the net change of $0.4 million in other income and foreign exchange differences and a decrease in income tax benefits of $0.6 million.</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increase in noncash operating items reflects an increase in amortization expense for patents of $0.4 million and foreign exchange losses of $0.6 million and the prior period reversal of an allowance for doubtful accounts receivable of $0.3 million offset by a decrease in equity compensation of $0.3 million.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operating assets and liabilities reflects the decrease advanced payment received from customers of $4.7 million, a net decrease of $0.5 million in unearned revenues and other net changes in operating assets and liabilities of $0.2 million. These decreases are offset by the collection of $0.6 million in accounts receivable and a net increase in other assets of $0.3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investing activities was $21.2 million for the nine months ended January 31, 2015 and net cash provided by investing activities was $1.7 million for the nine months ended January 31, 2014. The change was primarily the result of a net increase of $11.9 million in maturities of marketable securities during the nine months ended January 31, 2015 and an increase from restricted cash of $7.6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provided by financing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was $75,000 and net cash provided by was $5,859,000 for the nine months ended January 31, 2015 and 2014, respectively. The net cash used was primarily for repayment of long-term debt in the nine months ended January 31, 2015 and net cash provided in the nine months ended January 31, 2014 was primarily from the sale of common stock, net of issuance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 of exchange rates on cash and cash equivalents was a decrease of $339,000 and an increase of $7,500 in the nine months ended January 31, 2015 and 2014, respectively. The effect of exchange rates on cash and cash equivalents results primarily from gains or losses on consolidation of foreign subsidiaries and foreign denominated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 systems and to expand our sales, marketing and manufacturing programs associated with the planned commercialization of the PowerBuoy systems. Our future capital requirements will depend on a number of factors, including:</w:t>
      </w:r>
    </w:p>
    <w:p>
      <w:pPr>
        <w:spacing w:after="0" w:line="235" w:lineRule="exact"/>
        <w:rPr>
          <w:sz w:val="20"/>
          <w:szCs w:val="20"/>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development efforts for our PowerBuoy systems;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developing commercial relationships with major customers;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obtain project-specific financing, grants, subsidies and other sources of funding for some of our projects;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manufacturing activities;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success rate of commercialization activities, including demonstration projects, product marketing and sales;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customer relationships;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expansion plans, including the hiring of new employees as our business increases;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potential acquisitions of other products or technologies;</w:t>
      </w:r>
    </w:p>
    <w:p>
      <w:pPr>
        <w:spacing w:after="0" w:line="225" w:lineRule="exact"/>
        <w:rPr>
          <w:rFonts w:ascii="Arial" w:cs="Arial" w:eastAsia="Arial" w:hAnsi="Arial"/>
          <w:sz w:val="18"/>
          <w:szCs w:val="18"/>
          <w:color w:val="auto"/>
        </w:rPr>
      </w:pPr>
    </w:p>
    <w:p>
      <w:pPr>
        <w:ind w:left="700" w:right="1900" w:hanging="379"/>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and enforcing patent claims and other patent-related costs; and</w:t>
      </w:r>
    </w:p>
    <w:p>
      <w:pPr>
        <w:spacing w:after="0" w:line="170" w:lineRule="exact"/>
        <w:rPr>
          <w:rFonts w:ascii="Arial" w:cs="Arial" w:eastAsia="Arial" w:hAnsi="Arial"/>
          <w:sz w:val="18"/>
          <w:szCs w:val="18"/>
          <w:color w:val="auto"/>
        </w:rPr>
      </w:pPr>
    </w:p>
    <w:p>
      <w:pPr>
        <w:ind w:left="700" w:hanging="37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shareholder litigation and regulatory inquiries.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incurred negative operating cash flows since our inception. As of January 31, 2015, our cash and cash equivalents and marketable securities balance was approximately $19.9 million. Based upon our cash and cash equivalents and marketable securities balance as of January 31, 2015, we believe that we will be able to finance our capital requirements and operations through at least the first calendar quarter of 2016. In addition, as of January 31, 2015, our restricted cash balance was approximately $0.6 million, which reflects a significant decrease from our restricted cash balance of approximately $7.3 million as of April 30, 2014. See Note 2(f).</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fiscal 2014 and 2013, we have continued to make investments in ongoing product development efforts in anticipation of future growth. Our future results of operations involve significant risks and uncertainties. Factors that could adversely affect our future operating results and cause actual results to vary materially from expectations include, but are not limited to, risks from competition, new products, technological change, recent economic activity and dependence on key personnel. In order to complete our future growth strategy, we will require additional equity and/or debt financing. There is no assurance that additional equity and/or debt financing will be available to us as needed. If sufficient financing is not obtained, we may be required to further curtail or limit certain product development costs, and/or selling, general and administrative activities in order to reduce our cash expenditures.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January 2013, we filed a shelf registration statement on Form S-3 (the “S-3” or the “S-3 Shelf”). The S-3 Shelf was declared effective in February 2013. Under the S-3 Shelf in June 2013, we established the ATM Facility with Ascendiant Capital Markets, LLC via the ATM Agreement in June 2013. Under the ATM Agreement, we offered and sold shares of our common stock from time to time through the Manager, acting as sales agent, in ordinary brokerage transactions at prevailing market prices. Under the ATM Facility, during fiscal 2014, we issued 3,306,334 shares of our common stock at an average price to the public of $3.02 per share, receiving net proceeds from the ATM Facility of approximately $9,698,000.</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Also in fiscal 2014, we entered into an Underwriting Agreement with Roth Capital Partners, LLC on April 4, 2014, with respect to the issuance and sale in an underwritten Public Offering of an aggregate of 3,800,000 shares of our common stock at a price of $3.10 per share. The Underwriting Agreement contained customary representations, warranties and agreements by us, customary conditions to closing, indemnification obligations, and a 90 day lock-up period that limited transactions in our common stock by us. Net proceeds from the Public Offering, which was completed in early April 2014, were approximately $10,828,000.</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Form S-3 limits the aggregate market value of securities that we are permitted to offer in any 12-month period under Form S-3, whether under the ATM Agreement, the Underwriting Agreement or otherwise, to one third of our public float. After the February 2014 share sales, we fully utilized the ATM Agreement and reached the applicable limit under Form S-3. Of the $40 million authorized under the S-3 Shelf, approximately $18.2 million remains available for issuance. During the nine months ended January 31, 2015, there were no proceeds from the sale of stock under the S-3 Shelf.</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1" w:name="page32"/>
    <w:bookmarkEnd w:id="31"/>
    <w:p>
      <w:pPr>
        <w:jc w:val="both"/>
        <w:spacing w:after="0" w:line="302" w:lineRule="auto"/>
        <w:rPr>
          <w:sz w:val="20"/>
          <w:szCs w:val="20"/>
          <w:color w:val="auto"/>
        </w:rPr>
      </w:pPr>
      <w:r>
        <w:rPr>
          <w:rFonts w:ascii="Arial" w:cs="Arial" w:eastAsia="Arial" w:hAnsi="Arial"/>
          <w:sz w:val="16"/>
          <w:szCs w:val="16"/>
          <w:color w:val="auto"/>
        </w:rPr>
        <w:t>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or at all. If we are unable to obtain required financing, we may be required to reduce the scope of our current projects, planned product development and marketing efforts, which could harm our financial condition and operating results.</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three months ended April 30, 2014, our subsidiary VWP received approximately A$5.2 million in initial grant funding from ARENA. The Company recorded this payment as an advance payment within the consolidated balance sheet. We classified the initial grant funding received from ARENA, of A$5,595,723 ($5,179,960), which includes GST, as restricted cash. In July 2014, the VWP Board of Directors determined that the project contemplated by the grant was no longer commercially viable and tendered a notice of its intent to terminate the Funding Deed and return to ARENA the grant funds received.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January 31, 2015, the Company remitted the GST in the amount of A$508,702 ($470,905) to the Australian Tax Office (ATO) in accordance with local tax laws and reclaimed this amount from the ATO during such nine month period. In August 2014, the Company returned the initial grant funding received of A$5,595,723 ($5,179,960) and interest of A$109,051 ($102,061) to ARENA in accordance with the Deed of Variation and Termination of Funding Deed executed between the parties in August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 under the supervision and with the participation of our Chief Executive Officer and Chief Financial Officer, evaluated the effectiveness of the design and operation of our disclosure controls and procedures as of January 31, 2015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timely allow decisions regarding required disclosure. Based on such evaluation, management concluded that our disclosure controls and procedures were effective as of January 31, 2015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January 31, 2015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Litigation</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is a defendant in four putative securities class actions pending in the United States District Court for the District of New Jersey. See Roby v. Ocean Power Technologies, Inc., et al., Case No. 3:14-cv-03799-FLW-LHG; Chew, et al. v. Ocean Power Technologies, Inc. et. al., Case No 3:14-cv-03815-MAS-DEA; Konstantinidis v. Ocean Power Technologies, Inc., et al., Case No. 3:14-cv-04015-FLW-DEA; Turner v. Ocean Power Technologies, Inc., et al., Case No. 3:14-cv-04592. The Company's former Chief Executive Officer is named as a defendant in each of the lawsuits and the Company's Chief Financial Officer is named as a defendant in two of the lawsuits. The complaints allege claims for violations of §10(b) and §20(a) of the Securities Exchange Act of 1934 arising out of public statements relating to a now terminated agreement between Victorian Wave Partners Pty. Ltd. and the Australian Renewable Energy Agency for the development of a wave power station (the "VWP Project"). All four complaints seek unspecified monetary damages and other relief. On August 12, 2014, five motions for appointment of lead plaintiff were filed. The motions also seek to consolidate the actions. The Court has not ruled on the motions. The cases are still in their preliminary stages and defendants have not yet responded to the complaints.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10, 2014, the Company received a demand letter ("Demand Letter") from an attorney claiming to represent a shareholder demanding that the Company's Board of Directors establish an independent committee to investigate and remedy alleged breaches of fiduciary duties by the Board of Directors and management relating to the VWP Project. The Company is continuing to evaluate the Demand Letter but also invited the attorney to participate in the Section 220 Demand process discussed below. On February 6, 2015, the Company produced documents to the attorney pursuant to a confidentiality agreement in connection with the Section 220 Demand process.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received a letter, dated August 19, 2014, (the "Section 220 Demand") from another attorney claiming to represent a shareholder demanding, pursuant to 8 Del. C. § 220, to inspect certain books and records of the Company relating to the VWP Project and the termination of Charles Dunleavy as the Company's Chief Executive Officer. The Company has received two additional Section 220 Demands relating to the same subject matter from attorneys claiming to represent two different shareholders. The Company has responded in writing to the three Section 220 Demands and on February 6, 2015 produced documents to each of the attorneys pursuant to confidentiality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Litigation: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10, 2014, the Company announced that it had terminated Charles Dunleavy as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toll his alleged employment claims pending resolution of the shareholder litigation.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2014, the Company provided documents to the Financial Industry Regulatory Authority (FINRA) in response to a July 9, 2014 request under NASDAQ Listing Rule 5250(a)(1) seeking information related to the internal investigation of the Special Committee of the Board of Directors. On November 6, 2014, FINRA sent a letter to the Company advising the Company that it had concluded its review of the matter and, as the Company believes is generally routine, that is was referring the matter to the Securities and Exchange Commission (SEC) for whatever action, if any, it deems appropriate. There are no outstanding requests to the Company from FINRA at this time. On February 4, 2015 the Company received a subpoena from the SEC requesting information related to the subject of the internal investigation of the Special Committee of the Board of Directors. The Company is in the process of providing information to the SEC in response to the subpoena.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discussion of our business and operations should be read together with the risk factors contained in Item 1A of our Annual Report on Form 10-K for the year ended April 30, 2014.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for the year ended April 30, 2014.</w:t>
      </w:r>
    </w:p>
    <w:p>
      <w:pPr>
        <w:spacing w:after="0" w:line="3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unregistered sales of equity securities or purchases of equity securities by the Company that are required to be disclosed.</w:t>
      </w:r>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i w:val="1"/>
          <w:iCs w:val="1"/>
          <w:color w:val="auto"/>
        </w:rPr>
        <w:t>EXHIBITS</w:t>
      </w:r>
    </w:p>
    <w:p>
      <w:pPr>
        <w:spacing w:after="0" w:line="283" w:lineRule="exact"/>
        <w:rPr>
          <w:sz w:val="20"/>
          <w:szCs w:val="20"/>
          <w:color w:val="auto"/>
        </w:rPr>
      </w:pPr>
    </w:p>
    <w:p>
      <w:pPr>
        <w:ind w:left="80"/>
        <w:spacing w:after="0"/>
        <w:tabs>
          <w:tab w:leader="none" w:pos="8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Employment Agreement, dated December 29, 2014, between George H. Kirby and Ocean Power Technologies, Inc.</w:t>
      </w:r>
    </w:p>
    <w:p>
      <w:pPr>
        <w:spacing w:after="0" w:line="225" w:lineRule="exact"/>
        <w:rPr>
          <w:sz w:val="20"/>
          <w:szCs w:val="20"/>
          <w:color w:val="auto"/>
        </w:rPr>
      </w:pPr>
    </w:p>
    <w:p>
      <w:pPr>
        <w:ind w:left="80"/>
        <w:spacing w:after="0"/>
        <w:tabs>
          <w:tab w:leader="none" w:pos="8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ind w:left="80"/>
        <w:spacing w:after="0"/>
        <w:tabs>
          <w:tab w:leader="none" w:pos="8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ind w:left="80"/>
        <w:spacing w:after="0"/>
        <w:tabs>
          <w:tab w:leader="none" w:pos="8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ind w:left="80"/>
        <w:spacing w:after="0"/>
        <w:tabs>
          <w:tab w:leader="none" w:pos="8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jc w:val="both"/>
        <w:ind w:left="880" w:hanging="750"/>
        <w:spacing w:after="0" w:line="293"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Quarterly Report on Form 10-Q for the quarter ended January 31, 2015, filed March 11, 2015: (i) Consolidated Balance Sheets – January 31, 2015 (unaudited) and April 30, 2014, (ii) Consolidated Statements of Operations (unaudited) – Three and Nine Months Ended January 31, 2015 and 2014, (iii) Consolidated Statements of Comprehensive Loss (unaudited) – Three and Nine Months Ended January 31, 2015 and 2014, (iv) Consolidated Statements of Stockholders’ Equity (unaudited) – Nine Months Ended January 31, 2015, (v) Consolidated Statements of Cash Flows (unaudited) – Nine Months Ended January 31, 2015 and 2014 and (vi) Notes to Consolidated Financial Statements.*</w:t>
      </w:r>
    </w:p>
    <w:p>
      <w:pPr>
        <w:spacing w:after="0" w:line="164" w:lineRule="exact"/>
        <w:rPr>
          <w:rFonts w:ascii="Arial" w:cs="Arial" w:eastAsia="Arial" w:hAnsi="Arial"/>
          <w:sz w:val="16"/>
          <w:szCs w:val="16"/>
          <w:color w:val="auto"/>
        </w:rPr>
      </w:pPr>
    </w:p>
    <w:p>
      <w:pPr>
        <w:jc w:val="both"/>
        <w:ind w:left="880"/>
        <w:spacing w:after="0" w:line="264" w:lineRule="auto"/>
        <w:rPr>
          <w:rFonts w:ascii="Arial" w:cs="Arial" w:eastAsia="Arial" w:hAnsi="Arial"/>
          <w:sz w:val="16"/>
          <w:szCs w:val="16"/>
          <w:color w:val="auto"/>
        </w:rPr>
      </w:pPr>
      <w:r>
        <w:rPr>
          <w:rFonts w:ascii="Arial" w:cs="Arial" w:eastAsia="Arial" w:hAnsi="Arial"/>
          <w:sz w:val="18"/>
          <w:szCs w:val="18"/>
          <w:color w:val="auto"/>
        </w:rPr>
        <w:t>* 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00"/>
          </w:cols>
          <w:pgMar w:left="240" w:top="580" w:right="5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George H. Kirby III</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26327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Featherstone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-130810</wp:posOffset>
            </wp:positionV>
            <wp:extent cx="26327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jc w:val="center"/>
        <w:ind w:right="-159"/>
        <w:spacing w:after="0"/>
        <w:rPr>
          <w:sz w:val="20"/>
          <w:szCs w:val="20"/>
          <w:color w:val="auto"/>
        </w:rPr>
      </w:pPr>
      <w:r>
        <w:rPr>
          <w:rFonts w:ascii="Arial" w:cs="Arial" w:eastAsia="Arial" w:hAnsi="Arial"/>
          <w:sz w:val="18"/>
          <w:szCs w:val="18"/>
          <w:b w:val="1"/>
          <w:bCs w:val="1"/>
          <w:color w:val="auto"/>
        </w:rPr>
        <w:t>EXHIBITS INDEX</w:t>
      </w:r>
    </w:p>
    <w:p>
      <w:pPr>
        <w:spacing w:after="0" w:line="2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Employment Agreement, dated December 29, 2014, between George H. Kirby and Ocean Power Technologies, Inc.</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jc w:val="both"/>
        <w:ind w:left="720" w:hanging="670"/>
        <w:spacing w:after="0" w:line="293"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Quarterly Report on Form 10-Q for the quarter ended January 31, 2015, filed March 11, 2015: (i) Consolidated Balance Sheets – January 31, 2015 (unaudited) and April 30, 2014, (ii) Consolidated Statements of Operations (unaudited) – Three and Nine Months Ended January 31, 2015 and 2014, (iii) Consolidated Statements of Comprehensive Loss (unaudited) – Three and Nine Months Ended January 31, 2015 and 2014, (iv) Consolidated Statements of Stockholders’ Equity (unaudited) – Nine Months Ended January 31, 2015, (v) Consolidated Statements of Cash Flows (unaudited) – Nine Months Ended January 31, 2015 and 2014 and (vi) Notes to Consolidated Financial Statements.*</w:t>
      </w:r>
    </w:p>
    <w:p>
      <w:pPr>
        <w:spacing w:after="0" w:line="164" w:lineRule="exact"/>
        <w:rPr>
          <w:rFonts w:ascii="Arial" w:cs="Arial" w:eastAsia="Arial" w:hAnsi="Arial"/>
          <w:sz w:val="16"/>
          <w:szCs w:val="16"/>
          <w:color w:val="auto"/>
        </w:rPr>
      </w:pPr>
    </w:p>
    <w:p>
      <w:pPr>
        <w:jc w:val="both"/>
        <w:ind w:left="720"/>
        <w:spacing w:after="0" w:line="264" w:lineRule="auto"/>
        <w:rPr>
          <w:rFonts w:ascii="Arial" w:cs="Arial" w:eastAsia="Arial" w:hAnsi="Arial"/>
          <w:sz w:val="16"/>
          <w:szCs w:val="16"/>
          <w:color w:val="auto"/>
        </w:rPr>
      </w:pPr>
      <w:r>
        <w:rPr>
          <w:rFonts w:ascii="Arial" w:cs="Arial" w:eastAsia="Arial" w:hAnsi="Arial"/>
          <w:sz w:val="18"/>
          <w:szCs w:val="18"/>
          <w:color w:val="auto"/>
        </w:rPr>
        <w:t>* 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580" w:right="47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10.1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GEORGE H. KIRBY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0" w:lineRule="exact"/>
        <w:rPr>
          <w:sz w:val="20"/>
          <w:szCs w:val="20"/>
          <w:color w:val="auto"/>
        </w:rPr>
      </w:pPr>
    </w:p>
    <w:p>
      <w:pPr>
        <w:spacing w:after="0" w:line="222" w:lineRule="exact"/>
        <w:rPr>
          <w:sz w:val="20"/>
          <w:szCs w:val="20"/>
          <w:color w:val="auto"/>
        </w:rPr>
      </w:pPr>
    </w:p>
    <w:p>
      <w:pPr>
        <w:ind w:right="640" w:firstLine="648"/>
        <w:spacing w:after="0" w:line="204" w:lineRule="auto"/>
        <w:rPr>
          <w:sz w:val="20"/>
          <w:szCs w:val="20"/>
          <w:color w:val="auto"/>
        </w:rPr>
      </w:pPr>
      <w:r>
        <w:rPr>
          <w:rFonts w:ascii="Arial" w:cs="Arial" w:eastAsia="Arial" w:hAnsi="Arial"/>
          <w:sz w:val="18"/>
          <w:szCs w:val="18"/>
          <w:color w:val="auto"/>
        </w:rPr>
        <w:t>This Employment Agreement (“Agreement”) is made as of 29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December 2014 (the “Signature Date”) by and between Ocean Power Technologies, Inc., a New Jersey corporation (the “Company”), and George H. Kirby III (“Executive”).</w:t>
      </w:r>
    </w:p>
    <w:p>
      <w:pPr>
        <w:spacing w:after="0" w:line="198"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w:t>
      </w:r>
    </w:p>
    <w:p>
      <w:pPr>
        <w:spacing w:after="0" w:line="229" w:lineRule="exact"/>
        <w:rPr>
          <w:sz w:val="20"/>
          <w:szCs w:val="20"/>
          <w:color w:val="auto"/>
        </w:rPr>
      </w:pPr>
    </w:p>
    <w:p>
      <w:pPr>
        <w:ind w:firstLine="648"/>
        <w:spacing w:after="0" w:line="227" w:lineRule="auto"/>
        <w:rPr>
          <w:sz w:val="20"/>
          <w:szCs w:val="20"/>
          <w:color w:val="auto"/>
        </w:rPr>
      </w:pPr>
      <w:r>
        <w:rPr>
          <w:rFonts w:ascii="Arial" w:cs="Arial" w:eastAsia="Arial" w:hAnsi="Arial"/>
          <w:sz w:val="18"/>
          <w:szCs w:val="18"/>
          <w:color w:val="auto"/>
        </w:rPr>
        <w:t>The effectiveness of this Agreement is conditioned upon the completion of a background investigation of the Executive to the satisfaction of the Company’s Board of Directors, which investigation is anticipated to conclude after the Signature Date and prior to the Effective Date as defined below. During the Employment Period (as defined in Section 4), the Company will employ Executive and Executive will serve as President and Chief Executive Officer (“CEO”) and Member of the Board of Directors of the Company reporting directly to the Board of Directors of the Company (the “Board”). Executive and Company acknowledge and agree that Executive will begin such employment and provide such service on the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2015 (the “Effective Date”).</w:t>
      </w:r>
    </w:p>
    <w:p>
      <w:pPr>
        <w:spacing w:after="0" w:line="203"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Responsibilities of Executive on the Effective Date</w:t>
      </w:r>
    </w:p>
    <w:p>
      <w:pPr>
        <w:spacing w:after="0" w:line="229" w:lineRule="exact"/>
        <w:rPr>
          <w:rFonts w:ascii="Arial" w:cs="Arial" w:eastAsia="Arial" w:hAnsi="Arial"/>
          <w:sz w:val="18"/>
          <w:szCs w:val="18"/>
          <w:b w:val="1"/>
          <w:bCs w:val="1"/>
          <w:color w:val="auto"/>
        </w:rPr>
      </w:pPr>
    </w:p>
    <w:p>
      <w:pPr>
        <w:ind w:right="160" w:firstLine="656"/>
        <w:spacing w:after="0" w:line="259" w:lineRule="auto"/>
        <w:tabs>
          <w:tab w:leader="none" w:pos="1073" w:val="left"/>
        </w:tabs>
        <w:numPr>
          <w:ilvl w:val="1"/>
          <w:numId w:val="9"/>
        </w:numPr>
        <w:rPr>
          <w:rFonts w:ascii="Arial" w:cs="Arial" w:eastAsia="Arial" w:hAnsi="Arial"/>
          <w:sz w:val="18"/>
          <w:szCs w:val="18"/>
          <w:color w:val="auto"/>
        </w:rPr>
      </w:pPr>
      <w:r>
        <w:rPr>
          <w:rFonts w:ascii="Arial" w:cs="Arial" w:eastAsia="Arial" w:hAnsi="Arial"/>
          <w:sz w:val="18"/>
          <w:szCs w:val="18"/>
          <w:color w:val="auto"/>
        </w:rPr>
        <w:t>During the Employment Period (as defined in Section 4), Executive will devote substantially all of his professional time and efforts to the business of the Company, will act in the best interests of the Company and will perform with due care his duties and responsibilities. Executive’s duties will include those normally incidental to the position of President and Chief Executive Officer as well as such additional duties as may be assigned to him by the Board.</w:t>
      </w:r>
    </w:p>
    <w:p>
      <w:pPr>
        <w:spacing w:after="0" w:line="186" w:lineRule="exact"/>
        <w:rPr>
          <w:rFonts w:ascii="Arial" w:cs="Arial" w:eastAsia="Arial" w:hAnsi="Arial"/>
          <w:sz w:val="18"/>
          <w:szCs w:val="18"/>
          <w:color w:val="auto"/>
        </w:rPr>
      </w:pPr>
    </w:p>
    <w:p>
      <w:pPr>
        <w:ind w:right="60" w:firstLine="656"/>
        <w:spacing w:after="0" w:line="259" w:lineRule="auto"/>
        <w:tabs>
          <w:tab w:leader="none" w:pos="1083" w:val="left"/>
        </w:tabs>
        <w:numPr>
          <w:ilvl w:val="1"/>
          <w:numId w:val="9"/>
        </w:numPr>
        <w:rPr>
          <w:rFonts w:ascii="Arial" w:cs="Arial" w:eastAsia="Arial" w:hAnsi="Arial"/>
          <w:sz w:val="18"/>
          <w:szCs w:val="18"/>
          <w:color w:val="auto"/>
        </w:rPr>
      </w:pPr>
      <w:r>
        <w:rPr>
          <w:rFonts w:ascii="Arial" w:cs="Arial" w:eastAsia="Arial" w:hAnsi="Arial"/>
          <w:sz w:val="18"/>
          <w:szCs w:val="18"/>
          <w:color w:val="auto"/>
        </w:rPr>
        <w:t>Executive agrees to cooperate fully with the Board and not engage directly or indirectly in any activity that materially interferes with the performance of Executive’s duties. During the Employment Period, Executive will not hold outside employment, join, be a member of or serve on any corporate, civic or charitable boards or committees, or perform substantial personal services for parties unrelated to the Company without the advance written approval of the Nominating &amp; Governance Committee of the Board.</w:t>
      </w:r>
    </w:p>
    <w:p>
      <w:pPr>
        <w:spacing w:after="0" w:line="186" w:lineRule="exact"/>
        <w:rPr>
          <w:rFonts w:ascii="Arial" w:cs="Arial" w:eastAsia="Arial" w:hAnsi="Arial"/>
          <w:sz w:val="18"/>
          <w:szCs w:val="18"/>
          <w:color w:val="auto"/>
        </w:rPr>
      </w:pPr>
    </w:p>
    <w:p>
      <w:pPr>
        <w:ind w:right="100" w:firstLine="656"/>
        <w:spacing w:after="0" w:line="264" w:lineRule="auto"/>
        <w:tabs>
          <w:tab w:leader="none" w:pos="1073" w:val="left"/>
        </w:tabs>
        <w:numPr>
          <w:ilvl w:val="1"/>
          <w:numId w:val="9"/>
        </w:numPr>
        <w:rPr>
          <w:rFonts w:ascii="Arial" w:cs="Arial" w:eastAsia="Arial" w:hAnsi="Arial"/>
          <w:sz w:val="18"/>
          <w:szCs w:val="18"/>
          <w:color w:val="auto"/>
        </w:rPr>
      </w:pPr>
      <w:r>
        <w:rPr>
          <w:rFonts w:ascii="Arial" w:cs="Arial" w:eastAsia="Arial" w:hAnsi="Arial"/>
          <w:sz w:val="18"/>
          <w:szCs w:val="18"/>
          <w:color w:val="auto"/>
        </w:rPr>
        <w:t>Executive represents and covenants to the Company that he is not subject to, or a party to, any employment agreement, non-competition covenant, non-solicitation agreement, nondisclosure agreement, or any other agreement, covenant, understanding or restriction that would prohibit Executive from executing this Agreement and fully performing his duties and responsibilities under this Agreement.</w:t>
      </w:r>
    </w:p>
    <w:p>
      <w:pPr>
        <w:spacing w:after="0" w:line="208" w:lineRule="exact"/>
        <w:rPr>
          <w:rFonts w:ascii="Arial" w:cs="Arial" w:eastAsia="Arial" w:hAnsi="Arial"/>
          <w:sz w:val="18"/>
          <w:szCs w:val="18"/>
          <w:color w:val="auto"/>
        </w:rPr>
      </w:pPr>
    </w:p>
    <w:p>
      <w:pPr>
        <w:ind w:right="160" w:firstLine="656"/>
        <w:spacing w:after="0" w:line="277" w:lineRule="auto"/>
        <w:tabs>
          <w:tab w:leader="none" w:pos="1083" w:val="left"/>
        </w:tabs>
        <w:numPr>
          <w:ilvl w:val="1"/>
          <w:numId w:val="9"/>
        </w:numPr>
        <w:rPr>
          <w:rFonts w:ascii="Arial" w:cs="Arial" w:eastAsia="Arial" w:hAnsi="Arial"/>
          <w:sz w:val="18"/>
          <w:szCs w:val="18"/>
          <w:color w:val="auto"/>
        </w:rPr>
      </w:pPr>
      <w:r>
        <w:rPr>
          <w:rFonts w:ascii="Arial" w:cs="Arial" w:eastAsia="Arial" w:hAnsi="Arial"/>
          <w:sz w:val="18"/>
          <w:szCs w:val="18"/>
          <w:color w:val="auto"/>
        </w:rPr>
        <w:t>Executive acknowledges and agrees that Executive owes the Company a duty of loyalty and that any obligations described in this Agreement are in addition to, and not in lieu of, any obligations Executive owes the Company as a matter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629920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10.1</w:t>
      </w:r>
    </w:p>
    <w:p>
      <w:pPr>
        <w:spacing w:after="0" w:line="275"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Commencing on the Effective Date and during the Employment Period, the Company will pay to Executive an annual base salary of $360,000 (the “Base Salary”), which salary will be payable on not less than a monthly basis in conformity with the Company’s customary payroll practices for executive salaries. Executive’s Base Salary will be reviewed for adjustment by the Compensation Committee of the Board (“Compensation Committee”) annually commencing at year-end 2015. For all purposes of this Agreement, Executive’s Base Salary will include any portion thereof which Executive elects to defer under a nonqualified plan or arrangement if any.</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Short-Term Incentive Bonus</w:t>
      </w:r>
      <w:r>
        <w:rPr>
          <w:rFonts w:ascii="Arial" w:cs="Arial" w:eastAsia="Arial" w:hAnsi="Arial"/>
          <w:sz w:val="18"/>
          <w:szCs w:val="18"/>
          <w:color w:val="auto"/>
        </w:rPr>
        <w:t xml:space="preserve"> During the Employment Period Executive will be eligible for an annual, discretionary, performance-based Short-Term Incentive (“STI”) cash bonus (the “STI Bonus”) targeted at 50% of Base Salary.</w:t>
      </w:r>
    </w:p>
    <w:p>
      <w:pPr>
        <w:spacing w:after="0" w:line="170" w:lineRule="exact"/>
        <w:rPr>
          <w:sz w:val="20"/>
          <w:szCs w:val="20"/>
          <w:color w:val="auto"/>
        </w:rPr>
      </w:pPr>
    </w:p>
    <w:p>
      <w:pPr>
        <w:ind w:left="1960" w:right="160" w:hanging="655"/>
        <w:spacing w:after="0" w:line="256"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October 2014 the Compensation Committee established the STI performance objectives for the Company’s 2015 fiscal year as reflected in Exhibit 1 hereto, which also shall be applied to Executive’s performance from the Effective Date through April 30, 2015.</w:t>
      </w:r>
    </w:p>
    <w:p>
      <w:pPr>
        <w:ind w:left="1960" w:hanging="655"/>
        <w:spacing w:after="0" w:line="250"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Commencing May 1, 2015 for the Company’s 2016 fiscal year and for each fiscal year thereafter during the Employment Period, the Compensation Committee will establish the STI performance objectives for Executive and will communicate such objectives to Executive not less than thirty (30) days prior to the start of the fiscal year.</w:t>
      </w:r>
    </w:p>
    <w:p>
      <w:pPr>
        <w:spacing w:after="0" w:line="1" w:lineRule="exact"/>
        <w:rPr>
          <w:rFonts w:ascii="Arial" w:cs="Arial" w:eastAsia="Arial" w:hAnsi="Arial"/>
          <w:sz w:val="18"/>
          <w:szCs w:val="18"/>
          <w:color w:val="auto"/>
        </w:rPr>
      </w:pPr>
    </w:p>
    <w:p>
      <w:pPr>
        <w:ind w:left="1960" w:right="440" w:hanging="655"/>
        <w:spacing w:after="0" w:line="250"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the Executive’s STI Bonus, if any, for the Company’s 2015 fiscal year and each fiscal year thereafter will be determined by the Compensation Committee acting in its sole and complete discretion and will be pro-rated as appropriate or necessary.</w:t>
      </w:r>
    </w:p>
    <w:p>
      <w:pPr>
        <w:spacing w:after="0" w:line="1" w:lineRule="exact"/>
        <w:rPr>
          <w:rFonts w:ascii="Arial" w:cs="Arial" w:eastAsia="Arial" w:hAnsi="Arial"/>
          <w:sz w:val="18"/>
          <w:szCs w:val="18"/>
          <w:color w:val="auto"/>
        </w:rPr>
      </w:pPr>
    </w:p>
    <w:p>
      <w:pPr>
        <w:ind w:left="1960" w:right="260" w:hanging="655"/>
        <w:spacing w:after="0" w:line="265" w:lineRule="auto"/>
        <w:tabs>
          <w:tab w:leader="none" w:pos="1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after the end of a fiscal year, the Company terminates this Agreement Executive pursuant to Section 6(b)(1) or (b)(3) or the Executive terminates this Agreement pursuant to Section 6(c)(1) then the Executive will be still be entitled to the full amount of the STI Bonus as determined by the Compensation Committee acting in its sole and complete discretion.</w:t>
      </w:r>
    </w:p>
    <w:p>
      <w:pPr>
        <w:ind w:left="1960" w:right="60" w:hanging="655"/>
        <w:spacing w:after="0" w:line="281" w:lineRule="auto"/>
        <w:tabs>
          <w:tab w:leader="none" w:pos="1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within the last three months of the fiscal year, the Company terminates this Agreement Executive pursuant to Section 6(b)(1) or (b)(3) or the Executive terminates this Agreement pursuant to Section 6(c)(1) then the Executive will be still be entitled to a pro-rated amount of the STI Bonus as determined by the Compensation Committee acting in its sole and complete discretion.</w:t>
      </w:r>
    </w:p>
    <w:p>
      <w:pPr>
        <w:spacing w:after="0" w:line="2" w:lineRule="exact"/>
        <w:rPr>
          <w:rFonts w:ascii="Arial" w:cs="Arial" w:eastAsia="Arial" w:hAnsi="Arial"/>
          <w:sz w:val="16"/>
          <w:szCs w:val="16"/>
          <w:color w:val="auto"/>
        </w:rPr>
      </w:pPr>
    </w:p>
    <w:p>
      <w:pPr>
        <w:ind w:left="1960" w:right="280" w:hanging="655"/>
        <w:spacing w:after="0" w:line="250"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Executive will not be entitled to any STI Bonus if this Agreement is terminated within the first nine months of a fiscal year (except for payment of the STI Bonus for the prior fiscal year as noted above).</w:t>
      </w:r>
    </w:p>
    <w:p>
      <w:pPr>
        <w:ind w:left="1960" w:hanging="655"/>
        <w:spacing w:after="0"/>
        <w:tabs>
          <w:tab w:leader="none" w:pos="1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STI Bonus amounts will be paid as soon as administratively practicable after the Compensation Committee’s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645795</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39" w:name="page40"/>
    <w:bookmarkEnd w:id="39"/>
    <w:p>
      <w:pPr>
        <w:ind w:left="10360"/>
        <w:spacing w:after="0"/>
        <w:rPr>
          <w:sz w:val="20"/>
          <w:szCs w:val="20"/>
          <w:color w:val="auto"/>
        </w:rPr>
      </w:pPr>
      <w:r>
        <w:rPr>
          <w:rFonts w:ascii="Arial" w:cs="Arial" w:eastAsia="Arial" w:hAnsi="Arial"/>
          <w:sz w:val="19"/>
          <w:szCs w:val="19"/>
          <w:color w:val="auto"/>
        </w:rPr>
        <w:t>Exhibit 10.1</w:t>
      </w:r>
    </w:p>
    <w:p>
      <w:pPr>
        <w:spacing w:after="0" w:line="261"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Long-Term Incentive Compensation</w:t>
      </w:r>
      <w:r>
        <w:rPr>
          <w:rFonts w:ascii="Arial" w:cs="Arial" w:eastAsia="Arial" w:hAnsi="Arial"/>
          <w:sz w:val="17"/>
          <w:szCs w:val="17"/>
          <w:color w:val="auto"/>
        </w:rPr>
        <w:t xml:space="preserve"> On the Effective Date the Compensation Committee will grant Executive 180,000 restricted stock units (“RSUs”) that will vest, if at all, based upon satisfaction of certain Long-Term Incentive (“LTI”) performance criteria addressed below. If additional equity is approved by the Company’s shareholders at the 2015 annual general meeting, the Chairman of the Board of the Company will recommend for approval to the Compensation Committee and to the Board an additional RSU grant to the Executive that will vest, if at all, based upon the satisfaction of the same LTI criteria, although the number of such additional RSUs lies in the sole and complete discretion of the Compensation Committee. In October 2014 the Compensation Committee established the LTI performance objectives for the Company’s 2015 fiscal year as reflected in Exhibit 2 hereto, which also shall be applied to Executive’s initial RSU grant and additional RSU grant referred to above. Following these grants Executive will be eligible to participate in the Company’s LTI compensation programs in accordance with the decisions of the Compensation Committee.</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rPr>
              <w:t>(d)</w:t>
            </w:r>
          </w:p>
        </w:tc>
        <w:tc>
          <w:tcPr>
            <w:tcW w:w="9980" w:type="dxa"/>
            <w:vAlign w:val="bottom"/>
            <w:gridSpan w:val="3"/>
          </w:tcPr>
          <w:p>
            <w:pPr>
              <w:spacing w:after="0"/>
              <w:rPr>
                <w:sz w:val="20"/>
                <w:szCs w:val="20"/>
                <w:color w:val="auto"/>
              </w:rPr>
            </w:pPr>
            <w:r>
              <w:rPr>
                <w:rFonts w:ascii="Arial" w:cs="Arial" w:eastAsia="Arial" w:hAnsi="Arial"/>
                <w:sz w:val="18"/>
                <w:szCs w:val="18"/>
                <w:color w:val="auto"/>
                <w:w w:val="92"/>
              </w:rPr>
              <w:t>One-Time Starting Bonus  On the Effective Date the Executive will be provided with a one-start starting bonus in the amount of $50,000.</w:t>
            </w:r>
          </w:p>
        </w:tc>
      </w:tr>
      <w:tr>
        <w:trPr>
          <w:trHeight w:val="20"/>
        </w:trPr>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412"/>
        </w:trPr>
        <w:tc>
          <w:tcPr>
            <w:tcW w:w="440" w:type="dxa"/>
            <w:vAlign w:val="bottom"/>
          </w:tcPr>
          <w:p>
            <w:pPr>
              <w:spacing w:after="0"/>
              <w:rPr>
                <w:sz w:val="20"/>
                <w:szCs w:val="20"/>
                <w:color w:val="auto"/>
              </w:rPr>
            </w:pPr>
            <w:r>
              <w:rPr>
                <w:rFonts w:ascii="Arial" w:cs="Arial" w:eastAsia="Arial" w:hAnsi="Arial"/>
                <w:sz w:val="18"/>
                <w:szCs w:val="18"/>
                <w:color w:val="auto"/>
              </w:rPr>
              <w:t>(e)</w:t>
            </w:r>
          </w:p>
        </w:tc>
        <w:tc>
          <w:tcPr>
            <w:tcW w:w="9980" w:type="dxa"/>
            <w:vAlign w:val="bottom"/>
            <w:gridSpan w:val="3"/>
          </w:tcPr>
          <w:p>
            <w:pPr>
              <w:spacing w:after="0"/>
              <w:rPr>
                <w:sz w:val="20"/>
                <w:szCs w:val="20"/>
                <w:color w:val="auto"/>
              </w:rPr>
            </w:pPr>
            <w:r>
              <w:rPr>
                <w:rFonts w:ascii="Arial" w:cs="Arial" w:eastAsia="Arial" w:hAnsi="Arial"/>
                <w:sz w:val="18"/>
                <w:szCs w:val="18"/>
                <w:color w:val="auto"/>
                <w:w w:val="90"/>
              </w:rPr>
              <w:t>Withholding  Executive’s Base Salary, STI Bonus, one-time starting bonus, and other compensation payments hereunder will be subject to</w:t>
            </w: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such payroll and other taxes, withholdings, assessments and deductions as may be required by applicable law.</w:t>
      </w:r>
    </w:p>
    <w:p>
      <w:pPr>
        <w:spacing w:after="0" w:line="221"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Term of Employment</w:t>
      </w:r>
    </w:p>
    <w:p>
      <w:pPr>
        <w:spacing w:after="0" w:line="229" w:lineRule="exact"/>
        <w:rPr>
          <w:rFonts w:ascii="Arial" w:cs="Arial" w:eastAsia="Arial" w:hAnsi="Arial"/>
          <w:sz w:val="18"/>
          <w:szCs w:val="18"/>
          <w:b w:val="1"/>
          <w:bCs w:val="1"/>
          <w:color w:val="auto"/>
        </w:rPr>
      </w:pPr>
    </w:p>
    <w:p>
      <w:pPr>
        <w:ind w:right="80" w:firstLine="656"/>
        <w:spacing w:after="0" w:line="257" w:lineRule="auto"/>
        <w:tabs>
          <w:tab w:leader="none" w:pos="107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initial Term of this Agreement will be for the period beginning on the Effective Date and ending at midnight (Eastern Time) on the first anniversary of the Effective Date. The Term will be extended automatically for successive one-year periods unless either party gives the other written notice of its intent to terminate the Agreement not less than 90 days prior to the end of the then-current Term. The initial Term and any extensions are hereinafter referred to as the “Term.” The date on which this Agreement is terminated at the end of the Term or in accordance with Section 6 will be referred to herein as the “the Termination Date.”</w:t>
      </w:r>
    </w:p>
    <w:p>
      <w:pPr>
        <w:spacing w:after="0" w:line="188" w:lineRule="exact"/>
        <w:rPr>
          <w:rFonts w:ascii="Arial" w:cs="Arial" w:eastAsia="Arial" w:hAnsi="Arial"/>
          <w:sz w:val="18"/>
          <w:szCs w:val="18"/>
          <w:color w:val="auto"/>
        </w:rPr>
      </w:pPr>
    </w:p>
    <w:p>
      <w:pPr>
        <w:ind w:left="1080" w:hanging="424"/>
        <w:spacing w:after="0"/>
        <w:tabs>
          <w:tab w:leader="none" w:pos="10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period commencing on the Effective Date and ending at the close of business on the Termination Date will constitute the “Employment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0" w:lineRule="exact"/>
        <w:rPr>
          <w:rFonts w:ascii="Arial" w:cs="Arial" w:eastAsia="Arial" w:hAnsi="Arial"/>
          <w:sz w:val="16"/>
          <w:szCs w:val="16"/>
          <w:color w:val="auto"/>
        </w:rPr>
      </w:pPr>
    </w:p>
    <w:p>
      <w:pPr>
        <w:ind w:right="480" w:firstLine="656"/>
        <w:spacing w:after="0" w:line="277" w:lineRule="auto"/>
        <w:tabs>
          <w:tab w:leader="none" w:pos="1073"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this Agreement may be terminated at any time during the Employment Period in accordance with Section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629920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10.1</w:t>
      </w:r>
    </w:p>
    <w:p>
      <w:pPr>
        <w:spacing w:after="0" w:line="275"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the terms and conditions of this Agreement, Executive will be entitled to the following benefits during the Employment Period: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66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17"/>
                <w:szCs w:val="17"/>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3"/>
              </w:rPr>
              <w:t>Reimbursement of Business Expenses  The Company agrees to promptly reimburse Executive for reasonable business-related expenses</w:t>
            </w:r>
          </w:p>
        </w:tc>
      </w:tr>
      <w:tr>
        <w:trPr>
          <w:trHeight w:val="20"/>
        </w:trPr>
        <w:tc>
          <w:tcPr>
            <w:tcW w:w="1100" w:type="dxa"/>
            <w:vAlign w:val="bottom"/>
            <w:tcBorders>
              <w:right w:val="single" w:sz="8" w:color="auto"/>
            </w:tcBorders>
            <w:gridSpan w:val="2"/>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237"/>
        </w:trPr>
        <w:tc>
          <w:tcPr>
            <w:tcW w:w="11360" w:type="dxa"/>
            <w:vAlign w:val="bottom"/>
            <w:gridSpan w:val="5"/>
          </w:tcPr>
          <w:p>
            <w:pPr>
              <w:spacing w:after="0"/>
              <w:rPr>
                <w:sz w:val="20"/>
                <w:szCs w:val="20"/>
                <w:color w:val="auto"/>
              </w:rPr>
            </w:pPr>
            <w:r>
              <w:rPr>
                <w:rFonts w:ascii="Arial" w:cs="Arial" w:eastAsia="Arial" w:hAnsi="Arial"/>
                <w:sz w:val="18"/>
                <w:szCs w:val="18"/>
                <w:color w:val="auto"/>
              </w:rPr>
              <w:t>incurred in the performance of Executive’s duties under this Agreement in accordance with Company policies.</w:t>
            </w:r>
          </w:p>
        </w:tc>
      </w:tr>
      <w:tr>
        <w:trPr>
          <w:trHeight w:val="392"/>
        </w:trPr>
        <w:tc>
          <w:tcPr>
            <w:tcW w:w="980" w:type="dxa"/>
            <w:vAlign w:val="bottom"/>
          </w:tcPr>
          <w:p>
            <w:pPr>
              <w:ind w:left="660"/>
              <w:spacing w:after="0"/>
              <w:rPr>
                <w:sz w:val="20"/>
                <w:szCs w:val="20"/>
                <w:color w:val="auto"/>
              </w:rPr>
            </w:pPr>
            <w:r>
              <w:rPr>
                <w:rFonts w:ascii="Arial" w:cs="Arial" w:eastAsia="Arial" w:hAnsi="Arial"/>
                <w:sz w:val="18"/>
                <w:szCs w:val="18"/>
                <w:color w:val="auto"/>
              </w:rPr>
              <w:t>(b)</w:t>
            </w:r>
          </w:p>
        </w:tc>
        <w:tc>
          <w:tcPr>
            <w:tcW w:w="12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1"/>
              </w:rPr>
              <w:t>Benefit Plans and Programs  To the extent permitted by applicable law, Executive (and where applicable, his plan-eligible dependents) will be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bl>
    <w:p>
      <w:pPr>
        <w:spacing w:after="0" w:line="1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eligible to participate in all benefit plans and programs, including improvements or modifications of the same, then being actively maintained by the Company for the benefit of its executive employees (or for an employee population which includes its executive employees), subject in any event to the eligibility requirements and other terms and conditions of those plans and programs, including, without limitation, 401(k) plan, medical and dental insurance, life insurance and disability insurance. The Company will not, however, by reason of this Section 5(b), have any obligation to institute, maintain, or refrain from changing, amending, or discontinuing any such benefit plan or program.</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ind w:left="660"/>
              <w:spacing w:after="0"/>
              <w:rPr>
                <w:sz w:val="20"/>
                <w:szCs w:val="20"/>
                <w:color w:val="auto"/>
              </w:rPr>
            </w:pPr>
            <w:r>
              <w:rPr>
                <w:rFonts w:ascii="Arial" w:cs="Arial" w:eastAsia="Arial" w:hAnsi="Arial"/>
                <w:sz w:val="18"/>
                <w:szCs w:val="18"/>
                <w:color w:val="auto"/>
              </w:rPr>
              <w:t>(c)</w:t>
            </w:r>
          </w:p>
        </w:tc>
        <w:tc>
          <w:tcPr>
            <w:tcW w:w="10000" w:type="dxa"/>
            <w:vAlign w:val="bottom"/>
            <w:gridSpan w:val="3"/>
          </w:tcPr>
          <w:p>
            <w:pPr>
              <w:spacing w:after="0"/>
              <w:rPr>
                <w:sz w:val="20"/>
                <w:szCs w:val="20"/>
                <w:color w:val="auto"/>
              </w:rPr>
            </w:pPr>
            <w:r>
              <w:rPr>
                <w:rFonts w:ascii="Arial" w:cs="Arial" w:eastAsia="Arial" w:hAnsi="Arial"/>
                <w:sz w:val="18"/>
                <w:szCs w:val="18"/>
                <w:color w:val="auto"/>
                <w:w w:val="93"/>
              </w:rPr>
              <w:t>Base of Operations  Executive’s base of operations will be at Company’s offices located in Pennington, New Jersey. Executive may be</w:t>
            </w:r>
          </w:p>
        </w:tc>
      </w:tr>
      <w:tr>
        <w:trPr>
          <w:trHeight w:val="20"/>
        </w:trPr>
        <w:tc>
          <w:tcPr>
            <w:tcW w:w="1100" w:type="dxa"/>
            <w:vAlign w:val="bottom"/>
            <w:tcBorders>
              <w:right w:val="single" w:sz="8" w:color="auto"/>
            </w:tcBorders>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237"/>
        </w:trPr>
        <w:tc>
          <w:tcPr>
            <w:tcW w:w="11100" w:type="dxa"/>
            <w:vAlign w:val="bottom"/>
            <w:gridSpan w:val="4"/>
          </w:tcPr>
          <w:p>
            <w:pPr>
              <w:spacing w:after="0"/>
              <w:rPr>
                <w:sz w:val="20"/>
                <w:szCs w:val="20"/>
                <w:color w:val="auto"/>
              </w:rPr>
            </w:pPr>
            <w:r>
              <w:rPr>
                <w:rFonts w:ascii="Arial" w:cs="Arial" w:eastAsia="Arial" w:hAnsi="Arial"/>
                <w:sz w:val="18"/>
                <w:szCs w:val="18"/>
                <w:color w:val="auto"/>
              </w:rPr>
              <w:t>required to travel and work for extended periods of time outside of his base of operations including but not limited to international travel.</w:t>
            </w:r>
          </w:p>
        </w:tc>
      </w:tr>
      <w:tr>
        <w:trPr>
          <w:trHeight w:val="392"/>
        </w:trPr>
        <w:tc>
          <w:tcPr>
            <w:tcW w:w="1100" w:type="dxa"/>
            <w:vAlign w:val="bottom"/>
          </w:tcPr>
          <w:p>
            <w:pPr>
              <w:ind w:left="660"/>
              <w:spacing w:after="0"/>
              <w:rPr>
                <w:sz w:val="20"/>
                <w:szCs w:val="20"/>
                <w:color w:val="auto"/>
              </w:rPr>
            </w:pPr>
            <w:r>
              <w:rPr>
                <w:rFonts w:ascii="Arial" w:cs="Arial" w:eastAsia="Arial" w:hAnsi="Arial"/>
                <w:sz w:val="18"/>
                <w:szCs w:val="18"/>
                <w:color w:val="auto"/>
              </w:rPr>
              <w:t>(d)</w:t>
            </w:r>
          </w:p>
        </w:tc>
        <w:tc>
          <w:tcPr>
            <w:tcW w:w="10000" w:type="dxa"/>
            <w:vAlign w:val="bottom"/>
            <w:gridSpan w:val="3"/>
          </w:tcPr>
          <w:p>
            <w:pPr>
              <w:spacing w:after="0"/>
              <w:rPr>
                <w:sz w:val="20"/>
                <w:szCs w:val="20"/>
                <w:color w:val="auto"/>
              </w:rPr>
            </w:pPr>
            <w:r>
              <w:rPr>
                <w:rFonts w:ascii="Arial" w:cs="Arial" w:eastAsia="Arial" w:hAnsi="Arial"/>
                <w:sz w:val="18"/>
                <w:szCs w:val="18"/>
                <w:color w:val="auto"/>
                <w:w w:val="92"/>
              </w:rPr>
              <w:t>Relocation Assistance  Executive will be provided with the following benefits for the purpose of Executive relocating his existing primary</w:t>
            </w:r>
          </w:p>
        </w:tc>
      </w:tr>
      <w:tr>
        <w:trPr>
          <w:trHeight w:val="20"/>
        </w:trPr>
        <w:tc>
          <w:tcPr>
            <w:tcW w:w="1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bl>
    <w:p>
      <w:pPr>
        <w:spacing w:after="0" w:line="1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residence to a location within a reasonable daily commuting distance from the Company’s base of operations identified above with the target date of completion such relocation being six months after the Effective Date.</w:t>
      </w:r>
    </w:p>
    <w:p>
      <w:pPr>
        <w:spacing w:after="0" w:line="170" w:lineRule="exact"/>
        <w:rPr>
          <w:sz w:val="20"/>
          <w:szCs w:val="20"/>
          <w:color w:val="auto"/>
        </w:rPr>
      </w:pPr>
    </w:p>
    <w:p>
      <w:pPr>
        <w:ind w:left="1960" w:right="40" w:hanging="655"/>
        <w:spacing w:after="0" w:line="256" w:lineRule="auto"/>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Temporary housing expenses prior to relocation consisting of nightly accommodations in a hotel local to the Company’s office and with which the Company has a negotiated rate or the equivalent cost for a corporate apartment if available; however, meals and other incident living expenses are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reimbursable by the Company.</w:t>
      </w:r>
    </w:p>
    <w:p>
      <w:pPr>
        <w:ind w:left="1960" w:right="500" w:hanging="655"/>
        <w:spacing w:after="0" w:line="250" w:lineRule="auto"/>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Transportation costs between Executive’s existing primary residence and the temporary housing accommodations referred to above;</w:t>
      </w:r>
    </w:p>
    <w:p>
      <w:pPr>
        <w:jc w:val="both"/>
        <w:ind w:left="1960" w:right="180" w:hanging="655"/>
        <w:spacing w:after="0" w:line="250" w:lineRule="auto"/>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Normal and customary costs both to sell the Executive’s existing primary residence and to purchase the Executive’s new primary residence; provided that any single cost in excess of $20,000 be specifically justified; and provided further that “points” (or their equivalent) to “buy-down” a mortgage are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reimbursable by the Company.</w:t>
      </w:r>
    </w:p>
    <w:p>
      <w:pPr>
        <w:spacing w:after="0" w:line="1" w:lineRule="exact"/>
        <w:rPr>
          <w:rFonts w:ascii="Arial" w:cs="Arial" w:eastAsia="Arial" w:hAnsi="Arial"/>
          <w:sz w:val="18"/>
          <w:szCs w:val="18"/>
          <w:color w:val="auto"/>
        </w:rPr>
      </w:pPr>
    </w:p>
    <w:p>
      <w:pPr>
        <w:ind w:left="1960" w:right="200" w:hanging="655"/>
        <w:spacing w:after="0" w:line="261" w:lineRule="auto"/>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Normal and customary costs to physically move the contents of Executive’s home (excluding automobiles, boats or other similar items) from Executive’s existing primary residence to Executive’s new primary residence.</w:t>
      </w:r>
    </w:p>
    <w:p>
      <w:pPr>
        <w:spacing w:after="0" w:line="18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Vacation</w:t>
      </w:r>
      <w:r>
        <w:rPr>
          <w:rFonts w:ascii="Arial" w:cs="Arial" w:eastAsia="Arial" w:hAnsi="Arial"/>
          <w:sz w:val="18"/>
          <w:szCs w:val="18"/>
          <w:color w:val="auto"/>
        </w:rPr>
        <w:t xml:space="preserve"> Executive shall be entitled to four (4) weeks of paid vacation annually, which shall be prorated for 2015 based upon the Effective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629920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10.1</w:t>
      </w:r>
    </w:p>
    <w:p>
      <w:pPr>
        <w:spacing w:after="0" w:line="248"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Agreement</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17"/>
                <w:szCs w:val="17"/>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rPr>
              <w:t>Automatic Termination in the Event of Death  This Agreement will automatically terminate in the event of Executive’s death.</w:t>
            </w:r>
          </w:p>
        </w:tc>
      </w:tr>
      <w:tr>
        <w:trPr>
          <w:trHeight w:val="20"/>
        </w:trPr>
        <w:tc>
          <w:tcPr>
            <w:tcW w:w="3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120" w:type="dxa"/>
            <w:vAlign w:val="bottom"/>
          </w:tcPr>
          <w:p>
            <w:pPr>
              <w:spacing w:after="0"/>
              <w:rPr>
                <w:sz w:val="24"/>
                <w:szCs w:val="24"/>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w w:val="92"/>
              </w:rPr>
              <w:t>Company’s Right to Terminate  At any time during the Employment Period, the Company will have the right to terminate this Agreement for</w:t>
            </w: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any of the following reasons:</w:t>
      </w:r>
    </w:p>
    <w:p>
      <w:pPr>
        <w:spacing w:after="0" w:line="225" w:lineRule="exact"/>
        <w:rPr>
          <w:sz w:val="20"/>
          <w:szCs w:val="20"/>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Upon Executive’s Disability (as defined below);</w:t>
      </w:r>
    </w:p>
    <w:p>
      <w:pPr>
        <w:spacing w:after="0" w:line="23"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Cause (as defined in Section 7); or</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any other reason whatsoever, in the sole and complete discretion of the Company.</w:t>
      </w:r>
    </w:p>
    <w:p>
      <w:pPr>
        <w:spacing w:after="0" w:line="21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7"/>
          <w:szCs w:val="17"/>
          <w:color w:val="auto"/>
        </w:rPr>
        <w:t>(c)</w:t>
      </w:r>
      <w:r>
        <w:rPr>
          <w:sz w:val="20"/>
          <w:szCs w:val="20"/>
          <w:color w:val="auto"/>
        </w:rPr>
        <w:tab/>
      </w:r>
      <w:r>
        <w:rPr>
          <w:rFonts w:ascii="Arial" w:cs="Arial" w:eastAsia="Arial" w:hAnsi="Arial"/>
          <w:sz w:val="17"/>
          <w:szCs w:val="17"/>
          <w:u w:val="single" w:color="auto"/>
          <w:color w:val="auto"/>
        </w:rPr>
        <w:t>Executive’s Right to Terminate</w:t>
      </w:r>
      <w:r>
        <w:rPr>
          <w:rFonts w:ascii="Arial" w:cs="Arial" w:eastAsia="Arial" w:hAnsi="Arial"/>
          <w:sz w:val="17"/>
          <w:szCs w:val="17"/>
          <w:color w:val="auto"/>
        </w:rPr>
        <w:t xml:space="preserve">  At any time during the Employment Period, Executive will have the right to terminate this Agreement for:</w:t>
      </w:r>
    </w:p>
    <w:p>
      <w:pPr>
        <w:spacing w:after="0" w:line="237" w:lineRule="exact"/>
        <w:rPr>
          <w:sz w:val="20"/>
          <w:szCs w:val="20"/>
          <w:color w:val="auto"/>
        </w:rPr>
      </w:pPr>
    </w:p>
    <w:p>
      <w:pPr>
        <w:ind w:left="1960" w:hanging="655"/>
        <w:spacing w:after="0"/>
        <w:tabs>
          <w:tab w:leader="none" w:pos="1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Good Reason (as defined in Section 7); or</w:t>
      </w:r>
    </w:p>
    <w:p>
      <w:pPr>
        <w:spacing w:after="0" w:line="23" w:lineRule="exact"/>
        <w:rPr>
          <w:rFonts w:ascii="Arial" w:cs="Arial" w:eastAsia="Arial" w:hAnsi="Arial"/>
          <w:sz w:val="18"/>
          <w:szCs w:val="18"/>
          <w:color w:val="auto"/>
        </w:rPr>
      </w:pPr>
    </w:p>
    <w:p>
      <w:pPr>
        <w:ind w:left="1960" w:right="400" w:hanging="655"/>
        <w:spacing w:after="0" w:line="323" w:lineRule="auto"/>
        <w:tabs>
          <w:tab w:leader="none" w:pos="1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any other reason whatsoever, in the sole and complete discretion of Executive. An election by Executive not to renew this Agreement at the end of the Term will constitute a termination of this Agreement by Executive under this subsection.</w:t>
      </w:r>
    </w:p>
    <w:p>
      <w:pPr>
        <w:spacing w:after="0" w:line="139"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Disability</w:t>
      </w:r>
      <w:r>
        <w:rPr>
          <w:rFonts w:ascii="Arial" w:cs="Arial" w:eastAsia="Arial" w:hAnsi="Arial"/>
          <w:sz w:val="16"/>
          <w:szCs w:val="16"/>
          <w:color w:val="auto"/>
        </w:rPr>
        <w:t xml:space="preserve"> For purposes of this Agreement, “Disability” means that Executive has sustained sickness or injury that renders Executive incapable of performing substantially all of the duties and responsibilities required of Executive hereunder for a period of 90 consecutive calendar days or a total of 120 calendar days during any 12-month period. The existence of a Disability will be determined in the sole and complete discretion of the Board.</w:t>
      </w:r>
    </w:p>
    <w:p>
      <w:pPr>
        <w:spacing w:after="0" w:line="14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Any termination of this Agreement by the Company under Section 6(b) or by Executive under Section 6(c) will be communicated by a Notice of Termination to the other party. A “Notice of Termination” means a written notice that: (i) indicates the specific termination provision in this Agreement relied upon; and (ii) if the termination is by the Company for Cause or by Executive for Good Reason, sets forth in reasonable detail the facts and circumstances claimed to provide a basis for termination of Executive’s employment under the provision so indicated. The Notice of Termination must specify the Termination Date. The Termination Date may be as early as 14 calendar days after the Notice of Termination is given but no later than 60 calendar days after the Notice of Termination is given, unless otherwise agreed to by the parties in writing.</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Resignation from Board</w:t>
      </w:r>
      <w:r>
        <w:rPr>
          <w:rFonts w:ascii="Arial" w:cs="Arial" w:eastAsia="Arial" w:hAnsi="Arial"/>
          <w:sz w:val="18"/>
          <w:szCs w:val="18"/>
          <w:color w:val="auto"/>
        </w:rPr>
        <w:t xml:space="preserve"> Upon termination of this Agreement, Executive will immediately resign from the Board, unless otherwise agreed to in writing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612775</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10.1</w:t>
      </w:r>
    </w:p>
    <w:p>
      <w:pPr>
        <w:spacing w:after="0" w:line="221"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Payments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Termination by the Company</w:t>
      </w:r>
      <w:r>
        <w:rPr>
          <w:rFonts w:ascii="Arial" w:cs="Arial" w:eastAsia="Arial" w:hAnsi="Arial"/>
          <w:sz w:val="18"/>
          <w:szCs w:val="18"/>
          <w:color w:val="auto"/>
        </w:rPr>
        <w:t xml:space="preserve"> If the Company terminates this Agreement during the first year of the Employment Period pursuant to Sections 6(b)(1) or 6(b)(3), then the Company will pay Executive severance in the amount of one-half (½) of a year of Base Salary in a lump sum within 30 days after the Termination Date subject to all applicable withholding. If the Company terminates this Agreement after the first year of the Employment Period pursuant to Sections 6(b)(1) or 6(b)(3), then the Company will pay Executive severance in the amount of one (1) year of Base Salary in a lump sum within 30 days after the Termination Date subject to all applicable withholding. If termination occurs pursuant to Section 7(c) then the provisions in Section 7(c) apply in lieu of the provisions contained in this Section 7(a).</w:t>
      </w:r>
    </w:p>
    <w:p>
      <w:pPr>
        <w:spacing w:after="0" w:line="193"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Termination by Executive for Good Reason</w:t>
      </w:r>
      <w:r>
        <w:rPr>
          <w:rFonts w:ascii="Arial" w:cs="Arial" w:eastAsia="Arial" w:hAnsi="Arial"/>
          <w:sz w:val="18"/>
          <w:szCs w:val="18"/>
          <w:color w:val="auto"/>
        </w:rPr>
        <w:t xml:space="preserve"> If Executive terminates this Agreement during the first year of the Employment Period pursuant to Section 6(c)(1), then the Company will pay Executive severance in the amount of one-half (½) of a year of Base Salary in a lump sum within 30 days after the Termination Date subject to all applicable withholding. If Executive terminates this Agreement after the first year of the Employment Period pursuant to Section 6(c)(1), then the Company will pay Executive severance in the amount of one (1) year of Base Salary in a lump sum within 30 days after the Termination Date subject to all applicable withholding. If termination occurs pursuant to Section 7(c) then the provisions in Section 7(c) apply in lieu of the provisions contained in this Section 7(b).</w:t>
      </w:r>
    </w:p>
    <w:p>
      <w:pPr>
        <w:spacing w:after="0" w:line="19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u w:val="single" w:color="auto"/>
          <w:color w:val="auto"/>
        </w:rPr>
        <w:t>Termination after a Change in Control</w:t>
      </w:r>
      <w:r>
        <w:rPr>
          <w:rFonts w:ascii="Arial" w:cs="Arial" w:eastAsia="Arial" w:hAnsi="Arial"/>
          <w:sz w:val="16"/>
          <w:szCs w:val="16"/>
          <w:color w:val="auto"/>
        </w:rPr>
        <w:t xml:space="preserve">  If a Change in Control (as defined below) occurs and Executive is terminated pursuant to Section 6(b)</w:t>
      </w:r>
    </w:p>
    <w:p>
      <w:pPr>
        <w:spacing w:after="0" w:line="46" w:lineRule="exact"/>
        <w:rPr>
          <w:sz w:val="20"/>
          <w:szCs w:val="20"/>
          <w:color w:val="auto"/>
        </w:rPr>
      </w:pPr>
    </w:p>
    <w:p>
      <w:pPr>
        <w:ind w:right="80" w:firstLine="8"/>
        <w:spacing w:after="0" w:line="255"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 terminates this Agreement during the Employment Period pursuant to Section 6(c)(1) within 90 days after such occurrence, then the Company will pay Executive severance in the amount of one (1) year of Base Salary in a lump sum within 30 days after the Termination Date subject to all applicable withholding.</w:t>
      </w:r>
    </w:p>
    <w:p>
      <w:pPr>
        <w:spacing w:after="0" w:line="19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Termination upon Failure to Renew by the Company</w:t>
      </w:r>
      <w:r>
        <w:rPr>
          <w:rFonts w:ascii="Arial" w:cs="Arial" w:eastAsia="Arial" w:hAnsi="Arial"/>
          <w:sz w:val="18"/>
          <w:szCs w:val="18"/>
          <w:color w:val="auto"/>
        </w:rPr>
        <w:t xml:space="preserve"> In the event that this Agreement terminates at the end of the Term and is not renewed as a result of a decision by the Company not to renew this Agreement, prior to a decision by Executive not to renew this Agreement, the Company will pay Executive severance in the amount of one (1) year’s Base Salary in a lump sum within 30 days after the Termination Date subject to all applicable withholding.</w:t>
      </w:r>
    </w:p>
    <w:p>
      <w:pPr>
        <w:spacing w:after="0" w:line="18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u w:val="single" w:color="auto"/>
          <w:color w:val="auto"/>
        </w:rPr>
        <w:t>Additional Benefits</w:t>
      </w:r>
      <w:r>
        <w:rPr>
          <w:rFonts w:ascii="Arial" w:cs="Arial" w:eastAsia="Arial" w:hAnsi="Arial"/>
          <w:sz w:val="18"/>
          <w:szCs w:val="18"/>
          <w:color w:val="auto"/>
        </w:rPr>
        <w:t xml:space="preserve">  If the Company is required to pay Executive severance pursuant to Section 7(a), 7(b), 7(c), or 7(d), then:</w:t>
      </w:r>
    </w:p>
    <w:p>
      <w:pPr>
        <w:spacing w:after="0" w:line="225" w:lineRule="exact"/>
        <w:rPr>
          <w:sz w:val="20"/>
          <w:szCs w:val="20"/>
          <w:color w:val="auto"/>
        </w:rPr>
      </w:pPr>
    </w:p>
    <w:p>
      <w:pPr>
        <w:ind w:left="1960" w:right="40" w:hanging="655"/>
        <w:spacing w:after="0" w:line="286" w:lineRule="auto"/>
        <w:tabs>
          <w:tab w:leader="none" w:pos="1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Such severance will be paid in addition to any other payments the Company makes to Executive (including, without limitation, salary, any STI bonus, any LTI compensation, benefits, and expense reimbursements) in discharge of the Company’s obligations to Executive under this Agreement with respect to periods ending coincident with or prior to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643890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jc w:val="both"/>
        <w:ind w:left="1960" w:right="300" w:hanging="655"/>
        <w:spacing w:after="0" w:line="256" w:lineRule="auto"/>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Payments under Sections 7(a), 7(b), 7(c), or 7(d) will be in lieu of any severance benefits otherwise due to Executive under any severance pay plan or program maintained by the Company that covers its employees and/or its executives except to the extent otherwise expressly provided in such severance pay plan or program.</w:t>
      </w:r>
    </w:p>
    <w:p>
      <w:pPr>
        <w:ind w:left="1960" w:hanging="655"/>
        <w:spacing w:after="0"/>
        <w:tabs>
          <w:tab w:leader="none" w:pos="1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expiration date of any options held by Executive will be extended to a date that is 90 days after the Termination Date.</w:t>
      </w:r>
    </w:p>
    <w:p>
      <w:pPr>
        <w:spacing w:after="0" w:line="222"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addition to the foregoing benefits but only in the event the Company is required to pay Executive severance by the express terms of Section 7(c), to the extent Executive has not previously vested in such rights (whether in accordance with Section 8 hereof of otherwise), Executive will become fully vested in all of the rights and interests held by Executive under the Company’s stock and other equity plans as of the Termination Date, including without limitation any stock options, restricted stock, restricted stock units, performance units, and/or performance shares.</w:t>
      </w:r>
    </w:p>
    <w:p>
      <w:pPr>
        <w:spacing w:after="0" w:line="17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6"/>
          <w:szCs w:val="16"/>
          <w:color w:val="auto"/>
        </w:rPr>
        <w:t>(f)</w:t>
      </w:r>
      <w:r>
        <w:rPr>
          <w:sz w:val="20"/>
          <w:szCs w:val="20"/>
          <w:color w:val="auto"/>
        </w:rPr>
        <w:tab/>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For the purposes of this Agreement, “Cause” means the occurrence or existence, prior to occurrence of circumstances constituting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Good Reason, of any of the following events during the Employment Period:</w:t>
      </w:r>
    </w:p>
    <w:p>
      <w:pPr>
        <w:spacing w:after="0" w:line="211" w:lineRule="exact"/>
        <w:rPr>
          <w:sz w:val="20"/>
          <w:szCs w:val="20"/>
          <w:color w:val="auto"/>
        </w:rPr>
      </w:pPr>
    </w:p>
    <w:p>
      <w:pPr>
        <w:jc w:val="both"/>
        <w:ind w:left="1960" w:right="280" w:hanging="655"/>
        <w:spacing w:after="0" w:line="291" w:lineRule="auto"/>
        <w:tabs>
          <w:tab w:leader="none" w:pos="1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Executive’s gross negligence or material mismanagement in performing, or material failure or inability (excluding as a result of death or Disability) to perform, Executive’s duties and responsibilities as described herein or as lawfully directed by the Board;</w:t>
      </w:r>
    </w:p>
    <w:p>
      <w:pPr>
        <w:ind w:left="1960" w:right="280" w:hanging="655"/>
        <w:spacing w:after="0" w:line="250"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Executive’s willful misconduct or material dishonesty against the Company or any of its affiliates (including theft, misappropriation, embezzlement, forgery, fraud, falsification of records, or misrepresentation) or any act that results in material injury to the reputation, business or business relationships of the Company or any of its affiliates;</w:t>
      </w:r>
    </w:p>
    <w:p>
      <w:pPr>
        <w:spacing w:after="0" w:line="1" w:lineRule="exact"/>
        <w:rPr>
          <w:rFonts w:ascii="Arial" w:cs="Arial" w:eastAsia="Arial" w:hAnsi="Arial"/>
          <w:sz w:val="18"/>
          <w:szCs w:val="18"/>
          <w:color w:val="auto"/>
        </w:rPr>
      </w:pPr>
    </w:p>
    <w:p>
      <w:pPr>
        <w:ind w:left="1960" w:right="20" w:hanging="655"/>
        <w:spacing w:after="0" w:line="281" w:lineRule="auto"/>
        <w:tabs>
          <w:tab w:leader="none" w:pos="1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Executive’s material breach of: (i) this Agreement; (ii) any fiduciary duty owed by Executive to the Company or its affiliates; or (iii) any written workplace policies applicable to Executive (including the Company’s code of conduct and policy on workplace harassment) whether adopted on or after the date of this Agreement, provided that the Board gives Executive written notice of such breach within 90 calendar days from the first date that the Board is aware, or reasonably should be aware, of such breach.</w:t>
      </w:r>
    </w:p>
    <w:p>
      <w:pPr>
        <w:spacing w:after="0" w:line="2" w:lineRule="exact"/>
        <w:rPr>
          <w:rFonts w:ascii="Arial" w:cs="Arial" w:eastAsia="Arial" w:hAnsi="Arial"/>
          <w:sz w:val="16"/>
          <w:szCs w:val="16"/>
          <w:color w:val="auto"/>
        </w:rPr>
      </w:pPr>
    </w:p>
    <w:p>
      <w:pPr>
        <w:ind w:left="1960" w:right="80" w:hanging="655"/>
        <w:spacing w:after="0" w:line="250"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Executive’s having been convicted of, or having entered a plea bargain,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settlement admitting guilt for, any felony, any crime of moral turpitude, or any other crime that could reasonably be expected to have a material adverse impact on the Company’s or any of its affiliates’ reputations; or</w:t>
      </w:r>
    </w:p>
    <w:p>
      <w:pPr>
        <w:spacing w:after="0" w:line="1" w:lineRule="exact"/>
        <w:rPr>
          <w:rFonts w:ascii="Arial" w:cs="Arial" w:eastAsia="Arial" w:hAnsi="Arial"/>
          <w:sz w:val="18"/>
          <w:szCs w:val="18"/>
          <w:color w:val="auto"/>
        </w:rPr>
      </w:pPr>
    </w:p>
    <w:p>
      <w:pPr>
        <w:ind w:left="1960" w:right="40" w:hanging="655"/>
        <w:spacing w:after="0" w:line="295" w:lineRule="auto"/>
        <w:tabs>
          <w:tab w:leader="none" w:pos="1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Executive’s having committed any material violation of any federal law regulating securities (without having relied on the advice of the Company’s attorney) or having been the subject of any final order, judicial or administrative, obtained or issued by the Securities and Exchange Commission, for any securities violation involving fraud, including, for example, any such order consented to by Executive in which findings of facts or any legal conclusions establishing liability are neither admitted nor denied.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607060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10.1</w:t>
      </w:r>
    </w:p>
    <w:p>
      <w:pPr>
        <w:spacing w:after="0" w:line="27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For the purposes of this Agreement, “Good Reason” means the occurrence, prior to the occurrence of circumstances constituting Cause, of any of the following events during the Employment Period without Executive’s consent:</w:t>
      </w:r>
    </w:p>
    <w:p>
      <w:pPr>
        <w:spacing w:after="0" w:line="170" w:lineRule="exact"/>
        <w:rPr>
          <w:sz w:val="20"/>
          <w:szCs w:val="20"/>
          <w:color w:val="auto"/>
        </w:rPr>
      </w:pPr>
    </w:p>
    <w:p>
      <w:pPr>
        <w:ind w:left="1960" w:right="120" w:hanging="655"/>
        <w:spacing w:after="0" w:line="256"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material breach by the Company of this Agreement, provided that Executive gives the Board written notice of such breach within 90 days from the first date that he is aware, or reasonably should be aware, of such breach and such breach is not remedied within 30 days of the Board’s receipt of such written notice;</w:t>
      </w:r>
    </w:p>
    <w:p>
      <w:pPr>
        <w:ind w:left="1960" w:right="160" w:hanging="655"/>
        <w:spacing w:after="0" w:line="250"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material reduction in Executive’s authority or job duties, responsibilities and requirements that is inconsistent with Executive’s position as President and Chief Executive Officer of the Company and Executive’s prior authority, duties, responsibilities and requirements;</w:t>
      </w:r>
    </w:p>
    <w:p>
      <w:pPr>
        <w:spacing w:after="0" w:line="1" w:lineRule="exact"/>
        <w:rPr>
          <w:rFonts w:ascii="Arial" w:cs="Arial" w:eastAsia="Arial" w:hAnsi="Arial"/>
          <w:sz w:val="18"/>
          <w:szCs w:val="18"/>
          <w:color w:val="auto"/>
        </w:rPr>
      </w:pPr>
    </w:p>
    <w:p>
      <w:pPr>
        <w:ind w:left="1960" w:right="40" w:hanging="655"/>
        <w:spacing w:after="0" w:line="250" w:lineRule="auto"/>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or STI Bonus opportunity unless a proportionate reduction is made to the Base Salary or business opportunity of all of the Company’s executives; or</w:t>
      </w: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requirement that Executive move his primary residence from the Pennington, New Jersey metropolitan area.</w:t>
      </w:r>
    </w:p>
    <w:p>
      <w:pPr>
        <w:spacing w:after="0" w:line="21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Exclusive Payments</w:t>
      </w:r>
      <w:r>
        <w:rPr>
          <w:rFonts w:ascii="Arial" w:cs="Arial" w:eastAsia="Arial" w:hAnsi="Arial"/>
          <w:sz w:val="18"/>
          <w:szCs w:val="18"/>
          <w:color w:val="auto"/>
        </w:rPr>
        <w:t xml:space="preserve"> Except as provided above, no severance or other payment in the way of severance will be made to Executive upon termination of this Agreement.</w:t>
      </w:r>
    </w:p>
    <w:p>
      <w:pPr>
        <w:spacing w:after="0" w:line="166"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Change of Control</w:t>
      </w:r>
    </w:p>
    <w:p>
      <w:pPr>
        <w:spacing w:after="0" w:line="229" w:lineRule="exact"/>
        <w:rPr>
          <w:rFonts w:ascii="Arial" w:cs="Arial" w:eastAsia="Arial" w:hAnsi="Arial"/>
          <w:sz w:val="18"/>
          <w:szCs w:val="18"/>
          <w:b w:val="1"/>
          <w:bCs w:val="1"/>
          <w:color w:val="auto"/>
        </w:rPr>
      </w:pPr>
    </w:p>
    <w:p>
      <w:pPr>
        <w:jc w:val="both"/>
        <w:ind w:right="180" w:firstLine="656"/>
        <w:spacing w:after="0" w:line="264" w:lineRule="auto"/>
        <w:tabs>
          <w:tab w:leader="none" w:pos="1073" w:val="left"/>
        </w:tabs>
        <w:numPr>
          <w:ilvl w:val="1"/>
          <w:numId w:val="24"/>
        </w:numPr>
        <w:rPr>
          <w:rFonts w:ascii="Arial" w:cs="Arial" w:eastAsia="Arial" w:hAnsi="Arial"/>
          <w:sz w:val="18"/>
          <w:szCs w:val="18"/>
          <w:color w:val="auto"/>
        </w:rPr>
      </w:pPr>
      <w:r>
        <w:rPr>
          <w:rFonts w:ascii="Arial" w:cs="Arial" w:eastAsia="Arial" w:hAnsi="Arial"/>
          <w:sz w:val="18"/>
          <w:szCs w:val="18"/>
          <w:color w:val="auto"/>
        </w:rPr>
        <w:t>If a Change of Control occurs during the Employment Period, Executive will thereupon become 100% vested in all of the rights and interests then held by Executive under the Company’s stock and other equity plans (to the extent not already vested), including without limitation any stock options, restricted stock, restricted stock units, performance units, and/or performance shares.</w:t>
      </w:r>
    </w:p>
    <w:p>
      <w:pPr>
        <w:spacing w:after="0" w:line="181"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For the purposes of this Agreement, “Change of Control” means that, after the Effective Date, the following two events have occurred: (1) the Executive (i) is requested to resign by the Company, (ii) is terminated by the Company, (iii) is demoted or his responsibilities are materially changed by the Company, or (iv) events or circumstances have occurred that constitute Good Reason; </w:t>
      </w:r>
      <w:r>
        <w:rPr>
          <w:rFonts w:ascii="Arial" w:cs="Arial" w:eastAsia="Arial" w:hAnsi="Arial"/>
          <w:sz w:val="16"/>
          <w:szCs w:val="16"/>
          <w:b w:val="1"/>
          <w:bCs w:val="1"/>
          <w:u w:val="single" w:color="auto"/>
          <w:color w:val="auto"/>
        </w:rPr>
        <w:t>and</w:t>
      </w:r>
      <w:r>
        <w:rPr>
          <w:rFonts w:ascii="Arial" w:cs="Arial" w:eastAsia="Arial" w:hAnsi="Arial"/>
          <w:sz w:val="16"/>
          <w:szCs w:val="16"/>
          <w:color w:val="auto"/>
        </w:rPr>
        <w:t xml:space="preserve"> (2) one of the following has occurred:</w:t>
      </w:r>
    </w:p>
    <w:p>
      <w:pPr>
        <w:ind w:right="20" w:firstLine="8"/>
        <w:spacing w:after="0" w:line="252" w:lineRule="auto"/>
        <w:tabs>
          <w:tab w:leader="none" w:pos="2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person or group of affiliated or associated persons acquires more than 50% of the voting power of the Company; (ii) the consummation of a sale of all or substantially all of the assets of the Company; (iii) the dissolution of the Company; (iv) a majority of the members of the Board are replaced during any 12-month period; or (v) the consummation of any merger, consolidation, or reorganization involving the Company in which, immediately after giving effect to such merger, consolidation or reorganization, less than 50.1% of the total voting power of outstanding stock of the surviving or resulting entity is then “beneficially owned” (within the meaning of Rule 13d-3 under the Securities Exchange Act of 1934, as amended) in the aggregate by the stockholders of the Company immediately prior to such merger, consolidation or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645160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10.1</w:t>
      </w:r>
    </w:p>
    <w:p>
      <w:pPr>
        <w:spacing w:after="0" w:line="248"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Executive agrees that he will promptly disclose to the Board any conflict of interest involving Executive upon Executive becoming aware of such conflict. For sake of clarity but not be construed as an exclusive list of such conflicts, Executive’s ownership of any interest in any business organization that competes directly or indirectly with the Company in the wave energy industry anywhere in the world will be deemed to constitute a conflict of interest.</w:t>
      </w:r>
    </w:p>
    <w:p>
      <w:pPr>
        <w:spacing w:after="0" w:line="143"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Company agrees to provide Executive valuable Confidential Information of the Company and of third parties who have supplied such information to the Company. In consideration of such Confidential Information and other valuable consideration provided hereunder, Executive agrees to comply with this Section 10.</w:t>
      </w:r>
    </w:p>
    <w:p>
      <w:pPr>
        <w:spacing w:after="0" w:line="181" w:lineRule="exact"/>
        <w:rPr>
          <w:sz w:val="20"/>
          <w:szCs w:val="20"/>
          <w:color w:val="auto"/>
        </w:rPr>
      </w:pPr>
    </w:p>
    <w:p>
      <w:pPr>
        <w:ind w:right="60" w:firstLine="656"/>
        <w:spacing w:after="0" w:line="286" w:lineRule="auto"/>
        <w:tabs>
          <w:tab w:leader="none" w:pos="107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For the purposes of this Agreement, “Confidential Information” means, without limitation and regardless of whether such information or materials are expressly identified as confidential or proprietary: (i) any and all material non-public, confidential or proprietary information or work product of the Company or its affiliates; (ii) any non-public information that gives the Company or its affiliates a material competitive business advantage or the opportunity of obtaining such advantage; (iii) any material non-public information the disclosure or improper use of which is reasonably expected to be materially detrimental to material interests of the Company or its affiliates; (iv) any material trade secrets of the Company or its affiliates; and (v) any other material non-public information of or regarding the Company or any of its affiliates, or its or their past, present or future, direct or indirect, potential or actual officers, directors, employees, owners, or business partners, including but not limited to information regarding any of their material businesses, operations, assets, liabilities, properties, systems, methods, models, processes, results, performance, investments, investors, financial affairs, future plans, business prospects, acquisition or investment opportunities, strategies, business partners, business relationships, contracts, contractual relationships, organizational or personnel matters, policies or procedures, management or compensation matters, compliance or regulatory matters, as well as any technical, seismic, industry, market or other data, studies or research, or any forecasts, projections, valuations, derivations or other analyses, performed, generated, collected, gathered, synthesized, purchased or owned by, or otherwise in the possession of, the Company or its affiliates or which Executive has learned of through his employment with the Company. Confidential Information also includes any non-public, confidential or proprietary information about or belonging to any third party that the Company or its affiliates have agreed in writing to keep confidential. Notwithstanding the foregoing, Confidential Information does not include any information which is or becomes generally known by the public other than as a result of Executive’s actions or inactions.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611505</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46" w:name="page47"/>
    <w:bookmarkEnd w:id="46"/>
    <w:p>
      <w:pPr>
        <w:ind w:left="10540"/>
        <w:spacing w:after="0"/>
        <w:rPr>
          <w:sz w:val="20"/>
          <w:szCs w:val="20"/>
          <w:color w:val="auto"/>
        </w:rPr>
      </w:pPr>
      <w:r>
        <w:rPr>
          <w:rFonts w:ascii="Arial" w:cs="Arial" w:eastAsia="Arial" w:hAnsi="Arial"/>
          <w:sz w:val="16"/>
          <w:szCs w:val="16"/>
          <w:color w:val="auto"/>
        </w:rPr>
        <w:t>Exhibit 10.1</w:t>
      </w:r>
    </w:p>
    <w:p>
      <w:pPr>
        <w:spacing w:after="0" w:line="275"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Protection</w:t>
      </w:r>
      <w:r>
        <w:rPr>
          <w:rFonts w:ascii="Arial" w:cs="Arial" w:eastAsia="Arial" w:hAnsi="Arial"/>
          <w:sz w:val="18"/>
          <w:szCs w:val="18"/>
          <w:color w:val="auto"/>
        </w:rPr>
        <w:t xml:space="preserve"> Executive promises, except in the regular course of the Company’s business or as required by law: (i) to keep Confidential Information, and all documentation, materials and information relating thereto, strictly confidential; (ii) not to use the Confidential Information for any purpose other than as required in connection with fulfilling his duties as President and Chief Executive Officer for the benefit of the Company; and (iii) to return to the Company all documents and electronically stored information containing Confidential Information in Executive’s possession upon separation from the Company for any reason.</w:t>
      </w:r>
    </w:p>
    <w:p>
      <w:pPr>
        <w:spacing w:after="0" w:line="18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Disclosure Required By Law</w:t>
      </w:r>
      <w:r>
        <w:rPr>
          <w:rFonts w:ascii="Arial" w:cs="Arial" w:eastAsia="Arial" w:hAnsi="Arial"/>
          <w:sz w:val="17"/>
          <w:szCs w:val="17"/>
          <w:color w:val="auto"/>
        </w:rPr>
        <w:t xml:space="preserve"> If Executive is legally required to disclose any Confidential Information, Executive will promptly notify the Company in writing of such request or requirement so that the Company may seek an appropriate protective order or other relief. Executive agrees to cooperate with and not to oppose any effort by the Company to resist or narrow such request or to seek a protective order or other appropriate remedy. In any case, Executive will: (i) disclose only that portion of the Confidential Information that, according to the advice of Executive’s counsel, is required to be disclosed (and Executive’s disclosure of Confidential Information to Executive’s counsel in connection with obtaining such advice will not be a violation of this Agreement); (ii) use reasonable efforts to obtain assurances that such Confidential Information will be treated confidentially; and (iii) promptly notify the Company in writing of the items of Confidential Information so disclosed.</w:t>
      </w:r>
    </w:p>
    <w:p>
      <w:pPr>
        <w:spacing w:after="0" w:line="178" w:lineRule="exact"/>
        <w:rPr>
          <w:sz w:val="20"/>
          <w:szCs w:val="20"/>
          <w:color w:val="auto"/>
        </w:rPr>
      </w:pPr>
    </w:p>
    <w:p>
      <w:pPr>
        <w:ind w:right="540" w:firstLine="656"/>
        <w:spacing w:after="0" w:line="308" w:lineRule="auto"/>
        <w:tabs>
          <w:tab w:leader="none" w:pos="1083"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Third-Party Confidentiality Agreements</w:t>
      </w:r>
      <w:r>
        <w:rPr>
          <w:rFonts w:ascii="Arial" w:cs="Arial" w:eastAsia="Arial" w:hAnsi="Arial"/>
          <w:sz w:val="17"/>
          <w:szCs w:val="17"/>
          <w:color w:val="auto"/>
        </w:rPr>
        <w:t xml:space="preserve"> To the extent that the Company possesses any Confidential Information which is subject to any confidentiality agreements with, or obligations to, third parties, Executive will comply with all such agreements or obligations in full.</w:t>
      </w:r>
    </w:p>
    <w:p>
      <w:pPr>
        <w:spacing w:after="0" w:line="14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covenants made by Executive in this Section 10, will survive termination of this Agreement for five (5) years following the Termination Date.</w:t>
      </w:r>
    </w:p>
    <w:p>
      <w:pPr>
        <w:spacing w:after="0" w:line="166" w:lineRule="exact"/>
        <w:rPr>
          <w:sz w:val="20"/>
          <w:szCs w:val="20"/>
          <w:color w:val="auto"/>
        </w:rPr>
      </w:pPr>
    </w:p>
    <w:p>
      <w:pPr>
        <w:ind w:left="440" w:hanging="432"/>
        <w:spacing w:after="0"/>
        <w:tabs>
          <w:tab w:leader="none" w:pos="4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Non-Competition &amp; Non-Solicitation</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Executive acknowledges that the Company has invested substantial time, money and resources in the development and retention of its Confidential Information, customers, accounts and business partners, and further acknowledges that during the course of Executive’s employment with the Company Executive has had and will have access to the Company’s Confidential Information and will be introduced to existing and prospective customers, suppliers, accounts and business partners of the Company. Executive acknowledges and agrees that any and all goodwill associated with any existing or prospective customer, supplier, account or business partner belongs exclusively to the Company, including, but not limited to, any goodwill created as a result of direct or indirect contacts or relationships between Executive and any existing or prospective customers, supplier’s accounts or business partners. Additionally, the parties acknowledge and agree that Executive possesses skills that are special, unique or extraordinary and that the value of the Company depends upon his use of such skills on its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652145</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recognition of the foregoing, Executive agrees that:</w:t>
      </w:r>
    </w:p>
    <w:p>
      <w:pPr>
        <w:spacing w:after="0" w:line="225" w:lineRule="exact"/>
        <w:rPr>
          <w:sz w:val="20"/>
          <w:szCs w:val="20"/>
          <w:color w:val="auto"/>
        </w:rPr>
      </w:pPr>
    </w:p>
    <w:p>
      <w:pPr>
        <w:ind w:right="240" w:firstLine="656"/>
        <w:spacing w:after="0" w:line="259" w:lineRule="auto"/>
        <w:tabs>
          <w:tab w:leader="none" w:pos="10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the Term of this Agreement, and for a period of one (1) year thereafter, Executive may not, without the prior written consent of the Company, (whether as an employee, agent, servant, owner, partner, consultant, independent contractor, representative, stockholder, or in any other capacity whatsoever) perform any work anywhere in the world related in any way to the wave energy industry on behalf of any entity or person other than the Company (including Executive).</w:t>
      </w:r>
    </w:p>
    <w:p>
      <w:pPr>
        <w:spacing w:after="0" w:line="186" w:lineRule="exact"/>
        <w:rPr>
          <w:rFonts w:ascii="Arial" w:cs="Arial" w:eastAsia="Arial" w:hAnsi="Arial"/>
          <w:sz w:val="18"/>
          <w:szCs w:val="18"/>
          <w:color w:val="auto"/>
        </w:rPr>
      </w:pPr>
    </w:p>
    <w:p>
      <w:pPr>
        <w:jc w:val="both"/>
        <w:ind w:right="240" w:firstLine="656"/>
        <w:spacing w:after="0" w:line="264" w:lineRule="auto"/>
        <w:tabs>
          <w:tab w:leader="none" w:pos="10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the Term of this Agreement, and for a period of one (1) year thereafter, Executive may not entice, solicit or encourage any Company employee to leave the employ of the Company or any independent contractor to sever its engagement with the Company, absent prior written consent from the Company.</w:t>
      </w:r>
    </w:p>
    <w:p>
      <w:pPr>
        <w:spacing w:after="0" w:line="181" w:lineRule="exact"/>
        <w:rPr>
          <w:rFonts w:ascii="Arial" w:cs="Arial" w:eastAsia="Arial" w:hAnsi="Arial"/>
          <w:sz w:val="18"/>
          <w:szCs w:val="18"/>
          <w:color w:val="auto"/>
        </w:rPr>
      </w:pPr>
    </w:p>
    <w:p>
      <w:pPr>
        <w:ind w:right="480" w:firstLine="656"/>
        <w:spacing w:after="0" w:line="264" w:lineRule="auto"/>
        <w:tabs>
          <w:tab w:leader="none" w:pos="1073"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the Term of this Agreement, and for a period of one (1) year thereafter, Executive may not, directly or indirectly, entice, solicit or encourage any customer, prospective customer or supplier of the Company to cease doing business with the Company, reduce its relationship with the Company or refrain from establishing or expanding a relationship with the Company.</w:t>
      </w:r>
    </w:p>
    <w:p>
      <w:pPr>
        <w:spacing w:after="0" w:line="17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Withholdings</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Company may withhold and deduct from any payments made or to be made pursuant to this Agreement all federal, state, local and other taxes as may be required pursuant to any applicable law or governmental regulation or ruling and any other deductions consented to in writing by Executive.</w:t>
      </w:r>
    </w:p>
    <w:p>
      <w:pPr>
        <w:spacing w:after="0" w:line="12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It is the desire of the parties hereto that this Agreement be enforced to the maximum extent permitted by law and should any provision contained herein be held unenforceable by a court of competent jurisdiction or arbitrator (pursuant to Section 15), the parties hereby agree and consent that such provision will be reformed to create a valid and enforceable provision to the maximum extent permitted by law; provided, however, if such provision cannot be reformed, it will be deemed ineffective and deleted from this Agreement without affecting any other provision of this Agreement.</w:t>
      </w:r>
    </w:p>
    <w:p>
      <w:pPr>
        <w:spacing w:after="0" w:line="15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Title and Headings; Construction</w:t>
      </w:r>
    </w:p>
    <w:p>
      <w:pPr>
        <w:spacing w:after="0" w:line="229"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Titles and headings to Sections and paragraphs are for the purpose of reference only and will in no way limit, define or otherwise affect the provisions of this Agreement. Any and all Exhibits referred to in this Agreement are, by such reference, incorporated herein and made a part hereof for all purposes. The words “herein”, “hereof”, “hereunder” and other compounds of the word “here” will refer to the entire Agreement and not to any particular provision hereof. Both parties to this Agreement have approved all language in this Agreement and the language in this Agreement will not be strictly construed in favor of or against either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658495</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10.1</w:t>
      </w:r>
    </w:p>
    <w:p>
      <w:pPr>
        <w:spacing w:after="0" w:line="248"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 Injunctive Relief; Attorneys’ Fees</w:t>
      </w:r>
    </w:p>
    <w:p>
      <w:pPr>
        <w:spacing w:after="0" w:line="229" w:lineRule="exact"/>
        <w:rPr>
          <w:rFonts w:ascii="Arial" w:cs="Arial" w:eastAsia="Arial" w:hAnsi="Arial"/>
          <w:sz w:val="18"/>
          <w:szCs w:val="18"/>
          <w:b w:val="1"/>
          <w:bCs w:val="1"/>
          <w:color w:val="auto"/>
        </w:rPr>
      </w:pPr>
    </w:p>
    <w:p>
      <w:pPr>
        <w:ind w:right="120" w:firstLine="656"/>
        <w:spacing w:after="0" w:line="257" w:lineRule="auto"/>
        <w:tabs>
          <w:tab w:leader="none" w:pos="1073" w:val="left"/>
        </w:tabs>
        <w:numPr>
          <w:ilvl w:val="1"/>
          <w:numId w:val="35"/>
        </w:numPr>
        <w:rPr>
          <w:rFonts w:ascii="Arial" w:cs="Arial" w:eastAsia="Arial" w:hAnsi="Arial"/>
          <w:sz w:val="18"/>
          <w:szCs w:val="18"/>
          <w:color w:val="auto"/>
        </w:rPr>
      </w:pPr>
      <w:r>
        <w:rPr>
          <w:rFonts w:ascii="Arial" w:cs="Arial" w:eastAsia="Arial" w:hAnsi="Arial"/>
          <w:sz w:val="18"/>
          <w:szCs w:val="18"/>
          <w:color w:val="auto"/>
        </w:rPr>
        <w:t>Subject to Section 15(b), any dispute, controversy or claim between Executive and the Company arising out of or relating in any way to: (i) this Agreement, (ii) Executive’s employment with Company, or (iii) the termination of either (other than with respect to claims arising exclusively under one or more of the Company’s employee benefit plans subject to ERISA), will be finally settled by confidential arbitration before the American Arbitration Association, at a location in New Jersey and as near as possible to Pennington, in accordance with its then-existing rules for the resolution of employment disputes. The arbitrator’s award will be final and binding on both parties.</w:t>
      </w:r>
    </w:p>
    <w:p>
      <w:pPr>
        <w:spacing w:after="0" w:line="188" w:lineRule="exact"/>
        <w:rPr>
          <w:rFonts w:ascii="Arial" w:cs="Arial" w:eastAsia="Arial" w:hAnsi="Arial"/>
          <w:sz w:val="18"/>
          <w:szCs w:val="18"/>
          <w:color w:val="auto"/>
        </w:rPr>
      </w:pPr>
    </w:p>
    <w:p>
      <w:pPr>
        <w:ind w:right="60" w:firstLine="656"/>
        <w:spacing w:after="0" w:line="272" w:lineRule="auto"/>
        <w:tabs>
          <w:tab w:leader="none" w:pos="1083" w:val="left"/>
        </w:tabs>
        <w:numPr>
          <w:ilvl w:val="1"/>
          <w:numId w:val="35"/>
        </w:numPr>
        <w:rPr>
          <w:rFonts w:ascii="Arial" w:cs="Arial" w:eastAsia="Arial" w:hAnsi="Arial"/>
          <w:sz w:val="17"/>
          <w:szCs w:val="17"/>
          <w:color w:val="auto"/>
        </w:rPr>
      </w:pPr>
      <w:r>
        <w:rPr>
          <w:rFonts w:ascii="Arial" w:cs="Arial" w:eastAsia="Arial" w:hAnsi="Arial"/>
          <w:sz w:val="17"/>
          <w:szCs w:val="17"/>
          <w:color w:val="auto"/>
        </w:rPr>
        <w:t>Notwithstanding Section 15(a), an application for emergency, temporary, or preliminary injunctive relief by either party will not be subject to arbitration under this Section 15; provided, however, that the remainder of any such dispute (beyond the application for emergency, temporary, or preliminary injunctive relief) will be subject to arbitration under this Section 15. Executive acknowledges that Executive’s violation of Sections 9, 10 and/or 11 of this Agreement may cause irreparable harm to the Company. Executive agrees that the Company will be entitled as a matter of right to specific performance of Executive’s obligations under Sections 9, 10 and/or 11 and an emergency, temporary or preliminary injunction from any court of competent jurisdiction restraining any violation or further violation of such agreements by Executive or others acting on Executive’s behalf, without posting a bond. The Company’s right to injunctive relief will be cumulative and in addition to any other remedies provided by law or equity.</w:t>
      </w:r>
    </w:p>
    <w:p>
      <w:pPr>
        <w:spacing w:after="0" w:line="177" w:lineRule="exact"/>
        <w:rPr>
          <w:rFonts w:ascii="Arial" w:cs="Arial" w:eastAsia="Arial" w:hAnsi="Arial"/>
          <w:sz w:val="17"/>
          <w:szCs w:val="17"/>
          <w:color w:val="auto"/>
        </w:rPr>
      </w:pPr>
    </w:p>
    <w:p>
      <w:pPr>
        <w:ind w:right="80" w:firstLine="656"/>
        <w:spacing w:after="0" w:line="264" w:lineRule="auto"/>
        <w:tabs>
          <w:tab w:leader="none" w:pos="1073" w:val="left"/>
        </w:tabs>
        <w:numPr>
          <w:ilvl w:val="1"/>
          <w:numId w:val="35"/>
        </w:numPr>
        <w:rPr>
          <w:rFonts w:ascii="Arial" w:cs="Arial" w:eastAsia="Arial" w:hAnsi="Arial"/>
          <w:sz w:val="18"/>
          <w:szCs w:val="18"/>
          <w:color w:val="auto"/>
        </w:rPr>
      </w:pPr>
      <w:r>
        <w:rPr>
          <w:rFonts w:ascii="Arial" w:cs="Arial" w:eastAsia="Arial" w:hAnsi="Arial"/>
          <w:sz w:val="18"/>
          <w:szCs w:val="18"/>
          <w:color w:val="auto"/>
        </w:rPr>
        <w:t>Each side will share equally the cost of the arbitrator and bear its own costs and attorneys’ fees incurred in connection with any arbitration, unless a statutory claim authorizing the award of attorneys’ fees is at issue, in which event the arbitrator may award a reasonable attorneys’ fee in accordance with the jurisprudence of that statute.</w:t>
      </w:r>
    </w:p>
    <w:p>
      <w:pPr>
        <w:spacing w:after="0" w:line="181" w:lineRule="exact"/>
        <w:rPr>
          <w:rFonts w:ascii="Arial" w:cs="Arial" w:eastAsia="Arial" w:hAnsi="Arial"/>
          <w:sz w:val="18"/>
          <w:szCs w:val="18"/>
          <w:color w:val="auto"/>
        </w:rPr>
      </w:pPr>
    </w:p>
    <w:p>
      <w:pPr>
        <w:ind w:right="80" w:firstLine="656"/>
        <w:spacing w:after="0" w:line="277" w:lineRule="auto"/>
        <w:tabs>
          <w:tab w:leader="none" w:pos="1083"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Nothing in this Section 15 will prohibit a party to this Agreement from: (i) instituting litigation to enforce any arbitration award; or (ii) joining another party to this Agreement in litigation initiated by a person who is not a party to this Agreement.</w:t>
      </w:r>
    </w:p>
    <w:p>
      <w:pPr>
        <w:spacing w:after="0" w:line="166"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THIS AGREEMENT WILL BE GOVERNED BY AND CONSTRUED IN ACCORDANCE WITH THE LAWS OF THE STATE OF NEW JERSEY, WITHOUT REFERENCE TO PRINCIPLES OF CONFLICT OF LAWS. THE EXCLUSIVE VENUE FOR THE RESOLUTION OF ANY DISPUTE RELATING TO THIS AGREEMENT OR EXECUTIVE’S EMPLOYMENT (THAT IS NOT SUBJECT TO ARBITRATION UNDER SECTION 15 FOR ANY REASON) SHALL BE IN THE STATE AND FEDERAL COURTS LOCATED IN NEW JERSEY AND NEAREST TO PENNINGTON AND THE PARTIES HEREBY EXPRESSLY CONSENT TO THE JURISDICTION OF THOSE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624205</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10.1</w:t>
      </w:r>
    </w:p>
    <w:p>
      <w:pPr>
        <w:spacing w:after="0" w:line="221"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 and Amendment</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This Agreement contains the entire agreement of the parties with respect to Executive’s employment and the other matters covered herein (except to the extent that other agreements are specifically referenced herein); moreover, this Agreement supersedes all prior and contemporaneous agreements and understandings, oral or written, between the parties hereto concerning the subject matter hereof and thereof. This Agreement may be amended, waived or terminated only by a written instrument executed by both parties hereto.</w:t>
      </w:r>
    </w:p>
    <w:p>
      <w:pPr>
        <w:spacing w:after="0" w:line="183"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Survival of Certain Provisions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Wherever appropriate to the intention of the parties, the respective rights and obligations of the parties, including but not limited to the rights and obligations set forth in Sections 6 through 15, will survive any termination or expiration of this Agreement for any reason.</w:t>
      </w:r>
    </w:p>
    <w:p>
      <w:pPr>
        <w:spacing w:after="0" w:line="166"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Breach</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No waiver by either party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to take any action by reason of any breach will not deprive such party of the right to take action at any time while such breach continues.</w:t>
      </w:r>
    </w:p>
    <w:p>
      <w:pPr>
        <w:spacing w:after="0" w:line="183"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Neither this Agreement nor any rights or obligations hereunder will be assignable or otherwise subject to hypothecation by Executive (except by will or by operation of the laws of intestate succession) or by the Company, except as follows. This Agreement shall bind any successor of the Company, its assets or its businesses (whether direct or indirect, by purchase, merger, consolidation or otherwise), in the same manner and to the same extent that the Company would be obligated under this Agreement if no succession had taken place. In the case of any transaction in which a successor would not by the foregoing provision or by operation of law be bound by this Agreement, the Company shall require such successor expressly and unconditionally to assume and agree to perform the Company’s obligations under this Agreement, in the same manner and to the same extent that the Company would be required to perform if no such succession had taken place. The term “Company,” as used in this Agreement, shall mean the Company as hereinbefore defined and any successor or assignee to the business or assets which by reason hereof becomes bound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627380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10.1</w:t>
      </w:r>
    </w:p>
    <w:p>
      <w:pPr>
        <w:spacing w:after="0" w:line="248"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Notices provided for in this Agreement will be in writing and will be deemed to have been duly received: (a) when delivered in person or sent by facsimile with receipt confirmed; (b) on the first business day after such notice is sent by recognized express overnight courier service; or (c) on the third business day following deposit in the United States mail, registered or certified mail, return receipt requested, postage prepaid and addressed, to the following address, as applicable:</w:t>
      </w:r>
    </w:p>
    <w:p>
      <w:pPr>
        <w:spacing w:after="0" w:line="187" w:lineRule="exact"/>
        <w:rPr>
          <w:sz w:val="20"/>
          <w:szCs w:val="20"/>
          <w:color w:val="auto"/>
        </w:rPr>
      </w:pPr>
    </w:p>
    <w:p>
      <w:pPr>
        <w:ind w:left="1080" w:hanging="424"/>
        <w:spacing w:after="0"/>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to Company, addressed to: 1590 Reed Road, Pennington, New Jersey, 08534; Attn: Chairman, Board of Directors.</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to Executive, addressed to: 16 Goldfield Road, Killingworth, Connecticut, 06419, or</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such other address as either party may have furnished to the other party in writing in accordance with this Section 21.</w:t>
      </w:r>
    </w:p>
    <w:p>
      <w:pPr>
        <w:spacing w:after="0" w:line="221"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This Agreement may be executed in any number of counterparts, each of which when so executed and delivered will be an original, but all such counterparts will together constitute one and the same instrument. Each counterpart may consist of a copy hereof containing multiple signature pages, each signed by one party, but together signed by both parties.</w:t>
      </w:r>
    </w:p>
    <w:p>
      <w:pPr>
        <w:spacing w:after="0" w:line="177"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Other Definitions</w:t>
      </w:r>
    </w:p>
    <w:p>
      <w:pPr>
        <w:spacing w:after="0" w:line="229"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parties agree that as used in this Agreement the following terms will have the following meanings: an “affiliate” of a person means any person directly or indirectly controlling, controlled by, or under common control with, such person; the terms “controlling, controlled by, or under common control with” mean the possession, directly or indirectly, of the power to direct or influence or cause the direction or influence of management or policies (whether through ownership of securities or other ownership interest or right, by contract or otherwise) of a person; the term “person” means a natural person, partnership (general or limited), limited liability Company, trust, estate, association, corporation, custodian, nominee, or any other individual or entity in its own or any representative capacity, in each case, whether domestic or foreign.</w:t>
      </w:r>
    </w:p>
    <w:p>
      <w:pPr>
        <w:spacing w:after="0" w:line="174"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Full Settlement</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Company's obligations, if any, to make payments to Executive under Section 7 will not be reduced by any failure of Executive to seek other employment. The payments under Section 7 will not be reduced if Executive obtains other employment.</w:t>
      </w:r>
    </w:p>
    <w:p>
      <w:pPr>
        <w:spacing w:after="0" w:line="166"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Directors and Officers Insurance</w:t>
      </w:r>
    </w:p>
    <w:p>
      <w:pPr>
        <w:spacing w:after="0" w:line="229" w:lineRule="exact"/>
        <w:rPr>
          <w:sz w:val="20"/>
          <w:szCs w:val="20"/>
          <w:color w:val="auto"/>
        </w:rPr>
      </w:pPr>
    </w:p>
    <w:p>
      <w:pPr>
        <w:ind w:right="200" w:firstLine="648"/>
        <w:spacing w:after="0" w:line="269" w:lineRule="auto"/>
        <w:rPr>
          <w:sz w:val="20"/>
          <w:szCs w:val="20"/>
          <w:color w:val="auto"/>
        </w:rPr>
      </w:pPr>
      <w:r>
        <w:rPr>
          <w:rFonts w:ascii="Arial" w:cs="Arial" w:eastAsia="Arial" w:hAnsi="Arial"/>
          <w:sz w:val="17"/>
          <w:szCs w:val="17"/>
          <w:color w:val="auto"/>
        </w:rPr>
        <w:t>In Executive’s capacity as a director, officer, or employee of the Company or serving or having served any other entity as a director, officer, or employee at the Company’s request, Executive shall be indemnified and held harmless by the Company to the fullest extent allowed by law, the Company’s Certificate of Incorporation and Bylaws, from and against any and all losses, claims, damages, liabilities, expenses (including legal fees and expenses), judgments, fines, settlements and other amounts arising from any and all claims, demands, actions, suits or proceedings, civil, criminal, administrative or investigative, in which Executive may be involved, or threatened to be involved, as a party or otherwise by reason of Executive’s status, which relate to or arise out of the Company and such other entities, their assets, business or affairs, if in each of the foregoing cases, (i) Executive acted in good faith and in a manner Executive believed to be in the best interests of the Company, and, with respect to any criminal proceeding, had no reasonable cause to believe Executive’s conduct was unlawful, and (ii) Executive’s conduct did not constitute gross negligence or willful or wanton misconduct. The Company shall advance all reasonable expenses incurred by Executive in connection with the investigation, defense, settlement or appeal of any civil or criminal action or proceeding referenced in this Section, including but not necessarily limited to, reasonable fees of legal counsel, expert witnesses or other litigation-related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637540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Executive and the Company have executed this Agreement to be effective for all purposes as of the Effective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EXECUTIVE:</w:t>
            </w:r>
          </w:p>
        </w:tc>
        <w:tc>
          <w:tcPr>
            <w:tcW w:w="36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w w:val="94"/>
              </w:rPr>
              <w:t>OCEAN POWER TECHNOLOGIES, INC.:</w:t>
            </w:r>
          </w:p>
        </w:tc>
      </w:tr>
      <w:tr>
        <w:trPr>
          <w:trHeight w:val="392"/>
        </w:trPr>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H. Kirby III</w:t>
            </w:r>
          </w:p>
        </w:tc>
        <w:tc>
          <w:tcPr>
            <w:tcW w:w="3620" w:type="dxa"/>
            <w:vAlign w:val="bottom"/>
          </w:tcPr>
          <w:p>
            <w:pPr>
              <w:spacing w:after="0"/>
              <w:rPr>
                <w:sz w:val="24"/>
                <w:szCs w:val="24"/>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J. Cryan</w:t>
            </w:r>
          </w:p>
        </w:tc>
        <w:tc>
          <w:tcPr>
            <w:tcW w:w="960" w:type="dxa"/>
            <w:vAlign w:val="bottom"/>
          </w:tcPr>
          <w:p>
            <w:pPr>
              <w:spacing w:after="0"/>
              <w:rPr>
                <w:sz w:val="24"/>
                <w:szCs w:val="24"/>
                <w:color w:val="auto"/>
              </w:rPr>
            </w:pPr>
          </w:p>
        </w:tc>
      </w:tr>
      <w:tr>
        <w:trPr>
          <w:trHeight w:val="438"/>
        </w:trPr>
        <w:tc>
          <w:tcPr>
            <w:tcW w:w="2100" w:type="dxa"/>
            <w:vAlign w:val="bottom"/>
          </w:tcPr>
          <w:p>
            <w:pPr>
              <w:spacing w:after="0"/>
              <w:rPr>
                <w:sz w:val="20"/>
                <w:szCs w:val="20"/>
                <w:color w:val="auto"/>
              </w:rPr>
            </w:pPr>
            <w:r>
              <w:rPr>
                <w:rFonts w:ascii="Arial" w:cs="Arial" w:eastAsia="Arial" w:hAnsi="Arial"/>
                <w:sz w:val="18"/>
                <w:szCs w:val="18"/>
                <w:color w:val="auto"/>
              </w:rPr>
              <w:t>George H. Kirby III</w:t>
            </w:r>
          </w:p>
        </w:tc>
        <w:tc>
          <w:tcPr>
            <w:tcW w:w="3620" w:type="dxa"/>
            <w:vAlign w:val="bottom"/>
          </w:tcPr>
          <w:p>
            <w:pPr>
              <w:spacing w:after="0"/>
              <w:rPr>
                <w:sz w:val="24"/>
                <w:szCs w:val="24"/>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Terence J. Cryan</w:t>
            </w:r>
          </w:p>
        </w:tc>
      </w:tr>
      <w:tr>
        <w:trPr>
          <w:trHeight w:val="216"/>
        </w:trPr>
        <w:tc>
          <w:tcPr>
            <w:tcW w:w="21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21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Ocean Power Technologies, Inc.</w:t>
            </w:r>
          </w:p>
        </w:tc>
      </w:tr>
    </w:tbl>
    <w:p>
      <w:pPr>
        <w:sectPr>
          <w:pgSz w:w="11900" w:h="16838" w:orient="portrait"/>
          <w:cols w:equalWidth="0" w:num="1">
            <w:col w:w="11420"/>
          </w:cols>
          <w:pgMar w:left="240" w:top="638"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H. Kirby III, certify that:</w:t>
      </w:r>
    </w:p>
    <w:p>
      <w:pPr>
        <w:spacing w:after="0" w:line="225"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460" w:hanging="452"/>
        <w:spacing w:after="0" w:line="26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460" w:hanging="452"/>
        <w:spacing w:after="0" w:line="30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440" w:hanging="432"/>
        <w:spacing w:after="0" w:line="277"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20" w:hanging="432"/>
        <w:spacing w:after="0" w:line="277"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George H. Kirby III</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44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2015</w:t>
      </w:r>
    </w:p>
    <w:p>
      <w:pPr>
        <w:sectPr>
          <w:pgSz w:w="11900" w:h="16838" w:orient="portrait"/>
          <w:cols w:equalWidth="0" w:num="1">
            <w:col w:w="11420"/>
          </w:cols>
          <w:pgMar w:left="240" w:top="337"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Featherstone, certify that:</w:t>
      </w:r>
    </w:p>
    <w:p>
      <w:pPr>
        <w:spacing w:after="0" w:line="225"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460" w:hanging="452"/>
        <w:spacing w:after="0" w:line="26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460" w:hanging="452"/>
        <w:spacing w:after="0" w:line="308"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440" w:hanging="432"/>
        <w:spacing w:after="0" w:line="277"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40" w:right="20" w:hanging="432"/>
        <w:spacing w:after="0" w:line="277"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Mark A. Featherstone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44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2015</w:t>
      </w:r>
    </w:p>
    <w:p>
      <w:pPr>
        <w:sectPr>
          <w:pgSz w:w="11900" w:h="16838" w:orient="portrait"/>
          <w:cols w:equalWidth="0" w:num="1">
            <w:col w:w="11420"/>
          </w:cols>
          <w:pgMar w:left="240" w:top="337"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2015, as filed with the Securities and Exchange Commission on the date hereof (the "Report"), the undersigned, George H. Kirby III,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440" w:hanging="432"/>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George H. Kirby III</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52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2015</w:t>
      </w:r>
    </w:p>
    <w:p>
      <w:pPr>
        <w:spacing w:after="0" w:line="200" w:lineRule="exact"/>
        <w:rPr>
          <w:sz w:val="20"/>
          <w:szCs w:val="20"/>
          <w:color w:val="auto"/>
        </w:rPr>
      </w:pPr>
    </w:p>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2015, as filed with the Securities and Exchange Commission on the date hereof (the "Report"), the undersigned, Mark A. Featherstone,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440" w:hanging="432"/>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Mark A. Featherstone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527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2015</w:t>
      </w:r>
    </w:p>
    <w:p>
      <w:pPr>
        <w:spacing w:after="0" w:line="200" w:lineRule="exact"/>
        <w:rPr>
          <w:sz w:val="20"/>
          <w:szCs w:val="20"/>
          <w:color w:val="auto"/>
        </w:rPr>
      </w:pPr>
    </w:p>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lowerLetter"/>
      <w:start w:val="3"/>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decimal"/>
      <w:start w:val="101"/>
    </w:lvl>
    <w:lvl w:ilvl="1">
      <w:lvlJc w:val="left"/>
      <w:lvlText w:val="*"/>
      <w:numFmt w:val="bullet"/>
      <w:start w:val="1"/>
    </w:lvl>
  </w:abstractNum>
  <w:abstractNum w:abstractNumId="6">
    <w:nsid w:val="7C3DBD3D"/>
    <w:multiLevelType w:val="hybridMultilevel"/>
    <w:lvl w:ilvl="0">
      <w:lvlJc w:val="left"/>
      <w:lvlText w:val="%1"/>
      <w:numFmt w:val="decimal"/>
      <w:start w:val="101"/>
    </w:lvl>
    <w:lvl w:ilvl="1">
      <w:lvlJc w:val="left"/>
      <w:lvlText w:val="*"/>
      <w:numFmt w:val="bullet"/>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2"/>
    </w:lvl>
    <w:lvl w:ilvl="1">
      <w:lvlJc w:val="left"/>
      <w:lvlText w:val="(%2)"/>
      <w:numFmt w:val="lowerLetter"/>
      <w:start w:val="1"/>
    </w:lvl>
  </w:abstractNum>
  <w:abstractNum w:abstractNumId="9">
    <w:nsid w:val="22221A70"/>
    <w:multiLevelType w:val="hybridMultilevel"/>
    <w:lvl w:ilvl="0">
      <w:lvlJc w:val="left"/>
      <w:lvlText w:val="%1."/>
      <w:numFmt w:val="decimal"/>
      <w:start w:val="3"/>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4"/>
    </w:lvl>
    <w:lvl w:ilvl="1">
      <w:lvlJc w:val="left"/>
      <w:lvlText w:val="(%2)"/>
      <w:numFmt w:val="lowerLetter"/>
      <w:start w:val="1"/>
    </w:lvl>
  </w:abstractNum>
  <w:abstractNum w:abstractNumId="12">
    <w:nsid w:val="614FD4A1"/>
    <w:multiLevelType w:val="hybridMultilevel"/>
    <w:lvl w:ilvl="0">
      <w:lvlJc w:val="left"/>
      <w:lvlText w:val="%1."/>
      <w:numFmt w:val="decimal"/>
      <w:start w:val="5"/>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6"/>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7"/>
    </w:lvl>
  </w:abstractNum>
  <w:abstractNum w:abstractNumId="18">
    <w:nsid w:val="77465F01"/>
    <w:multiLevelType w:val="hybridMultilevel"/>
    <w:lvl w:ilvl="0">
      <w:lvlJc w:val="left"/>
      <w:lvlText w:val="(%1)"/>
      <w:numFmt w:val="decimal"/>
      <w:start w:val="3"/>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2"/>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8"/>
    </w:lvl>
    <w:lvl w:ilvl="1">
      <w:lvlJc w:val="left"/>
      <w:lvlText w:val="(%2)"/>
      <w:numFmt w:val="lowerLetter"/>
      <w:start w:val="1"/>
    </w:lvl>
  </w:abstractNum>
  <w:abstractNum w:abstractNumId="24">
    <w:nsid w:val="2D517796"/>
    <w:multiLevelType w:val="hybridMultilevel"/>
    <w:lvl w:ilvl="0">
      <w:lvlJc w:val="left"/>
      <w:lvlText w:val="(%1)"/>
      <w:numFmt w:val="lowerRoman"/>
      <w:start w:val="1"/>
    </w:lvl>
  </w:abstractNum>
  <w:abstractNum w:abstractNumId="25">
    <w:nsid w:val="580BD78F"/>
    <w:multiLevelType w:val="hybridMultilevel"/>
    <w:lvl w:ilvl="0">
      <w:lvlJc w:val="left"/>
      <w:lvlText w:val="%1."/>
      <w:numFmt w:val="decimal"/>
      <w:start w:val="9"/>
    </w:lvl>
  </w:abstractNum>
  <w:abstractNum w:abstractNumId="26">
    <w:nsid w:val="153EA438"/>
    <w:multiLevelType w:val="hybridMultilevel"/>
    <w:lvl w:ilvl="0">
      <w:lvlJc w:val="left"/>
      <w:lvlText w:val="%1."/>
      <w:numFmt w:val="decimal"/>
      <w:start w:val="10"/>
    </w:lvl>
  </w:abstractNum>
  <w:abstractNum w:abstractNumId="27">
    <w:nsid w:val="3855585C"/>
    <w:multiLevelType w:val="hybridMultilevel"/>
    <w:lvl w:ilvl="0">
      <w:lvlJc w:val="left"/>
      <w:lvlText w:val="(%1)"/>
      <w:numFmt w:val="lowerLetter"/>
      <w:start w:val="1"/>
    </w:lvl>
  </w:abstractNum>
  <w:abstractNum w:abstractNumId="28">
    <w:nsid w:val="70A64E2A"/>
    <w:multiLevelType w:val="hybridMultilevel"/>
    <w:lvl w:ilvl="0">
      <w:lvlJc w:val="left"/>
      <w:lvlText w:val="(%1)"/>
      <w:numFmt w:val="lowerLetter"/>
      <w:start w:val="4"/>
    </w:lvl>
  </w:abstractNum>
  <w:abstractNum w:abstractNumId="29">
    <w:nsid w:val="6A2342EC"/>
    <w:multiLevelType w:val="hybridMultilevel"/>
    <w:lvl w:ilvl="0">
      <w:lvlJc w:val="left"/>
      <w:lvlText w:val="%1."/>
      <w:numFmt w:val="decimal"/>
      <w:start w:val="11"/>
    </w:lvl>
  </w:abstractNum>
  <w:abstractNum w:abstractNumId="30">
    <w:nsid w:val="2A487CB0"/>
    <w:multiLevelType w:val="hybridMultilevel"/>
    <w:lvl w:ilvl="0">
      <w:lvlJc w:val="left"/>
      <w:lvlText w:val="(%1)"/>
      <w:numFmt w:val="lowerLetter"/>
      <w:start w:val="1"/>
    </w:lvl>
  </w:abstractNum>
  <w:abstractNum w:abstractNumId="31">
    <w:nsid w:val="1D4ED43B"/>
    <w:multiLevelType w:val="hybridMultilevel"/>
    <w:lvl w:ilvl="0">
      <w:lvlJc w:val="left"/>
      <w:lvlText w:val="%1."/>
      <w:numFmt w:val="decimal"/>
      <w:start w:val="12"/>
    </w:lvl>
  </w:abstractNum>
  <w:abstractNum w:abstractNumId="32">
    <w:nsid w:val="725A06FB"/>
    <w:multiLevelType w:val="hybridMultilevel"/>
    <w:lvl w:ilvl="0">
      <w:lvlJc w:val="left"/>
      <w:lvlText w:val="%1."/>
      <w:numFmt w:val="decimal"/>
      <w:start w:val="13"/>
    </w:lvl>
  </w:abstractNum>
  <w:abstractNum w:abstractNumId="33">
    <w:nsid w:val="2CD89A32"/>
    <w:multiLevelType w:val="hybridMultilevel"/>
    <w:lvl w:ilvl="0">
      <w:lvlJc w:val="left"/>
      <w:lvlText w:val="%1."/>
      <w:numFmt w:val="decimal"/>
      <w:start w:val="14"/>
    </w:lvl>
  </w:abstractNum>
  <w:abstractNum w:abstractNumId="34">
    <w:nsid w:val="57E4CCAF"/>
    <w:multiLevelType w:val="hybridMultilevel"/>
    <w:lvl w:ilvl="0">
      <w:lvlJc w:val="left"/>
      <w:lvlText w:val="%1."/>
      <w:numFmt w:val="decimal"/>
      <w:start w:val="15"/>
    </w:lvl>
    <w:lvl w:ilvl="1">
      <w:lvlJc w:val="left"/>
      <w:lvlText w:val="(%2)"/>
      <w:numFmt w:val="lowerLetter"/>
      <w:start w:val="1"/>
    </w:lvl>
  </w:abstractNum>
  <w:abstractNum w:abstractNumId="35">
    <w:nsid w:val="7A6D8D3C"/>
    <w:multiLevelType w:val="hybridMultilevel"/>
    <w:lvl w:ilvl="0">
      <w:lvlJc w:val="left"/>
      <w:lvlText w:val="%1."/>
      <w:numFmt w:val="decimal"/>
      <w:start w:val="17"/>
    </w:lvl>
  </w:abstractNum>
  <w:abstractNum w:abstractNumId="36">
    <w:nsid w:val="4B588F54"/>
    <w:multiLevelType w:val="hybridMultilevel"/>
    <w:lvl w:ilvl="0">
      <w:lvlJc w:val="left"/>
      <w:lvlText w:val="%1."/>
      <w:numFmt w:val="decimal"/>
      <w:start w:val="18"/>
    </w:lvl>
  </w:abstractNum>
  <w:abstractNum w:abstractNumId="37">
    <w:nsid w:val="542289EC"/>
    <w:multiLevelType w:val="hybridMultilevel"/>
    <w:lvl w:ilvl="0">
      <w:lvlJc w:val="left"/>
      <w:lvlText w:val="%1."/>
      <w:numFmt w:val="decimal"/>
      <w:start w:val="19"/>
    </w:lvl>
  </w:abstractNum>
  <w:abstractNum w:abstractNumId="38">
    <w:nsid w:val="6DE91B18"/>
    <w:multiLevelType w:val="hybridMultilevel"/>
    <w:lvl w:ilvl="0">
      <w:lvlJc w:val="left"/>
      <w:lvlText w:val="%1."/>
      <w:numFmt w:val="decimal"/>
      <w:start w:val="20"/>
    </w:lvl>
  </w:abstractNum>
  <w:abstractNum w:abstractNumId="39">
    <w:nsid w:val="38437FDB"/>
    <w:multiLevelType w:val="hybridMultilevel"/>
    <w:lvl w:ilvl="0">
      <w:lvlJc w:val="left"/>
      <w:lvlText w:val="%1."/>
      <w:numFmt w:val="decimal"/>
      <w:start w:val="21"/>
    </w:lvl>
  </w:abstractNum>
  <w:abstractNum w:abstractNumId="40">
    <w:nsid w:val="7644A45C"/>
    <w:multiLevelType w:val="hybridMultilevel"/>
    <w:lvl w:ilvl="0">
      <w:lvlJc w:val="left"/>
      <w:lvlText w:val="%1"/>
      <w:numFmt w:val="decimal"/>
      <w:start w:val="1"/>
    </w:lvl>
    <w:lvl w:ilvl="1">
      <w:lvlJc w:val="left"/>
      <w:lvlText w:val="(%2)"/>
      <w:numFmt w:val="lowerLetter"/>
      <w:start w:val="1"/>
    </w:lvl>
  </w:abstractNum>
  <w:abstractNum w:abstractNumId="41">
    <w:nsid w:val="32FFF902"/>
    <w:multiLevelType w:val="hybridMultilevel"/>
    <w:lvl w:ilvl="0">
      <w:lvlJc w:val="left"/>
      <w:lvlText w:val="%1."/>
      <w:numFmt w:val="decimal"/>
      <w:start w:val="22"/>
    </w:lvl>
    <w:lvl w:ilvl="1">
      <w:lvlJc w:val="left"/>
      <w:lvlText w:val="%2"/>
      <w:numFmt w:val="lowerLetter"/>
      <w:start w:val="1"/>
    </w:lvl>
  </w:abstractNum>
  <w:abstractNum w:abstractNumId="42">
    <w:nsid w:val="684A481A"/>
    <w:multiLevelType w:val="hybridMultilevel"/>
    <w:lvl w:ilvl="0">
      <w:lvlJc w:val="left"/>
      <w:lvlText w:val="%1."/>
      <w:numFmt w:val="decimal"/>
      <w:start w:val="23"/>
    </w:lvl>
  </w:abstractNum>
  <w:abstractNum w:abstractNumId="43">
    <w:nsid w:val="579478FE"/>
    <w:multiLevelType w:val="hybridMultilevel"/>
    <w:lvl w:ilvl="0">
      <w:lvlJc w:val="left"/>
      <w:lvlText w:val="%1."/>
      <w:numFmt w:val="decimal"/>
      <w:start w:val="24"/>
    </w:lvl>
  </w:abstractNum>
  <w:abstractNum w:abstractNumId="44">
    <w:nsid w:val="749ABB43"/>
    <w:multiLevelType w:val="hybridMultilevel"/>
    <w:lvl w:ilvl="0">
      <w:lvlJc w:val="left"/>
      <w:lvlText w:val="%1."/>
      <w:numFmt w:val="decimal"/>
      <w:start w:val="25"/>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decimal"/>
      <w:start w:val="5"/>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decimal"/>
      <w:start w:val="5"/>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2019-12-08T18:14:39Z</dcterms:created>
  <dcterms:modified xsi:type="dcterms:W3CDTF">2019-12-08T18:14:39Z</dcterms:modified>
</cp:coreProperties>
</file>