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10-q.htm"/>
      <w:bookmarkStart w:id="1" w:name="ksform10q"/>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C_edei--DocumentType_c20230501__20"/>
      <w:bookmarkEnd w:id="2"/>
      <w:r>
        <w:rPr>
          <w:rFonts w:ascii="Times New Roman;Times;Serif" w:hAnsi="Times New Roman;Times;Serif"/>
          <w:b/>
          <w:i w:val="false"/>
          <w:caps w:val="false"/>
          <w:smallCaps w:val="false"/>
          <w:sz w:val="36"/>
        </w:rPr>
        <w:t>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One)</w:t>
      </w:r>
    </w:p>
    <w:p>
      <w:pPr>
        <w:pStyle w:val="TextBody"/>
        <w:bidi w:val="0"/>
        <w:spacing w:before="0" w:after="0"/>
        <w:ind w:left="0" w:right="0" w:hanging="0"/>
        <w:jc w:val="left"/>
        <w:rPr>
          <w:caps w:val="false"/>
          <w:smallCaps w:val="false"/>
        </w:rPr>
      </w:pPr>
      <w:r>
        <w:rPr>
          <w:caps w:val="false"/>
          <w:smallCaps w:val="false"/>
        </w:rPr>
        <w:t> </w:t>
      </w:r>
    </w:p>
    <w:tbl>
      <w:tblPr>
        <w:tblW w:w="10135" w:type="dxa"/>
        <w:jc w:val="left"/>
        <w:tblInd w:w="0" w:type="dxa"/>
        <w:tblLayout w:type="fixed"/>
        <w:tblCellMar>
          <w:top w:w="0" w:type="dxa"/>
          <w:left w:w="0" w:type="dxa"/>
          <w:bottom w:w="0" w:type="dxa"/>
          <w:right w:w="0" w:type="dxa"/>
        </w:tblCellMar>
      </w:tblPr>
      <w:tblGrid>
        <w:gridCol w:w="245"/>
        <w:gridCol w:w="9890"/>
      </w:tblGrid>
      <w:tr>
        <w:trPr/>
        <w:tc>
          <w:tcPr>
            <w:tcW w:w="245" w:type="dxa"/>
            <w:tcBorders/>
            <w:vAlign w:val="center"/>
          </w:tcPr>
          <w:p>
            <w:pPr>
              <w:pStyle w:val="TableContents"/>
              <w:bidi w:val="0"/>
              <w:spacing w:before="0" w:after="283"/>
              <w:jc w:val="left"/>
              <w:rPr>
                <w:caps w:val="false"/>
                <w:smallCaps w:val="false"/>
              </w:rPr>
            </w:pPr>
            <w:bookmarkStart w:id="3" w:name="xdx_908_edei--DocumentQuarterlyReport_c2"/>
            <w:bookmarkEnd w:id="3"/>
            <w:r>
              <w:rPr>
                <w:caps w:val="false"/>
                <w:smallCaps w:val="false"/>
              </w:rPr>
              <w:t>☒</w:t>
            </w:r>
          </w:p>
        </w:tc>
        <w:tc>
          <w:tcPr>
            <w:tcW w:w="98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QUARTERLY REPORT PURSUANT TO SECTION 13 OR 15(d) OF THE SECURITIES EXCHANGE ACT OF 1934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Quarterly Period Ended </w:t>
      </w:r>
      <w:bookmarkStart w:id="4" w:name="xdx_90A_edei--DocumentPeriodEndDate_c202"/>
      <w:bookmarkEnd w:id="4"/>
      <w:r>
        <w:rPr>
          <w:rFonts w:ascii="Times New Roman;Times;Serif" w:hAnsi="Times New Roman;Times;Serif"/>
          <w:b/>
          <w:i w:val="false"/>
          <w:caps w:val="false"/>
          <w:smallCaps w:val="false"/>
          <w:sz w:val="20"/>
        </w:rPr>
        <w:t xml:space="preserve">January 31, </w:t>
      </w:r>
      <w:bookmarkStart w:id="5" w:name="xdx_904_edei--DocumentFiscalYearFocus_c2"/>
      <w:bookmarkEnd w:id="5"/>
      <w:r>
        <w:rPr>
          <w:rFonts w:ascii="Times New Roman;Times;Serif" w:hAnsi="Times New Roman;Times;Serif"/>
          <w:b/>
          <w:i w:val="false"/>
          <w:caps w:val="false"/>
          <w:smallCaps w:val="false"/>
          <w:sz w:val="20"/>
        </w:rPr>
        <w:t>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245"/>
        <w:gridCol w:w="9875"/>
      </w:tblGrid>
      <w:tr>
        <w:trPr/>
        <w:tc>
          <w:tcPr>
            <w:tcW w:w="245" w:type="dxa"/>
            <w:tcBorders/>
            <w:vAlign w:val="center"/>
          </w:tcPr>
          <w:p>
            <w:pPr>
              <w:pStyle w:val="TableContents"/>
              <w:bidi w:val="0"/>
              <w:spacing w:before="0" w:after="283"/>
              <w:jc w:val="left"/>
              <w:rPr>
                <w:caps w:val="false"/>
                <w:smallCaps w:val="false"/>
              </w:rPr>
            </w:pPr>
            <w:bookmarkStart w:id="6" w:name="xdx_904_edei--DocumentTransitionReport_c"/>
            <w:bookmarkEnd w:id="6"/>
            <w:r>
              <w:rPr>
                <w:caps w:val="false"/>
                <w:smallCaps w:val="false"/>
              </w:rPr>
              <w:t>☐</w:t>
            </w:r>
          </w:p>
        </w:tc>
        <w:tc>
          <w:tcPr>
            <w:tcW w:w="98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TRANSITION REPORT PURSUANT TO SECTION 13 OR 15(d) OF THE SECURITIES EXCHANGE ACT OF 1934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______to______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7" w:name="xdx_909_edei--EntityFileNumber_c20230501"/>
      <w:bookmarkEnd w:id="7"/>
      <w:r>
        <w:rPr>
          <w:rFonts w:ascii="Times New Roman;Times;Serif" w:hAnsi="Times New Roman;Times;Serif"/>
          <w:b/>
          <w:i w:val="false"/>
          <w:caps w:val="false"/>
          <w:smallCaps w:val="false"/>
          <w:sz w:val="20"/>
        </w:rPr>
        <w:t>001-33417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8" w:name="xdx_90B_edei--EntityRegistrantName_c2023"/>
      <w:bookmarkEnd w:id="8"/>
      <w:r>
        <w:rPr>
          <w:rFonts w:ascii="Times New Roman;Times;Serif" w:hAnsi="Times New Roman;Times;Serif"/>
          <w:b/>
          <w:i w:val="false"/>
          <w:caps w:val="false"/>
          <w:smallCaps w:val="false"/>
          <w:sz w:val="36"/>
        </w:rPr>
        <w:t>OCEAN POWER TECHNOLOGIES, INC.</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2615"/>
        <w:gridCol w:w="60"/>
        <w:gridCol w:w="1550"/>
      </w:tblGrid>
      <w:tr>
        <w:trPr/>
        <w:tc>
          <w:tcPr>
            <w:tcW w:w="26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1_edei--EntityIncorporationStateCo"/>
            <w:bookmarkEnd w:id="9"/>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5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E_edei--EntityTaxIdentificationNum"/>
            <w:bookmarkEnd w:id="10"/>
            <w:r>
              <w:rPr>
                <w:rFonts w:ascii="Times New Roman;Times;Serif" w:hAnsi="Times New Roman;Times;Serif"/>
                <w:b/>
                <w:i w:val="false"/>
                <w:caps w:val="false"/>
                <w:smallCaps w:val="false"/>
                <w:sz w:val="20"/>
              </w:rPr>
              <w:t>22-2535818</w:t>
            </w:r>
          </w:p>
        </w:tc>
      </w:tr>
      <w:tr>
        <w:trPr/>
        <w:tc>
          <w:tcPr>
            <w:tcW w:w="2615"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(State or Other Jurisdiction of</w:t>
              <w:br/>
              <w:t>Incorporation or Organization)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50"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(I.R.S. Employer </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xdx_909_edei--EntityAddressAddressLine1_"/>
      <w:bookmarkEnd w:id="11"/>
      <w:r>
        <w:rPr>
          <w:rFonts w:ascii="Times New Roman;Times;Serif" w:hAnsi="Times New Roman;Times;Serif"/>
          <w:b/>
          <w:i w:val="false"/>
          <w:caps w:val="false"/>
          <w:smallCaps w:val="false"/>
          <w:sz w:val="20"/>
        </w:rPr>
        <w:t xml:space="preserve">28 ENGELHARD DRIVE, </w:t>
      </w:r>
      <w:bookmarkStart w:id="12" w:name="xdx_908_edei--EntityAddressAddressLine2_"/>
      <w:bookmarkEnd w:id="12"/>
      <w:r>
        <w:rPr>
          <w:rFonts w:ascii="Times New Roman;Times;Serif" w:hAnsi="Times New Roman;Times;Serif"/>
          <w:b/>
          <w:i w:val="false"/>
          <w:caps w:val="false"/>
          <w:smallCaps w:val="false"/>
          <w:sz w:val="20"/>
        </w:rPr>
        <w:t xml:space="preserve">SUITE B, </w:t>
      </w:r>
      <w:bookmarkStart w:id="13" w:name="xdx_908_edei--EntityAddressCityOrTown_c2"/>
      <w:bookmarkEnd w:id="13"/>
      <w:r>
        <w:rPr>
          <w:rFonts w:ascii="Times New Roman;Times;Serif" w:hAnsi="Times New Roman;Times;Serif"/>
          <w:b/>
          <w:i w:val="false"/>
          <w:caps w:val="false"/>
          <w:smallCaps w:val="false"/>
          <w:sz w:val="20"/>
        </w:rPr>
        <w:t xml:space="preserve">MONROE TOWNSHIP, </w:t>
      </w:r>
      <w:bookmarkStart w:id="14" w:name="xdx_909_edei--EntityAddressStateOrProvin"/>
      <w:bookmarkEnd w:id="14"/>
      <w:r>
        <w:rPr>
          <w:rFonts w:ascii="Times New Roman;Times;Serif" w:hAnsi="Times New Roman;Times;Serif"/>
          <w:b/>
          <w:i w:val="false"/>
          <w:caps w:val="false"/>
          <w:smallCaps w:val="false"/>
          <w:sz w:val="20"/>
        </w:rPr>
        <w:t xml:space="preserve">NJ </w:t>
      </w:r>
      <w:bookmarkStart w:id="15" w:name="xdx_907_edei--EntityAddressPostalZipCode"/>
      <w:bookmarkEnd w:id="15"/>
      <w:r>
        <w:rPr>
          <w:rFonts w:ascii="Times New Roman;Times;Serif" w:hAnsi="Times New Roman;Times;Serif"/>
          <w:b/>
          <w:i w:val="false"/>
          <w:caps w:val="false"/>
          <w:smallCaps w:val="false"/>
          <w:sz w:val="20"/>
        </w:rPr>
        <w:t>08831</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xdx_903_edei--CityAreaCode_c20230501__20"/>
      <w:bookmarkEnd w:id="16"/>
      <w:r>
        <w:rPr>
          <w:rFonts w:ascii="Times New Roman;Times;Serif" w:hAnsi="Times New Roman;Times;Serif"/>
          <w:b/>
          <w:i w:val="false"/>
          <w:caps w:val="false"/>
          <w:smallCaps w:val="false"/>
          <w:sz w:val="20"/>
        </w:rPr>
        <w:t xml:space="preserve">(609) </w:t>
      </w:r>
      <w:bookmarkStart w:id="17" w:name="xdx_901_edei--LocalPhoneNumber_c20230501"/>
      <w:bookmarkEnd w:id="17"/>
      <w:r>
        <w:rPr>
          <w:rFonts w:ascii="Times New Roman;Times;Serif" w:hAnsi="Times New Roman;Times;Serif"/>
          <w:b/>
          <w:i w:val="false"/>
          <w:caps w:val="false"/>
          <w:smallCaps w:val="false"/>
          <w:sz w:val="20"/>
        </w:rPr>
        <w:t>730-0400</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8565" w:type="dxa"/>
        <w:jc w:val="left"/>
        <w:tblInd w:w="0" w:type="dxa"/>
        <w:tblLayout w:type="fixed"/>
        <w:tblCellMar>
          <w:top w:w="0" w:type="dxa"/>
          <w:left w:w="0" w:type="dxa"/>
          <w:bottom w:w="28" w:type="dxa"/>
          <w:right w:w="0" w:type="dxa"/>
        </w:tblCellMar>
      </w:tblPr>
      <w:tblGrid>
        <w:gridCol w:w="3320"/>
        <w:gridCol w:w="60"/>
        <w:gridCol w:w="1535"/>
        <w:gridCol w:w="60"/>
        <w:gridCol w:w="3590"/>
      </w:tblGrid>
      <w:tr>
        <w:trPr/>
        <w:tc>
          <w:tcPr>
            <w:tcW w:w="3320"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33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7_edei--Security12bTitle_c20230501"/>
            <w:bookmarkEnd w:id="18"/>
            <w:r>
              <w:rPr>
                <w:rFonts w:ascii="Times New Roman;Times;Serif" w:hAnsi="Times New Roman;Times;Serif"/>
                <w:b w:val="false"/>
                <w:i w:val="false"/>
                <w:caps w:val="false"/>
                <w:smallCaps w:val="false"/>
                <w:sz w:val="20"/>
              </w:rPr>
              <w:t>Common Stock $0.001 par value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4_edei--TradingSymbol_c20230501__2"/>
            <w:bookmarkEnd w:id="19"/>
            <w:r>
              <w:rPr>
                <w:rFonts w:ascii="Times New Roman;Times;Serif" w:hAnsi="Times New Roman;Times;Serif"/>
                <w:b w:val="false"/>
                <w:i w:val="false"/>
                <w:caps w:val="false"/>
                <w:smallCaps w:val="false"/>
                <w:sz w:val="20"/>
              </w:rPr>
              <w:t>OPTT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1_edei--SecurityExchangeName_c2023"/>
            <w:bookmarkEnd w:id="20"/>
            <w:r>
              <w:rPr>
                <w:rFonts w:ascii="Times New Roman;Times;Serif" w:hAnsi="Times New Roman;Times;Serif"/>
                <w:b w:val="false"/>
                <w:i w:val="false"/>
                <w:caps w:val="false"/>
                <w:smallCaps w:val="false"/>
                <w:sz w:val="20"/>
              </w:rPr>
              <w:t>NYSE American</w:t>
            </w:r>
          </w:p>
        </w:tc>
      </w:tr>
      <w:tr>
        <w:trPr/>
        <w:tc>
          <w:tcPr>
            <w:tcW w:w="33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F_edei--Security12bTitle_c20230501"/>
            <w:bookmarkEnd w:id="21"/>
            <w:r>
              <w:rPr>
                <w:rFonts w:ascii="Times New Roman;Times;Serif" w:hAnsi="Times New Roman;Times;Serif"/>
                <w:b w:val="false"/>
                <w:i w:val="false"/>
                <w:caps w:val="false"/>
                <w:smallCaps w:val="false"/>
                <w:sz w:val="20"/>
              </w:rPr>
              <w:t>Series A Preferred Stock Purchase Rights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1_edei--NoTradingSymbolFlag_dxL_c2"/>
            <w:bookmarkEnd w:id="22"/>
            <w:r>
              <w:rPr>
                <w:rFonts w:ascii="Times New Roman;Times;Serif" w:hAnsi="Times New Roman;Times;Serif"/>
                <w:b w:val="false"/>
                <w:i w:val="false"/>
                <w:caps w:val="false"/>
                <w:smallCaps w:val="false"/>
                <w:sz w:val="20"/>
              </w:rPr>
              <w:t>N/A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A_edei--SecurityExchangeName_c2023"/>
            <w:bookmarkEnd w:id="23"/>
            <w:r>
              <w:rPr>
                <w:rFonts w:ascii="Times New Roman;Times;Serif" w:hAnsi="Times New Roman;Times;Serif"/>
                <w:b w:val="false"/>
                <w:i w:val="false"/>
                <w:caps w:val="false"/>
                <w:smallCaps w:val="false"/>
                <w:sz w:val="20"/>
              </w:rPr>
              <w:t>NYSE American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4" w:name="xdx_90E_edei--EntityCurrentReportingStat"/>
      <w:bookmarkEnd w:id="24"/>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bookmarkStart w:id="25" w:name="xdx_902_edei--EntityInteractiveDataCurre"/>
      <w:bookmarkEnd w:id="25"/>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pStyle w:val="TextBody"/>
        <w:bidi w:val="0"/>
        <w:spacing w:before="0" w:after="0"/>
        <w:ind w:left="0" w:right="0" w:hanging="0"/>
        <w:jc w:val="both"/>
        <w:rPr>
          <w:caps w:val="false"/>
          <w:smallCaps w:val="false"/>
        </w:rPr>
      </w:pPr>
      <w:r>
        <w:rPr>
          <w:caps w:val="false"/>
          <w:smallCaps w:val="false"/>
        </w:rPr>
        <w:t> </w:t>
      </w:r>
    </w:p>
    <w:tbl>
      <w:tblPr>
        <w:tblW w:w="8225" w:type="dxa"/>
        <w:jc w:val="left"/>
        <w:tblInd w:w="0" w:type="dxa"/>
        <w:tblLayout w:type="fixed"/>
        <w:tblCellMar>
          <w:top w:w="0" w:type="dxa"/>
          <w:left w:w="0" w:type="dxa"/>
          <w:bottom w:w="0" w:type="dxa"/>
          <w:right w:w="0" w:type="dxa"/>
        </w:tblCellMar>
      </w:tblPr>
      <w:tblGrid>
        <w:gridCol w:w="2060"/>
        <w:gridCol w:w="60"/>
        <w:gridCol w:w="1580"/>
        <w:gridCol w:w="60"/>
        <w:gridCol w:w="1940"/>
        <w:gridCol w:w="60"/>
        <w:gridCol w:w="2465"/>
      </w:tblGrid>
      <w:tr>
        <w:trPr/>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6" w:name="xdx_906_edei--EntityFilerCategory_c20230"/>
            <w:bookmarkEnd w:id="26"/>
            <w:r>
              <w:rPr>
                <w:rFonts w:ascii="Times New Roman;Times;Serif" w:hAnsi="Times New Roman;Times;Serif"/>
                <w:b w:val="false"/>
                <w:i w:val="false"/>
                <w:caps w:val="false"/>
                <w:smallCaps w:val="false"/>
                <w:sz w:val="20"/>
              </w:rPr>
              <w:t>Non-accelerated filer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Smaller reporting company </w:t>
            </w:r>
            <w:bookmarkStart w:id="27" w:name="xdx_90F_edei--EntitySmallBusiness_c20230"/>
            <w:bookmarkEnd w:id="27"/>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8" w:name="xdx_90A_edei--EntityEmergingGrowthCompan"/>
      <w:bookmarkEnd w:id="28"/>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w:t>
      </w:r>
      <w:bookmarkStart w:id="29" w:name="xdx_901_edei--EntityShellCompany_dbF_c20"/>
      <w:bookmarkEnd w:id="29"/>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11, 2024, the number of outstanding shares of common stock of the registrant was </w:t>
      </w:r>
      <w:bookmarkStart w:id="30" w:name="xdx_90B_edei--EntityCommonStockSharesOut"/>
      <w:bookmarkEnd w:id="30"/>
      <w:r>
        <w:rPr>
          <w:rFonts w:ascii="Times New Roman;Times;Serif" w:hAnsi="Times New Roman;Times;Serif"/>
          <w:b w:val="false"/>
          <w:i w:val="false"/>
          <w:caps w:val="false"/>
          <w:smallCaps w:val="false"/>
          <w:sz w:val="20"/>
        </w:rPr>
        <w:t>59,463,573.</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OCEAN POWER TECHNOLOGIES,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TOC"/>
      <w:bookmarkEnd w:id="31"/>
      <w:r>
        <w:rPr>
          <w:rFonts w:ascii="Times New Roman;Times;Serif" w:hAnsi="Times New Roman;Times;Serif"/>
          <w:b/>
          <w:i w:val="false"/>
          <w:caps w:val="false"/>
          <w:smallCaps w:val="false"/>
          <w:sz w:val="20"/>
        </w:rPr>
        <w:t>INDEX TO FORM 10-Q</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480"/>
        <w:gridCol w:w="725"/>
      </w:tblGrid>
      <w:tr>
        <w:trPr/>
        <w:tc>
          <w:tcPr>
            <w:tcW w:w="9480"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r>
      <w:tr>
        <w:trPr/>
        <w:tc>
          <w:tcPr>
            <w:tcW w:w="9480" w:type="dxa"/>
            <w:tcBorders/>
            <w:shd w:fill="CCEEFF" w:val="clear"/>
            <w:vAlign w:val="center"/>
          </w:tcPr>
          <w:p>
            <w:pPr>
              <w:pStyle w:val="TableContents"/>
              <w:bidi w:val="0"/>
              <w:spacing w:before="0" w:after="283"/>
              <w:jc w:val="left"/>
              <w:rPr/>
            </w:pPr>
            <w:hyperlink w:anchor="hr_001">
              <w:r>
                <w:rPr>
                  <w:rStyle w:val="InternetLink"/>
                  <w:rFonts w:ascii="Times New Roman;Times;Serif" w:hAnsi="Times New Roman;Times;Serif"/>
                  <w:b/>
                  <w:i w:val="false"/>
                  <w:caps w:val="false"/>
                  <w:smallCaps w:val="false"/>
                  <w:sz w:val="20"/>
                </w:rPr>
                <w:t>PART I — FINANCIAL INFORMATION</w:t>
              </w:r>
            </w:hyperlink>
          </w:p>
        </w:tc>
        <w:tc>
          <w:tcPr>
            <w:tcW w:w="72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480" w:type="dxa"/>
            <w:tcBorders/>
            <w:shd w:fill="FFFFFF" w:val="clear"/>
            <w:vAlign w:val="center"/>
          </w:tcPr>
          <w:p>
            <w:pPr>
              <w:pStyle w:val="TableContents"/>
              <w:bidi w:val="0"/>
              <w:spacing w:before="0" w:after="283"/>
              <w:jc w:val="left"/>
              <w:rPr/>
            </w:pPr>
            <w:hyperlink w:anchor="hr_002">
              <w:r>
                <w:rPr>
                  <w:rStyle w:val="InternetLink"/>
                  <w:rFonts w:ascii="Times New Roman;Times;Serif" w:hAnsi="Times New Roman;Times;Serif"/>
                  <w:b w:val="false"/>
                  <w:i w:val="false"/>
                  <w:caps w:val="false"/>
                  <w:smallCaps w:val="false"/>
                  <w:sz w:val="20"/>
                </w:rPr>
                <w:t>Item 1. Financial Statements:</w:t>
              </w:r>
            </w:hyperlink>
          </w:p>
        </w:tc>
        <w:tc>
          <w:tcPr>
            <w:tcW w:w="7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480" w:type="dxa"/>
            <w:tcBorders/>
            <w:shd w:fill="CCEEFF" w:val="clear"/>
            <w:vAlign w:val="center"/>
          </w:tcPr>
          <w:p>
            <w:pPr>
              <w:pStyle w:val="TableContents"/>
              <w:bidi w:val="0"/>
              <w:spacing w:before="0" w:after="283"/>
              <w:jc w:val="left"/>
              <w:rPr/>
            </w:pPr>
            <w:hyperlink w:anchor="hr_003">
              <w:r>
                <w:rPr>
                  <w:rStyle w:val="InternetLink"/>
                  <w:rFonts w:ascii="Times New Roman;Times;Serif" w:hAnsi="Times New Roman;Times;Serif"/>
                  <w:b w:val="false"/>
                  <w:i w:val="false"/>
                  <w:caps w:val="false"/>
                  <w:smallCaps w:val="false"/>
                  <w:sz w:val="20"/>
                </w:rPr>
                <w:t xml:space="preserve">Consolidated Balance Sheets as of </w:t>
              </w:r>
            </w:hyperlink>
            <w:hyperlink w:anchor="hr_003">
              <w:r>
                <w:rPr>
                  <w:rStyle w:val="InternetLink"/>
                  <w:rFonts w:ascii="Times New Roman;Times;Serif" w:hAnsi="Times New Roman;Times;Serif"/>
                  <w:b w:val="false"/>
                  <w:i w:val="false"/>
                  <w:caps w:val="false"/>
                  <w:smallCaps w:val="false"/>
                  <w:sz w:val="20"/>
                  <w:u w:val="single"/>
                </w:rPr>
                <w:t>January 31, 2024</w:t>
              </w:r>
            </w:hyperlink>
            <w:hyperlink w:anchor="hr_003">
              <w:r>
                <w:rPr>
                  <w:rStyle w:val="InternetLink"/>
                  <w:rFonts w:ascii="Times New Roman;Times;Serif" w:hAnsi="Times New Roman;Times;Serif"/>
                  <w:b w:val="false"/>
                  <w:i w:val="false"/>
                  <w:caps w:val="false"/>
                  <w:smallCaps w:val="false"/>
                  <w:sz w:val="20"/>
                </w:rPr>
                <w:t xml:space="preserve"> (unaudited) and </w:t>
              </w:r>
            </w:hyperlink>
            <w:hyperlink w:anchor="hr_003">
              <w:r>
                <w:rPr>
                  <w:rStyle w:val="InternetLink"/>
                  <w:rFonts w:ascii="Times New Roman;Times;Serif" w:hAnsi="Times New Roman;Times;Serif"/>
                  <w:b w:val="false"/>
                  <w:i w:val="false"/>
                  <w:caps w:val="false"/>
                  <w:smallCaps w:val="false"/>
                  <w:sz w:val="20"/>
                  <w:u w:val="single"/>
                </w:rPr>
                <w:t>April 30, 2023</w:t>
              </w:r>
            </w:hyperlink>
          </w:p>
        </w:tc>
        <w:tc>
          <w:tcPr>
            <w:tcW w:w="7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9480" w:type="dxa"/>
            <w:tcBorders/>
            <w:shd w:fill="FFFFFF" w:val="clear"/>
            <w:vAlign w:val="center"/>
          </w:tcPr>
          <w:p>
            <w:pPr>
              <w:pStyle w:val="TableContents"/>
              <w:bidi w:val="0"/>
              <w:spacing w:before="0" w:after="283"/>
              <w:jc w:val="left"/>
              <w:rPr/>
            </w:pPr>
            <w:hyperlink w:anchor="hr_004">
              <w:r>
                <w:rPr>
                  <w:rStyle w:val="InternetLink"/>
                  <w:rFonts w:ascii="Times New Roman;Times;Serif" w:hAnsi="Times New Roman;Times;Serif"/>
                  <w:b w:val="false"/>
                  <w:i w:val="false"/>
                  <w:caps w:val="false"/>
                  <w:smallCaps w:val="false"/>
                  <w:sz w:val="20"/>
                </w:rPr>
                <w:t xml:space="preserve">Unaudited Consolidated Statements of Operations for the </w:t>
              </w:r>
            </w:hyperlink>
            <w:hyperlink w:anchor="hr_004">
              <w:r>
                <w:rPr>
                  <w:rStyle w:val="InternetLink"/>
                  <w:rFonts w:ascii="Times New Roman;Times;Serif" w:hAnsi="Times New Roman;Times;Serif"/>
                  <w:b w:val="false"/>
                  <w:i w:val="false"/>
                  <w:caps w:val="false"/>
                  <w:smallCaps w:val="false"/>
                  <w:sz w:val="20"/>
                  <w:u w:val="single"/>
                </w:rPr>
                <w:t xml:space="preserve">three and nine </w:t>
              </w:r>
            </w:hyperlink>
            <w:hyperlink w:anchor="hr_004">
              <w:r>
                <w:rPr>
                  <w:rStyle w:val="InternetLink"/>
                  <w:rFonts w:ascii="Times New Roman;Times;Serif" w:hAnsi="Times New Roman;Times;Serif"/>
                  <w:b w:val="false"/>
                  <w:i w:val="false"/>
                  <w:caps w:val="false"/>
                  <w:smallCaps w:val="false"/>
                  <w:sz w:val="20"/>
                </w:rPr>
                <w:t xml:space="preserve">months ended </w:t>
              </w:r>
            </w:hyperlink>
            <w:hyperlink w:anchor="hr_004">
              <w:r>
                <w:rPr>
                  <w:rStyle w:val="InternetLink"/>
                  <w:rFonts w:ascii="Times New Roman;Times;Serif" w:hAnsi="Times New Roman;Times;Serif"/>
                  <w:b w:val="false"/>
                  <w:i w:val="false"/>
                  <w:caps w:val="false"/>
                  <w:smallCaps w:val="false"/>
                  <w:sz w:val="20"/>
                  <w:u w:val="single"/>
                </w:rPr>
                <w:t>January 31, 2024</w:t>
              </w:r>
            </w:hyperlink>
            <w:hyperlink w:anchor="hr_004">
              <w:r>
                <w:rPr>
                  <w:rStyle w:val="InternetLink"/>
                  <w:rFonts w:ascii="Times New Roman;Times;Serif" w:hAnsi="Times New Roman;Times;Serif"/>
                  <w:b w:val="false"/>
                  <w:i w:val="false"/>
                  <w:caps w:val="false"/>
                  <w:smallCaps w:val="false"/>
                  <w:sz w:val="20"/>
                </w:rPr>
                <w:t xml:space="preserve"> and </w:t>
              </w:r>
            </w:hyperlink>
            <w:hyperlink w:anchor="hr_004">
              <w:r>
                <w:rPr>
                  <w:rStyle w:val="InternetLink"/>
                  <w:rFonts w:ascii="Times New Roman;Times;Serif" w:hAnsi="Times New Roman;Times;Serif"/>
                  <w:b w:val="false"/>
                  <w:i w:val="false"/>
                  <w:caps w:val="false"/>
                  <w:smallCaps w:val="false"/>
                  <w:sz w:val="20"/>
                  <w:u w:val="single"/>
                </w:rPr>
                <w:t>2023</w:t>
              </w:r>
            </w:hyperlink>
          </w:p>
        </w:tc>
        <w:tc>
          <w:tcPr>
            <w:tcW w:w="7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9480" w:type="dxa"/>
            <w:tcBorders/>
            <w:shd w:fill="CCEEFF" w:val="clear"/>
            <w:vAlign w:val="center"/>
          </w:tcPr>
          <w:p>
            <w:pPr>
              <w:pStyle w:val="TableContents"/>
              <w:bidi w:val="0"/>
              <w:spacing w:before="0" w:after="283"/>
              <w:jc w:val="left"/>
              <w:rPr/>
            </w:pPr>
            <w:hyperlink w:anchor="hr_005">
              <w:r>
                <w:rPr>
                  <w:rStyle w:val="InternetLink"/>
                  <w:rFonts w:ascii="Times New Roman;Times;Serif" w:hAnsi="Times New Roman;Times;Serif"/>
                  <w:b w:val="false"/>
                  <w:i w:val="false"/>
                  <w:caps w:val="false"/>
                  <w:smallCaps w:val="false"/>
                  <w:sz w:val="20"/>
                </w:rPr>
                <w:t xml:space="preserve">Unaudited Consolidated Statements of Comprehensive Loss for the </w:t>
              </w:r>
            </w:hyperlink>
            <w:hyperlink w:anchor="hr_005">
              <w:r>
                <w:rPr>
                  <w:rStyle w:val="InternetLink"/>
                  <w:rFonts w:ascii="Times New Roman;Times;Serif" w:hAnsi="Times New Roman;Times;Serif"/>
                  <w:b w:val="false"/>
                  <w:i w:val="false"/>
                  <w:caps w:val="false"/>
                  <w:smallCaps w:val="false"/>
                  <w:sz w:val="20"/>
                  <w:u w:val="single"/>
                </w:rPr>
                <w:t xml:space="preserve">three and nine </w:t>
              </w:r>
            </w:hyperlink>
            <w:hyperlink w:anchor="hr_005">
              <w:r>
                <w:rPr>
                  <w:rStyle w:val="InternetLink"/>
                  <w:rFonts w:ascii="Times New Roman;Times;Serif" w:hAnsi="Times New Roman;Times;Serif"/>
                  <w:b w:val="false"/>
                  <w:i w:val="false"/>
                  <w:caps w:val="false"/>
                  <w:smallCaps w:val="false"/>
                  <w:sz w:val="20"/>
                </w:rPr>
                <w:t xml:space="preserve">months ended </w:t>
              </w:r>
            </w:hyperlink>
            <w:hyperlink w:anchor="hr_005">
              <w:r>
                <w:rPr>
                  <w:rStyle w:val="InternetLink"/>
                  <w:rFonts w:ascii="Times New Roman;Times;Serif" w:hAnsi="Times New Roman;Times;Serif"/>
                  <w:b w:val="false"/>
                  <w:i w:val="false"/>
                  <w:caps w:val="false"/>
                  <w:smallCaps w:val="false"/>
                  <w:sz w:val="20"/>
                  <w:u w:val="single"/>
                </w:rPr>
                <w:t>January 31, 2024</w:t>
              </w:r>
            </w:hyperlink>
            <w:hyperlink w:anchor="hr_005">
              <w:r>
                <w:rPr>
                  <w:rStyle w:val="InternetLink"/>
                  <w:rFonts w:ascii="Times New Roman;Times;Serif" w:hAnsi="Times New Roman;Times;Serif"/>
                  <w:b w:val="false"/>
                  <w:i w:val="false"/>
                  <w:caps w:val="false"/>
                  <w:smallCaps w:val="false"/>
                  <w:sz w:val="20"/>
                </w:rPr>
                <w:t xml:space="preserve"> and </w:t>
              </w:r>
            </w:hyperlink>
            <w:hyperlink w:anchor="hr_005">
              <w:r>
                <w:rPr>
                  <w:rStyle w:val="InternetLink"/>
                  <w:rFonts w:ascii="Times New Roman;Times;Serif" w:hAnsi="Times New Roman;Times;Serif"/>
                  <w:b w:val="false"/>
                  <w:i w:val="false"/>
                  <w:caps w:val="false"/>
                  <w:smallCaps w:val="false"/>
                  <w:sz w:val="20"/>
                  <w:u w:val="single"/>
                </w:rPr>
                <w:t>2023</w:t>
              </w:r>
            </w:hyperlink>
          </w:p>
        </w:tc>
        <w:tc>
          <w:tcPr>
            <w:tcW w:w="7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9480" w:type="dxa"/>
            <w:tcBorders/>
            <w:shd w:fill="FFFFFF" w:val="clear"/>
            <w:vAlign w:val="center"/>
          </w:tcPr>
          <w:p>
            <w:pPr>
              <w:pStyle w:val="TableContents"/>
              <w:bidi w:val="0"/>
              <w:spacing w:before="0" w:after="283"/>
              <w:jc w:val="left"/>
              <w:rPr/>
            </w:pPr>
            <w:hyperlink w:anchor="hr_006">
              <w:r>
                <w:rPr>
                  <w:rStyle w:val="InternetLink"/>
                  <w:rFonts w:ascii="Times New Roman;Times;Serif" w:hAnsi="Times New Roman;Times;Serif"/>
                  <w:b w:val="false"/>
                  <w:i w:val="false"/>
                  <w:caps w:val="false"/>
                  <w:smallCaps w:val="false"/>
                  <w:sz w:val="20"/>
                </w:rPr>
                <w:t>Unaudited Consolidated Statement of Sh</w:t>
              </w:r>
            </w:hyperlink>
            <w:hyperlink w:anchor="hr_006">
              <w:r>
                <w:rPr>
                  <w:rStyle w:val="InternetLink"/>
                  <w:rFonts w:ascii="Times New Roman;Times;Serif" w:hAnsi="Times New Roman;Times;Serif"/>
                  <w:b w:val="false"/>
                  <w:i w:val="false"/>
                  <w:caps w:val="false"/>
                  <w:smallCaps w:val="false"/>
                  <w:sz w:val="20"/>
                  <w:u w:val="single"/>
                </w:rPr>
                <w:t>are</w:t>
              </w:r>
            </w:hyperlink>
            <w:hyperlink w:anchor="hr_006">
              <w:r>
                <w:rPr>
                  <w:rStyle w:val="InternetLink"/>
                  <w:rFonts w:ascii="Times New Roman;Times;Serif" w:hAnsi="Times New Roman;Times;Serif"/>
                  <w:b w:val="false"/>
                  <w:i w:val="false"/>
                  <w:caps w:val="false"/>
                  <w:smallCaps w:val="false"/>
                  <w:sz w:val="20"/>
                </w:rPr>
                <w:t xml:space="preserve">holders’ Equity for the </w:t>
              </w:r>
            </w:hyperlink>
            <w:hyperlink w:anchor="hr_006">
              <w:r>
                <w:rPr>
                  <w:rStyle w:val="InternetLink"/>
                  <w:rFonts w:ascii="Times New Roman;Times;Serif" w:hAnsi="Times New Roman;Times;Serif"/>
                  <w:b w:val="false"/>
                  <w:i w:val="false"/>
                  <w:caps w:val="false"/>
                  <w:smallCaps w:val="false"/>
                  <w:sz w:val="20"/>
                  <w:u w:val="single"/>
                </w:rPr>
                <w:t xml:space="preserve">three and nine </w:t>
              </w:r>
            </w:hyperlink>
            <w:hyperlink w:anchor="hr_006">
              <w:r>
                <w:rPr>
                  <w:rStyle w:val="InternetLink"/>
                  <w:rFonts w:ascii="Times New Roman;Times;Serif" w:hAnsi="Times New Roman;Times;Serif"/>
                  <w:b w:val="false"/>
                  <w:i w:val="false"/>
                  <w:caps w:val="false"/>
                  <w:smallCaps w:val="false"/>
                  <w:sz w:val="20"/>
                </w:rPr>
                <w:t xml:space="preserve">months ended </w:t>
              </w:r>
            </w:hyperlink>
            <w:hyperlink w:anchor="hr_006">
              <w:r>
                <w:rPr>
                  <w:rStyle w:val="InternetLink"/>
                  <w:rFonts w:ascii="Times New Roman;Times;Serif" w:hAnsi="Times New Roman;Times;Serif"/>
                  <w:b w:val="false"/>
                  <w:i w:val="false"/>
                  <w:caps w:val="false"/>
                  <w:smallCaps w:val="false"/>
                  <w:sz w:val="20"/>
                  <w:u w:val="single"/>
                </w:rPr>
                <w:t>January 31, 2024</w:t>
              </w:r>
            </w:hyperlink>
            <w:hyperlink w:anchor="hr_006">
              <w:r>
                <w:rPr>
                  <w:rStyle w:val="InternetLink"/>
                  <w:rFonts w:ascii="Times New Roman;Times;Serif" w:hAnsi="Times New Roman;Times;Serif"/>
                  <w:b w:val="false"/>
                  <w:i w:val="false"/>
                  <w:caps w:val="false"/>
                  <w:smallCaps w:val="false"/>
                  <w:sz w:val="20"/>
                </w:rPr>
                <w:t xml:space="preserve"> and </w:t>
              </w:r>
            </w:hyperlink>
            <w:hyperlink w:anchor="hr_006">
              <w:r>
                <w:rPr>
                  <w:rStyle w:val="InternetLink"/>
                  <w:rFonts w:ascii="Times New Roman;Times;Serif" w:hAnsi="Times New Roman;Times;Serif"/>
                  <w:b w:val="false"/>
                  <w:i w:val="false"/>
                  <w:caps w:val="false"/>
                  <w:smallCaps w:val="false"/>
                  <w:sz w:val="20"/>
                  <w:u w:val="single"/>
                </w:rPr>
                <w:t>2023</w:t>
              </w:r>
            </w:hyperlink>
          </w:p>
        </w:tc>
        <w:tc>
          <w:tcPr>
            <w:tcW w:w="7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9480" w:type="dxa"/>
            <w:tcBorders/>
            <w:shd w:fill="CCEEFF" w:val="clear"/>
            <w:vAlign w:val="center"/>
          </w:tcPr>
          <w:p>
            <w:pPr>
              <w:pStyle w:val="TableContents"/>
              <w:bidi w:val="0"/>
              <w:spacing w:before="0" w:after="283"/>
              <w:jc w:val="left"/>
              <w:rPr/>
            </w:pPr>
            <w:hyperlink w:anchor="hr_007">
              <w:r>
                <w:rPr>
                  <w:rStyle w:val="InternetLink"/>
                  <w:rFonts w:ascii="Times New Roman;Times;Serif" w:hAnsi="Times New Roman;Times;Serif"/>
                  <w:b w:val="false"/>
                  <w:i w:val="false"/>
                  <w:caps w:val="false"/>
                  <w:smallCaps w:val="false"/>
                  <w:sz w:val="20"/>
                </w:rPr>
                <w:t xml:space="preserve">Unaudited Consolidated Statements of Cash Flows for the </w:t>
              </w:r>
            </w:hyperlink>
            <w:hyperlink w:anchor="hr_007">
              <w:r>
                <w:rPr>
                  <w:rStyle w:val="InternetLink"/>
                  <w:rFonts w:ascii="Times New Roman;Times;Serif" w:hAnsi="Times New Roman;Times;Serif"/>
                  <w:b w:val="false"/>
                  <w:i w:val="false"/>
                  <w:caps w:val="false"/>
                  <w:smallCaps w:val="false"/>
                  <w:sz w:val="20"/>
                  <w:u w:val="single"/>
                </w:rPr>
                <w:t>nine</w:t>
              </w:r>
            </w:hyperlink>
            <w:hyperlink w:anchor="hr_007">
              <w:r>
                <w:rPr>
                  <w:rStyle w:val="InternetLink"/>
                  <w:rFonts w:ascii="Times New Roman;Times;Serif" w:hAnsi="Times New Roman;Times;Serif"/>
                  <w:b w:val="false"/>
                  <w:i w:val="false"/>
                  <w:caps w:val="false"/>
                  <w:smallCaps w:val="false"/>
                  <w:sz w:val="20"/>
                </w:rPr>
                <w:t xml:space="preserve"> months ended </w:t>
              </w:r>
            </w:hyperlink>
            <w:hyperlink w:anchor="hr_007">
              <w:r>
                <w:rPr>
                  <w:rStyle w:val="InternetLink"/>
                  <w:rFonts w:ascii="Times New Roman;Times;Serif" w:hAnsi="Times New Roman;Times;Serif"/>
                  <w:b w:val="false"/>
                  <w:i w:val="false"/>
                  <w:caps w:val="false"/>
                  <w:smallCaps w:val="false"/>
                  <w:sz w:val="20"/>
                  <w:u w:val="single"/>
                </w:rPr>
                <w:t>January 31, 2024</w:t>
              </w:r>
            </w:hyperlink>
            <w:hyperlink w:anchor="hr_007">
              <w:r>
                <w:rPr>
                  <w:rStyle w:val="InternetLink"/>
                  <w:rFonts w:ascii="Times New Roman;Times;Serif" w:hAnsi="Times New Roman;Times;Serif"/>
                  <w:b w:val="false"/>
                  <w:i w:val="false"/>
                  <w:caps w:val="false"/>
                  <w:smallCaps w:val="false"/>
                  <w:sz w:val="20"/>
                </w:rPr>
                <w:t xml:space="preserve"> and </w:t>
              </w:r>
            </w:hyperlink>
            <w:hyperlink w:anchor="hr_007">
              <w:r>
                <w:rPr>
                  <w:rStyle w:val="InternetLink"/>
                  <w:rFonts w:ascii="Times New Roman;Times;Serif" w:hAnsi="Times New Roman;Times;Serif"/>
                  <w:b w:val="false"/>
                  <w:i w:val="false"/>
                  <w:caps w:val="false"/>
                  <w:smallCaps w:val="false"/>
                  <w:sz w:val="20"/>
                  <w:u w:val="single"/>
                </w:rPr>
                <w:t>2023</w:t>
              </w:r>
            </w:hyperlink>
          </w:p>
        </w:tc>
        <w:tc>
          <w:tcPr>
            <w:tcW w:w="7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9480" w:type="dxa"/>
            <w:tcBorders/>
            <w:shd w:fill="FFFFFF" w:val="clear"/>
            <w:vAlign w:val="center"/>
          </w:tcPr>
          <w:p>
            <w:pPr>
              <w:pStyle w:val="TableContents"/>
              <w:bidi w:val="0"/>
              <w:spacing w:before="0" w:after="283"/>
              <w:jc w:val="left"/>
              <w:rPr/>
            </w:pPr>
            <w:hyperlink w:anchor="hr_008">
              <w:r>
                <w:rPr>
                  <w:rStyle w:val="InternetLink"/>
                  <w:rFonts w:ascii="Times New Roman;Times;Serif" w:hAnsi="Times New Roman;Times;Serif"/>
                  <w:b w:val="false"/>
                  <w:i w:val="false"/>
                  <w:caps w:val="false"/>
                  <w:smallCaps w:val="false"/>
                  <w:sz w:val="20"/>
                </w:rPr>
                <w:t>Notes to Unaudited Consolidated Financial Statements</w:t>
              </w:r>
            </w:hyperlink>
          </w:p>
        </w:tc>
        <w:tc>
          <w:tcPr>
            <w:tcW w:w="7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9480" w:type="dxa"/>
            <w:tcBorders/>
            <w:shd w:fill="CCEEFF" w:val="clear"/>
            <w:vAlign w:val="center"/>
          </w:tcPr>
          <w:p>
            <w:pPr>
              <w:pStyle w:val="TableContents"/>
              <w:bidi w:val="0"/>
              <w:spacing w:before="0" w:after="283"/>
              <w:jc w:val="left"/>
              <w:rPr/>
            </w:pPr>
            <w:hyperlink w:anchor="K_001">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7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9480" w:type="dxa"/>
            <w:tcBorders/>
            <w:shd w:fill="FFFFFF" w:val="clear"/>
            <w:vAlign w:val="center"/>
          </w:tcPr>
          <w:p>
            <w:pPr>
              <w:pStyle w:val="TableContents"/>
              <w:bidi w:val="0"/>
              <w:spacing w:before="0" w:after="283"/>
              <w:jc w:val="left"/>
              <w:rPr/>
            </w:pPr>
            <w:hyperlink w:anchor="K_002">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7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9480" w:type="dxa"/>
            <w:tcBorders/>
            <w:shd w:fill="CCEEFF" w:val="clear"/>
            <w:vAlign w:val="center"/>
          </w:tcPr>
          <w:p>
            <w:pPr>
              <w:pStyle w:val="TableContents"/>
              <w:bidi w:val="0"/>
              <w:spacing w:before="0" w:after="283"/>
              <w:jc w:val="left"/>
              <w:rPr/>
            </w:pPr>
            <w:hyperlink w:anchor="K_003">
              <w:r>
                <w:rPr>
                  <w:rStyle w:val="InternetLink"/>
                  <w:rFonts w:ascii="Times New Roman;Times;Serif" w:hAnsi="Times New Roman;Times;Serif"/>
                  <w:b w:val="false"/>
                  <w:i w:val="false"/>
                  <w:caps w:val="false"/>
                  <w:smallCaps w:val="false"/>
                  <w:sz w:val="20"/>
                </w:rPr>
                <w:t>Item 4. Controls and Procedures</w:t>
              </w:r>
            </w:hyperlink>
          </w:p>
        </w:tc>
        <w:tc>
          <w:tcPr>
            <w:tcW w:w="7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9480" w:type="dxa"/>
            <w:tcBorders/>
            <w:shd w:fill="FFFFFF" w:val="clear"/>
            <w:vAlign w:val="center"/>
          </w:tcPr>
          <w:p>
            <w:pPr>
              <w:pStyle w:val="TableContents"/>
              <w:bidi w:val="0"/>
              <w:spacing w:before="0" w:after="283"/>
              <w:jc w:val="left"/>
              <w:rPr/>
            </w:pPr>
            <w:hyperlink w:anchor="K_004">
              <w:r>
                <w:rPr>
                  <w:rStyle w:val="InternetLink"/>
                  <w:rFonts w:ascii="Times New Roman;Times;Serif" w:hAnsi="Times New Roman;Times;Serif"/>
                  <w:b/>
                  <w:i w:val="false"/>
                  <w:caps w:val="false"/>
                  <w:smallCaps w:val="false"/>
                  <w:sz w:val="20"/>
                </w:rPr>
                <w:t>PART II — OTHER INFORMATION</w:t>
              </w:r>
            </w:hyperlink>
          </w:p>
        </w:tc>
        <w:tc>
          <w:tcPr>
            <w:tcW w:w="7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9480" w:type="dxa"/>
            <w:tcBorders/>
            <w:shd w:fill="CCEEFF" w:val="clear"/>
            <w:vAlign w:val="center"/>
          </w:tcPr>
          <w:p>
            <w:pPr>
              <w:pStyle w:val="TableContents"/>
              <w:bidi w:val="0"/>
              <w:spacing w:before="0" w:after="283"/>
              <w:jc w:val="left"/>
              <w:rPr/>
            </w:pPr>
            <w:hyperlink w:anchor="K_005">
              <w:r>
                <w:rPr>
                  <w:rStyle w:val="InternetLink"/>
                  <w:rFonts w:ascii="Times New Roman;Times;Serif" w:hAnsi="Times New Roman;Times;Serif"/>
                  <w:b w:val="false"/>
                  <w:i w:val="false"/>
                  <w:caps w:val="false"/>
                  <w:smallCaps w:val="false"/>
                  <w:sz w:val="20"/>
                </w:rPr>
                <w:t>Item 1. Legal Proceedings</w:t>
              </w:r>
            </w:hyperlink>
          </w:p>
        </w:tc>
        <w:tc>
          <w:tcPr>
            <w:tcW w:w="7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9480" w:type="dxa"/>
            <w:tcBorders/>
            <w:shd w:fill="FFFFFF" w:val="clear"/>
            <w:vAlign w:val="center"/>
          </w:tcPr>
          <w:p>
            <w:pPr>
              <w:pStyle w:val="TableContents"/>
              <w:bidi w:val="0"/>
              <w:spacing w:before="0" w:after="283"/>
              <w:jc w:val="left"/>
              <w:rPr/>
            </w:pPr>
            <w:hyperlink w:anchor="K_006">
              <w:r>
                <w:rPr>
                  <w:rStyle w:val="InternetLink"/>
                  <w:rFonts w:ascii="Times New Roman;Times;Serif" w:hAnsi="Times New Roman;Times;Serif"/>
                  <w:b w:val="false"/>
                  <w:i w:val="false"/>
                  <w:caps w:val="false"/>
                  <w:smallCaps w:val="false"/>
                  <w:sz w:val="20"/>
                </w:rPr>
                <w:t>Item 1A. Risk Factors</w:t>
              </w:r>
            </w:hyperlink>
          </w:p>
        </w:tc>
        <w:tc>
          <w:tcPr>
            <w:tcW w:w="7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9480" w:type="dxa"/>
            <w:tcBorders/>
            <w:shd w:fill="CCEEFF" w:val="clear"/>
            <w:vAlign w:val="center"/>
          </w:tcPr>
          <w:p>
            <w:pPr>
              <w:pStyle w:val="TableContents"/>
              <w:bidi w:val="0"/>
              <w:spacing w:before="0" w:after="283"/>
              <w:jc w:val="left"/>
              <w:rPr/>
            </w:pPr>
            <w:hyperlink w:anchor="K_007">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7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9480" w:type="dxa"/>
            <w:tcBorders/>
            <w:shd w:fill="FFFFFF" w:val="clear"/>
            <w:vAlign w:val="center"/>
          </w:tcPr>
          <w:p>
            <w:pPr>
              <w:pStyle w:val="TableContents"/>
              <w:bidi w:val="0"/>
              <w:spacing w:before="0" w:after="283"/>
              <w:jc w:val="left"/>
              <w:rPr/>
            </w:pPr>
            <w:hyperlink w:anchor="K_008">
              <w:r>
                <w:rPr>
                  <w:rStyle w:val="InternetLink"/>
                  <w:rFonts w:ascii="Times New Roman;Times;Serif" w:hAnsi="Times New Roman;Times;Serif"/>
                  <w:b w:val="false"/>
                  <w:i w:val="false"/>
                  <w:caps w:val="false"/>
                  <w:smallCaps w:val="false"/>
                  <w:sz w:val="20"/>
                </w:rPr>
                <w:t>Item 3. Defaults Upon Senior Securities</w:t>
              </w:r>
            </w:hyperlink>
          </w:p>
        </w:tc>
        <w:tc>
          <w:tcPr>
            <w:tcW w:w="7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9480" w:type="dxa"/>
            <w:tcBorders/>
            <w:shd w:fill="CCEEFF" w:val="clear"/>
            <w:vAlign w:val="center"/>
          </w:tcPr>
          <w:p>
            <w:pPr>
              <w:pStyle w:val="TableContents"/>
              <w:bidi w:val="0"/>
              <w:spacing w:before="0" w:after="283"/>
              <w:jc w:val="left"/>
              <w:rPr/>
            </w:pPr>
            <w:hyperlink w:anchor="K_009">
              <w:r>
                <w:rPr>
                  <w:rStyle w:val="InternetLink"/>
                  <w:rFonts w:ascii="Times New Roman;Times;Serif" w:hAnsi="Times New Roman;Times;Serif"/>
                  <w:b w:val="false"/>
                  <w:i w:val="false"/>
                  <w:caps w:val="false"/>
                  <w:smallCaps w:val="false"/>
                  <w:sz w:val="20"/>
                </w:rPr>
                <w:t>Item 4. Mine Safety Disclosures</w:t>
              </w:r>
            </w:hyperlink>
          </w:p>
        </w:tc>
        <w:tc>
          <w:tcPr>
            <w:tcW w:w="7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9480" w:type="dxa"/>
            <w:tcBorders/>
            <w:shd w:fill="FFFFFF" w:val="clear"/>
            <w:vAlign w:val="center"/>
          </w:tcPr>
          <w:p>
            <w:pPr>
              <w:pStyle w:val="TableContents"/>
              <w:bidi w:val="0"/>
              <w:spacing w:before="0" w:after="283"/>
              <w:jc w:val="left"/>
              <w:rPr/>
            </w:pPr>
            <w:hyperlink w:anchor="K_010">
              <w:r>
                <w:rPr>
                  <w:rStyle w:val="InternetLink"/>
                  <w:rFonts w:ascii="Times New Roman;Times;Serif" w:hAnsi="Times New Roman;Times;Serif"/>
                  <w:b w:val="false"/>
                  <w:i w:val="false"/>
                  <w:caps w:val="false"/>
                  <w:smallCaps w:val="false"/>
                  <w:sz w:val="20"/>
                </w:rPr>
                <w:t>Item 5. Other Information</w:t>
              </w:r>
            </w:hyperlink>
          </w:p>
        </w:tc>
        <w:tc>
          <w:tcPr>
            <w:tcW w:w="7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9480" w:type="dxa"/>
            <w:tcBorders/>
            <w:shd w:fill="CCEEFF" w:val="clear"/>
            <w:vAlign w:val="center"/>
          </w:tcPr>
          <w:p>
            <w:pPr>
              <w:pStyle w:val="TableContents"/>
              <w:bidi w:val="0"/>
              <w:spacing w:before="0" w:after="283"/>
              <w:jc w:val="left"/>
              <w:rPr/>
            </w:pPr>
            <w:hyperlink w:anchor="K_011">
              <w:r>
                <w:rPr>
                  <w:rStyle w:val="InternetLink"/>
                  <w:rFonts w:ascii="Times New Roman;Times;Serif" w:hAnsi="Times New Roman;Times;Serif"/>
                  <w:b w:val="false"/>
                  <w:i w:val="false"/>
                  <w:caps w:val="false"/>
                  <w:smallCaps w:val="false"/>
                  <w:sz w:val="20"/>
                </w:rPr>
                <w:t>Item 6. Exhibits</w:t>
              </w:r>
            </w:hyperlink>
          </w:p>
        </w:tc>
        <w:tc>
          <w:tcPr>
            <w:tcW w:w="7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made statements in this Quarterly Report on Form 10-Q that are forward-looking statements within the meaning of the Private Securities Litigation Reform Act of 1995. Forward-looking statements convey our current expectations or forecasts of future events. Forward-looking statements include statements regarding our future financial position, business strategy, pending, threatened, and current litigation, liquidity, budgets, projected revenue and costs, plans and objectives of management for future operations. The words “may,” “continue,” “estimate,” “intend,” “plan,” “will,” “believe,” “project,” “expect,” “anticipate”, and similar expressions may identify forward-looking statements, but the absence of these words does not necessarily mean that a statement is not forward-looking.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in or incorporated by reference are largely based on our expectations, which reflect estimates and assumptions made by management. These estimates and assumptions reflect our best judgment based on currently known market conditions and other factors. Although we believe such estimates and assumptions to be reasonable, they are inherently uncertain and involve several risks and uncertainties that are beyond our control,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develop, market and commercialize our products, and achieve and sustain profitability;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continued development of our proprietary technologies, and expected continued use of cash from operating activities unless or until we achieve positive cash flow from the commercialization of our products and services;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obtain additional funding, as and if needed, which will be subject to several factors, including market conditions, and our operating performance;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history of operating losses, which we expect to continue for at least the short term and possibly longer;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challenges and expenses associated with communications and disputes with activist shareholders, including litigation;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manage and mitigate risks associated with our internal cyber security protocols and protection of the data we collect and distribute;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protect our intellectual property portfolio;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inflation related to the U.S. dollar on our business, operations, customers, suppliers, manufacturers, and personnel;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meet product development, manufacturing and customer delivery deadlines and the potential impact due to disruptions to our supply chain or our ability to identify vendors that can assist with the prefabrication elements of our products, as a result of, among other things, staff shortages, order delays, and increased pricing from vendors and manufacturers;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estimates regarding future expenses, revenues, and capital requirements;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identify and penetrate markets for our products, services, and solutions;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effectively respond to competition in our targeted markets;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relationships with our existing and future strategic partners which may not be successful;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the listing of our common stock on the NYSE American;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reliability of our technology, products and solutions;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increase or more efficiently utilize the synergies available from our product lines: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current legislation, regulations and economic conditions that affect the demand for, or restrict the use of our products;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risks related to the actions of Paragon Technologies, Inc. in connection with its ongoing proxy contest against us and the related litigation brought against us, including the amount of related costs incurred by us and the disruption caused to our business activities by these actions;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expand markets across geographic boundaries;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be successful with Federal government work which is complex due to various statutes and regulations applicable to doing business with the Federal government;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be successful doing business internationally which requires strict compliance with applicable import, export, ITAR, anti-bribery and related statutes and regulations;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geopolitical world uncertainty, including Russia’s invasion of Ukraine, the Israel/Palestine conflict and recent attacks on merchant ships in the Red Sea;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hire and retain key personnel, including senior management, to achieve our business objectives;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and maintain commercial profit margins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or all of our forward-looking statements in this report may turn out to be inaccurate. We have based these forward-looking statements largely on our current expectations and projections about future events and financial trends that we believe may affect our financial condition, results of operations, business strategy and financial needs. They may be affected by inaccurate assumptions we might make or unknown risks and uncertainties, including the risks, uncertainties and assumptions described in Item 1A “Risk Factors” of our Annual Report on Form 10-K for the year ended April 30, 2023, and in our subsequent reports under the Exchange Act. In light of these risks, uncertainties and assumptions, the forward-looking events and circumstances discussed in this report may not occur as contemplated and actual results could differ materially from those anticipated or implied by the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these factors are beyond our ability to control or predict. These factors are not intended to represent a complete list of the general or specific factors that may affect us. You should not unduly rely on these forward-looking statements, which speak only as of the date of this filing. Unless required by law, we undertake no obligation to publicly update or revise any forward-looking statements to reflect new information or future events or otherwise.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 w:name="hr_001"/>
      <w:bookmarkEnd w:id="32"/>
      <w:r>
        <w:rPr>
          <w:rFonts w:ascii="Times New Roman;Times;Serif" w:hAnsi="Times New Roman;Times;Serif"/>
          <w:b/>
          <w:i w:val="false"/>
          <w:caps w:val="false"/>
          <w:smallCaps w:val="false"/>
          <w:sz w:val="20"/>
        </w:rPr>
        <w:t>PART I — 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3" w:name="hr_002"/>
      <w:bookmarkEnd w:id="33"/>
      <w:r>
        <w:rPr>
          <w:rFonts w:ascii="Times New Roman;Times;Serif" w:hAnsi="Times New Roman;Times;Serif"/>
          <w:b/>
          <w:i w:val="false"/>
          <w:caps w:val="false"/>
          <w:smallCaps w:val="false"/>
          <w:sz w:val="20"/>
        </w:rPr>
        <w:t>Item 1.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4" w:name="hr_003"/>
      <w:bookmarkEnd w:id="34"/>
      <w:r>
        <w:rPr>
          <w:rFonts w:ascii="Times New Roman;Times;Serif" w:hAnsi="Times New Roman;Times;Serif"/>
          <w:b/>
          <w:i w:val="false"/>
          <w:caps w:val="false"/>
          <w:smallCaps w:val="false"/>
          <w:sz w:val="20"/>
        </w:rPr>
        <w:t>Ocean Power Technologies,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$000’s, except share data)</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5" w:name="xdx_309_111_pn3n3_zkPskxRCVGFl"/>
      <w:bookmarkStart w:id="36" w:name="xdx_309_111_pn3n3_zkPskxRCVGFl"/>
      <w:bookmarkEnd w:id="36"/>
    </w:p>
    <w:tbl>
      <w:tblPr>
        <w:tblW w:w="10205" w:type="dxa"/>
        <w:jc w:val="left"/>
        <w:tblInd w:w="0" w:type="dxa"/>
        <w:tblLayout w:type="fixed"/>
        <w:tblCellMar>
          <w:top w:w="0" w:type="dxa"/>
          <w:left w:w="0" w:type="dxa"/>
          <w:bottom w:w="0" w:type="dxa"/>
          <w:right w:w="0" w:type="dxa"/>
        </w:tblCellMar>
      </w:tblPr>
      <w:tblGrid>
        <w:gridCol w:w="7412"/>
        <w:gridCol w:w="60"/>
        <w:gridCol w:w="221"/>
        <w:gridCol w:w="1087"/>
        <w:gridCol w:w="95"/>
        <w:gridCol w:w="60"/>
        <w:gridCol w:w="159"/>
        <w:gridCol w:w="999"/>
        <w:gridCol w:w="112"/>
      </w:tblGrid>
      <w:tr>
        <w:trPr/>
        <w:tc>
          <w:tcPr>
            <w:tcW w:w="741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7" w:name="xdx_492_20240131_zKlrBl5s0soj"/>
            <w:bookmarkEnd w:id="37"/>
          </w:p>
        </w:tc>
        <w:tc>
          <w:tcPr>
            <w:tcW w:w="130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January 31, 2024</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8" w:name="xdx_494_20230430_zzxJ0NUVhQEh"/>
            <w:bookmarkEnd w:id="38"/>
          </w:p>
        </w:tc>
        <w:tc>
          <w:tcPr>
            <w:tcW w:w="115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April 30, 2023</w:t>
            </w:r>
          </w:p>
        </w:tc>
        <w:tc>
          <w:tcPr>
            <w:tcW w:w="112" w:type="dxa"/>
            <w:tcBorders/>
            <w:vAlign w:val="center"/>
          </w:tcPr>
          <w:p>
            <w:pPr>
              <w:pStyle w:val="TableContents"/>
              <w:bidi w:val="0"/>
              <w:spacing w:before="0" w:after="283"/>
              <w:jc w:val="center"/>
              <w:rPr/>
            </w:pPr>
            <w:r>
              <w:rPr/>
              <w:t> </w:t>
            </w:r>
          </w:p>
        </w:tc>
      </w:tr>
      <w:tr>
        <w:trPr/>
        <w:tc>
          <w:tcPr>
            <w:tcW w:w="741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08" w:type="dxa"/>
            <w:gridSpan w:val="2"/>
            <w:tcBorders/>
            <w:vAlign w:val="center"/>
          </w:tcPr>
          <w:p>
            <w:pPr>
              <w:pStyle w:val="TableContents"/>
              <w:bidi w:val="0"/>
              <w:spacing w:before="0" w:after="283"/>
              <w:jc w:val="center"/>
              <w:rPr/>
            </w:pPr>
            <w:r>
              <w:rPr/>
              <w:t>(Unaudited)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58" w:type="dxa"/>
            <w:gridSpan w:val="2"/>
            <w:tcBorders/>
            <w:vAlign w:val="center"/>
          </w:tcPr>
          <w:p>
            <w:pPr>
              <w:pStyle w:val="TableContents"/>
              <w:bidi w:val="0"/>
              <w:spacing w:before="0" w:after="283"/>
              <w:jc w:val="center"/>
              <w:rPr/>
            </w:pPr>
            <w:r>
              <w:rPr/>
              <w:t> </w:t>
            </w:r>
          </w:p>
        </w:tc>
        <w:tc>
          <w:tcPr>
            <w:tcW w:w="112" w:type="dxa"/>
            <w:tcBorders/>
            <w:vAlign w:val="center"/>
          </w:tcPr>
          <w:p>
            <w:pPr>
              <w:pStyle w:val="TableContents"/>
              <w:bidi w:val="0"/>
              <w:spacing w:before="0" w:after="283"/>
              <w:jc w:val="center"/>
              <w:rPr/>
            </w:pPr>
            <w:r>
              <w:rPr/>
              <w:t> </w:t>
            </w:r>
            <w:bookmarkStart w:id="39" w:name="xdx_408_eus-gaap--AssetsAbstract_iB_z2Lv"/>
            <w:bookmarkEnd w:id="39"/>
          </w:p>
        </w:tc>
      </w:tr>
      <w:tr>
        <w:trPr/>
        <w:tc>
          <w:tcPr>
            <w:tcW w:w="7412" w:type="dxa"/>
            <w:tcBorders/>
            <w:shd w:fill="CCEEFF" w:val="clear"/>
            <w:vAlign w:val="center"/>
          </w:tcPr>
          <w:p>
            <w:pPr>
              <w:pStyle w:val="TableContents"/>
              <w:bidi w:val="0"/>
              <w:spacing w:before="0" w:after="283"/>
              <w:jc w:val="center"/>
              <w:rPr/>
            </w:pPr>
            <w:r>
              <w:rPr/>
              <w:t>ASSETS</w:t>
            </w:r>
          </w:p>
        </w:tc>
        <w:tc>
          <w:tcPr>
            <w:tcW w:w="60" w:type="dxa"/>
            <w:tcBorders/>
            <w:shd w:fill="CCEEFF" w:val="clear"/>
            <w:vAlign w:val="center"/>
          </w:tcPr>
          <w:p>
            <w:pPr>
              <w:pStyle w:val="TableContents"/>
              <w:bidi w:val="0"/>
              <w:spacing w:before="0" w:after="283"/>
              <w:jc w:val="left"/>
              <w:rPr/>
            </w:pPr>
            <w:r>
              <w:rPr/>
              <w:t> </w:t>
            </w:r>
          </w:p>
        </w:tc>
        <w:tc>
          <w:tcPr>
            <w:tcW w:w="1308"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8" w:type="dxa"/>
            <w:gridSpan w:val="2"/>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bookmarkStart w:id="40" w:name="xdx_402_eus-gaap--AssetsCurrentAbstract_"/>
            <w:bookmarkEnd w:id="40"/>
          </w:p>
        </w:tc>
      </w:tr>
      <w:tr>
        <w:trPr/>
        <w:tc>
          <w:tcPr>
            <w:tcW w:w="7412"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41" w:name="xdx_406_eus-gaap--CashAndCashEquivalents"/>
            <w:bookmarkEnd w:id="41"/>
          </w:p>
        </w:tc>
      </w:tr>
      <w:tr>
        <w:trPr/>
        <w:tc>
          <w:tcPr>
            <w:tcW w:w="7412"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087" w:type="dxa"/>
            <w:tcBorders/>
            <w:shd w:fill="CCEEFF" w:val="clear"/>
            <w:vAlign w:val="center"/>
          </w:tcPr>
          <w:p>
            <w:pPr>
              <w:pStyle w:val="TableContents"/>
              <w:bidi w:val="0"/>
              <w:spacing w:before="0" w:after="283"/>
              <w:jc w:val="right"/>
              <w:rPr/>
            </w:pPr>
            <w:r>
              <w:rPr/>
              <w:t>4,720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999" w:type="dxa"/>
            <w:tcBorders/>
            <w:shd w:fill="CCEEFF" w:val="clear"/>
            <w:vAlign w:val="center"/>
          </w:tcPr>
          <w:p>
            <w:pPr>
              <w:pStyle w:val="TableContents"/>
              <w:bidi w:val="0"/>
              <w:spacing w:before="0" w:after="283"/>
              <w:jc w:val="right"/>
              <w:rPr/>
            </w:pPr>
            <w:r>
              <w:rPr/>
              <w:t>6,883</w:t>
            </w:r>
          </w:p>
        </w:tc>
        <w:tc>
          <w:tcPr>
            <w:tcW w:w="112" w:type="dxa"/>
            <w:tcBorders/>
            <w:shd w:fill="CCEEFF" w:val="clear"/>
            <w:vAlign w:val="center"/>
          </w:tcPr>
          <w:p>
            <w:pPr>
              <w:pStyle w:val="TableContents"/>
              <w:bidi w:val="0"/>
              <w:spacing w:before="0" w:after="283"/>
              <w:jc w:val="left"/>
              <w:rPr/>
            </w:pPr>
            <w:r>
              <w:rPr/>
              <w:t> </w:t>
            </w:r>
            <w:bookmarkStart w:id="42" w:name="xdx_40B_eus-gaap--ShortTermInvestments_i"/>
            <w:bookmarkEnd w:id="42"/>
          </w:p>
        </w:tc>
      </w:tr>
      <w:tr>
        <w:trPr/>
        <w:tc>
          <w:tcPr>
            <w:tcW w:w="7412" w:type="dxa"/>
            <w:tcBorders/>
            <w:shd w:fill="FFFFFF" w:val="clear"/>
            <w:vAlign w:val="center"/>
          </w:tcPr>
          <w:p>
            <w:pPr>
              <w:pStyle w:val="TableContents"/>
              <w:bidi w:val="0"/>
              <w:spacing w:before="0" w:after="283"/>
              <w:jc w:val="left"/>
              <w:rPr/>
            </w:pPr>
            <w:r>
              <w:rPr/>
              <w:t>Short term investments</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pPr>
            <w:r>
              <w:rPr/>
              <w:t>4,377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27,790</w:t>
            </w:r>
          </w:p>
        </w:tc>
        <w:tc>
          <w:tcPr>
            <w:tcW w:w="112" w:type="dxa"/>
            <w:tcBorders/>
            <w:shd w:fill="FFFFFF" w:val="clear"/>
            <w:vAlign w:val="center"/>
          </w:tcPr>
          <w:p>
            <w:pPr>
              <w:pStyle w:val="TableContents"/>
              <w:bidi w:val="0"/>
              <w:spacing w:before="0" w:after="283"/>
              <w:jc w:val="left"/>
              <w:rPr/>
            </w:pPr>
            <w:r>
              <w:rPr/>
              <w:t> </w:t>
            </w:r>
            <w:bookmarkStart w:id="43" w:name="xdx_40D_eus-gaap--RestrictedCashCurrent_"/>
            <w:bookmarkEnd w:id="43"/>
          </w:p>
        </w:tc>
      </w:tr>
      <w:tr>
        <w:trPr/>
        <w:tc>
          <w:tcPr>
            <w:tcW w:w="7412" w:type="dxa"/>
            <w:tcBorders/>
            <w:shd w:fill="CCEEFF" w:val="clear"/>
            <w:vAlign w:val="center"/>
          </w:tcPr>
          <w:p>
            <w:pPr>
              <w:pStyle w:val="TableContents"/>
              <w:bidi w:val="0"/>
              <w:spacing w:before="0" w:after="283"/>
              <w:jc w:val="left"/>
              <w:rPr/>
            </w:pPr>
            <w:r>
              <w:rPr/>
              <w:t>Restricted cash, short-term</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154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65</w:t>
            </w:r>
          </w:p>
        </w:tc>
        <w:tc>
          <w:tcPr>
            <w:tcW w:w="112" w:type="dxa"/>
            <w:tcBorders/>
            <w:shd w:fill="CCEEFF" w:val="clear"/>
            <w:vAlign w:val="center"/>
          </w:tcPr>
          <w:p>
            <w:pPr>
              <w:pStyle w:val="TableContents"/>
              <w:bidi w:val="0"/>
              <w:spacing w:before="0" w:after="283"/>
              <w:jc w:val="left"/>
              <w:rPr/>
            </w:pPr>
            <w:r>
              <w:rPr/>
              <w:t> </w:t>
            </w:r>
            <w:bookmarkStart w:id="44" w:name="xdx_40F_eus-gaap--AccountsReceivableNetC"/>
            <w:bookmarkEnd w:id="44"/>
          </w:p>
        </w:tc>
      </w:tr>
      <w:tr>
        <w:trPr/>
        <w:tc>
          <w:tcPr>
            <w:tcW w:w="7412"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pPr>
            <w:r>
              <w:rPr/>
              <w:t>625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745</w:t>
            </w:r>
          </w:p>
        </w:tc>
        <w:tc>
          <w:tcPr>
            <w:tcW w:w="112" w:type="dxa"/>
            <w:tcBorders/>
            <w:shd w:fill="FFFFFF" w:val="clear"/>
            <w:vAlign w:val="center"/>
          </w:tcPr>
          <w:p>
            <w:pPr>
              <w:pStyle w:val="TableContents"/>
              <w:bidi w:val="0"/>
              <w:spacing w:before="0" w:after="283"/>
              <w:jc w:val="left"/>
              <w:rPr/>
            </w:pPr>
            <w:r>
              <w:rPr/>
              <w:t> </w:t>
            </w:r>
            <w:bookmarkStart w:id="45" w:name="xdx_40D_eus-gaap--ContractWithCustomerAs"/>
            <w:bookmarkEnd w:id="45"/>
          </w:p>
        </w:tc>
      </w:tr>
      <w:tr>
        <w:trPr/>
        <w:tc>
          <w:tcPr>
            <w:tcW w:w="7412" w:type="dxa"/>
            <w:tcBorders/>
            <w:shd w:fill="CCEEFF" w:val="clear"/>
            <w:vAlign w:val="center"/>
          </w:tcPr>
          <w:p>
            <w:pPr>
              <w:pStyle w:val="TableContents"/>
              <w:bidi w:val="0"/>
              <w:spacing w:before="0" w:after="283"/>
              <w:jc w:val="left"/>
              <w:rPr/>
            </w:pPr>
            <w:r>
              <w:rPr/>
              <w:t>Contract assets</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281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152</w:t>
            </w:r>
          </w:p>
        </w:tc>
        <w:tc>
          <w:tcPr>
            <w:tcW w:w="112" w:type="dxa"/>
            <w:tcBorders/>
            <w:shd w:fill="CCEEFF" w:val="clear"/>
            <w:vAlign w:val="center"/>
          </w:tcPr>
          <w:p>
            <w:pPr>
              <w:pStyle w:val="TableContents"/>
              <w:bidi w:val="0"/>
              <w:spacing w:before="0" w:after="283"/>
              <w:jc w:val="left"/>
              <w:rPr/>
            </w:pPr>
            <w:r>
              <w:rPr/>
              <w:t> </w:t>
            </w:r>
            <w:bookmarkStart w:id="46" w:name="xdx_400_eus-gaap--InventoryNet_i02I_maCz"/>
            <w:bookmarkEnd w:id="46"/>
          </w:p>
        </w:tc>
      </w:tr>
      <w:tr>
        <w:trPr/>
        <w:tc>
          <w:tcPr>
            <w:tcW w:w="7412"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pPr>
            <w:r>
              <w:rPr/>
              <w:t>3,460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1,044</w:t>
            </w:r>
          </w:p>
        </w:tc>
        <w:tc>
          <w:tcPr>
            <w:tcW w:w="112" w:type="dxa"/>
            <w:tcBorders/>
            <w:shd w:fill="FFFFFF" w:val="clear"/>
            <w:vAlign w:val="center"/>
          </w:tcPr>
          <w:p>
            <w:pPr>
              <w:pStyle w:val="TableContents"/>
              <w:bidi w:val="0"/>
              <w:spacing w:before="0" w:after="283"/>
              <w:jc w:val="left"/>
              <w:rPr/>
            </w:pPr>
            <w:r>
              <w:rPr/>
              <w:t> </w:t>
            </w:r>
            <w:bookmarkStart w:id="47" w:name="xdx_402_eus-gaap--OtherAssetsCurrent_i02"/>
            <w:bookmarkEnd w:id="47"/>
          </w:p>
        </w:tc>
      </w:tr>
      <w:tr>
        <w:trPr/>
        <w:tc>
          <w:tcPr>
            <w:tcW w:w="7412" w:type="dxa"/>
            <w:tcBorders/>
            <w:shd w:fill="CCEEFF" w:val="clear"/>
            <w:vAlign w:val="center"/>
          </w:tcPr>
          <w:p>
            <w:pPr>
              <w:pStyle w:val="TableContents"/>
              <w:bidi w:val="0"/>
              <w:spacing w:before="0" w:after="283"/>
              <w:jc w:val="left"/>
              <w:rPr/>
            </w:pPr>
            <w:r>
              <w:rPr/>
              <w:t>Other current assets</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7" w:type="dxa"/>
            <w:tcBorders>
              <w:bottom w:val="single" w:sz="12" w:space="0" w:color="000000"/>
            </w:tcBorders>
            <w:shd w:fill="CCEEFF" w:val="clear"/>
            <w:tcMar>
              <w:bottom w:w="28" w:type="dxa"/>
            </w:tcMar>
            <w:vAlign w:val="center"/>
          </w:tcPr>
          <w:p>
            <w:pPr>
              <w:pStyle w:val="TableContents"/>
              <w:bidi w:val="0"/>
              <w:spacing w:before="0" w:after="283"/>
              <w:jc w:val="right"/>
              <w:rPr/>
            </w:pPr>
            <w:r>
              <w:rPr/>
              <w:t>3,927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9" w:type="dxa"/>
            <w:tcBorders>
              <w:bottom w:val="single" w:sz="12" w:space="0" w:color="000000"/>
            </w:tcBorders>
            <w:shd w:fill="CCEEFF" w:val="clear"/>
            <w:tcMar>
              <w:bottom w:w="28" w:type="dxa"/>
            </w:tcMar>
            <w:vAlign w:val="center"/>
          </w:tcPr>
          <w:p>
            <w:pPr>
              <w:pStyle w:val="TableContents"/>
              <w:bidi w:val="0"/>
              <w:spacing w:before="0" w:after="283"/>
              <w:jc w:val="right"/>
              <w:rPr/>
            </w:pPr>
            <w:r>
              <w:rPr/>
              <w:t>994</w:t>
            </w:r>
          </w:p>
        </w:tc>
        <w:tc>
          <w:tcPr>
            <w:tcW w:w="112" w:type="dxa"/>
            <w:tcBorders/>
            <w:shd w:fill="CCEEFF" w:val="clear"/>
            <w:vAlign w:val="center"/>
          </w:tcPr>
          <w:p>
            <w:pPr>
              <w:pStyle w:val="TableContents"/>
              <w:bidi w:val="0"/>
              <w:spacing w:before="0" w:after="283"/>
              <w:jc w:val="left"/>
              <w:rPr/>
            </w:pPr>
            <w:r>
              <w:rPr/>
              <w:t> </w:t>
            </w:r>
            <w:bookmarkStart w:id="48" w:name="xdx_40C_eus-gaap--AssetsCurrent_i02TI_mt"/>
            <w:bookmarkEnd w:id="48"/>
          </w:p>
        </w:tc>
      </w:tr>
      <w:tr>
        <w:trPr/>
        <w:tc>
          <w:tcPr>
            <w:tcW w:w="7412"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pPr>
            <w:r>
              <w:rPr/>
              <w:t>17,544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37,673</w:t>
            </w:r>
          </w:p>
        </w:tc>
        <w:tc>
          <w:tcPr>
            <w:tcW w:w="112" w:type="dxa"/>
            <w:tcBorders/>
            <w:shd w:fill="FFFFFF" w:val="clear"/>
            <w:vAlign w:val="center"/>
          </w:tcPr>
          <w:p>
            <w:pPr>
              <w:pStyle w:val="TableContents"/>
              <w:bidi w:val="0"/>
              <w:spacing w:before="0" w:after="283"/>
              <w:jc w:val="left"/>
              <w:rPr/>
            </w:pPr>
            <w:r>
              <w:rPr/>
              <w:t> </w:t>
            </w:r>
            <w:bookmarkStart w:id="49" w:name="xdx_404_eus-gaap--PropertyPlantAndEquipm"/>
            <w:bookmarkEnd w:id="49"/>
          </w:p>
        </w:tc>
      </w:tr>
      <w:tr>
        <w:trPr/>
        <w:tc>
          <w:tcPr>
            <w:tcW w:w="7412"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2,217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1,280</w:t>
            </w:r>
          </w:p>
        </w:tc>
        <w:tc>
          <w:tcPr>
            <w:tcW w:w="112" w:type="dxa"/>
            <w:tcBorders/>
            <w:shd w:fill="CCEEFF" w:val="clear"/>
            <w:vAlign w:val="center"/>
          </w:tcPr>
          <w:p>
            <w:pPr>
              <w:pStyle w:val="TableContents"/>
              <w:bidi w:val="0"/>
              <w:spacing w:before="0" w:after="283"/>
              <w:jc w:val="left"/>
              <w:rPr/>
            </w:pPr>
            <w:r>
              <w:rPr/>
              <w:t> </w:t>
            </w:r>
            <w:bookmarkStart w:id="50" w:name="xdx_40C_eus-gaap--IntangibleAssetsNetExc"/>
            <w:bookmarkEnd w:id="50"/>
          </w:p>
        </w:tc>
      </w:tr>
      <w:tr>
        <w:trPr/>
        <w:tc>
          <w:tcPr>
            <w:tcW w:w="7412" w:type="dxa"/>
            <w:tcBorders/>
            <w:shd w:fill="FFFFFF" w:val="clear"/>
            <w:vAlign w:val="center"/>
          </w:tcPr>
          <w:p>
            <w:pPr>
              <w:pStyle w:val="TableContents"/>
              <w:bidi w:val="0"/>
              <w:spacing w:before="0" w:after="283"/>
              <w:jc w:val="left"/>
              <w:rPr/>
            </w:pPr>
            <w:r>
              <w:rPr/>
              <w:t>Intangibles, net</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pPr>
            <w:r>
              <w:rPr/>
              <w:t>3,656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3,978</w:t>
            </w:r>
          </w:p>
        </w:tc>
        <w:tc>
          <w:tcPr>
            <w:tcW w:w="112" w:type="dxa"/>
            <w:tcBorders/>
            <w:shd w:fill="FFFFFF" w:val="clear"/>
            <w:vAlign w:val="center"/>
          </w:tcPr>
          <w:p>
            <w:pPr>
              <w:pStyle w:val="TableContents"/>
              <w:bidi w:val="0"/>
              <w:spacing w:before="0" w:after="283"/>
              <w:jc w:val="left"/>
              <w:rPr/>
            </w:pPr>
            <w:r>
              <w:rPr/>
              <w:t> </w:t>
            </w:r>
            <w:bookmarkStart w:id="51" w:name="xdx_40E_eus-gaap--OperatingLeaseRightOfU"/>
            <w:bookmarkEnd w:id="51"/>
          </w:p>
        </w:tc>
      </w:tr>
      <w:tr>
        <w:trPr/>
        <w:tc>
          <w:tcPr>
            <w:tcW w:w="7412" w:type="dxa"/>
            <w:tcBorders/>
            <w:shd w:fill="CCEEFF" w:val="clear"/>
            <w:vAlign w:val="center"/>
          </w:tcPr>
          <w:p>
            <w:pPr>
              <w:pStyle w:val="TableContents"/>
              <w:bidi w:val="0"/>
              <w:spacing w:before="0" w:after="283"/>
              <w:jc w:val="left"/>
              <w:rPr/>
            </w:pPr>
            <w:r>
              <w:rPr/>
              <w:t>Right-of-use assets, net</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2,610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1,751</w:t>
            </w:r>
          </w:p>
        </w:tc>
        <w:tc>
          <w:tcPr>
            <w:tcW w:w="112" w:type="dxa"/>
            <w:tcBorders/>
            <w:shd w:fill="CCEEFF" w:val="clear"/>
            <w:vAlign w:val="center"/>
          </w:tcPr>
          <w:p>
            <w:pPr>
              <w:pStyle w:val="TableContents"/>
              <w:bidi w:val="0"/>
              <w:spacing w:before="0" w:after="283"/>
              <w:jc w:val="left"/>
              <w:rPr/>
            </w:pPr>
            <w:r>
              <w:rPr/>
              <w:t> </w:t>
            </w:r>
            <w:bookmarkStart w:id="52" w:name="xdx_403_eus-gaap--RestrictedCashNoncurre"/>
            <w:bookmarkEnd w:id="52"/>
          </w:p>
        </w:tc>
      </w:tr>
      <w:tr>
        <w:trPr/>
        <w:tc>
          <w:tcPr>
            <w:tcW w:w="7412" w:type="dxa"/>
            <w:tcBorders/>
            <w:shd w:fill="FFFFFF" w:val="clear"/>
            <w:vAlign w:val="center"/>
          </w:tcPr>
          <w:p>
            <w:pPr>
              <w:pStyle w:val="TableContents"/>
              <w:bidi w:val="0"/>
              <w:spacing w:before="0" w:after="283"/>
              <w:jc w:val="left"/>
              <w:rPr/>
            </w:pPr>
            <w:r>
              <w:rPr/>
              <w:t>Restricted cash, long-term</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155</w:t>
            </w:r>
          </w:p>
        </w:tc>
        <w:tc>
          <w:tcPr>
            <w:tcW w:w="112" w:type="dxa"/>
            <w:tcBorders/>
            <w:shd w:fill="FFFFFF" w:val="clear"/>
            <w:vAlign w:val="center"/>
          </w:tcPr>
          <w:p>
            <w:pPr>
              <w:pStyle w:val="TableContents"/>
              <w:bidi w:val="0"/>
              <w:spacing w:before="0" w:after="283"/>
              <w:jc w:val="left"/>
              <w:rPr/>
            </w:pPr>
            <w:r>
              <w:rPr/>
              <w:t> </w:t>
            </w:r>
            <w:bookmarkStart w:id="53" w:name="xdx_40F_eus-gaap--Goodwill_i01I_maCz9nx_"/>
            <w:bookmarkEnd w:id="53"/>
          </w:p>
        </w:tc>
      </w:tr>
      <w:tr>
        <w:trPr/>
        <w:tc>
          <w:tcPr>
            <w:tcW w:w="7412"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7" w:type="dxa"/>
            <w:tcBorders>
              <w:bottom w:val="single" w:sz="12" w:space="0" w:color="000000"/>
            </w:tcBorders>
            <w:shd w:fill="CCEEFF" w:val="clear"/>
            <w:tcMar>
              <w:bottom w:w="28" w:type="dxa"/>
            </w:tcMar>
            <w:vAlign w:val="center"/>
          </w:tcPr>
          <w:p>
            <w:pPr>
              <w:pStyle w:val="TableContents"/>
              <w:bidi w:val="0"/>
              <w:spacing w:before="0" w:after="283"/>
              <w:jc w:val="right"/>
              <w:rPr/>
            </w:pPr>
            <w:r>
              <w:rPr/>
              <w:t>8,537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9" w:type="dxa"/>
            <w:tcBorders>
              <w:bottom w:val="single" w:sz="12" w:space="0" w:color="000000"/>
            </w:tcBorders>
            <w:shd w:fill="CCEEFF" w:val="clear"/>
            <w:tcMar>
              <w:bottom w:w="28" w:type="dxa"/>
            </w:tcMar>
            <w:vAlign w:val="center"/>
          </w:tcPr>
          <w:p>
            <w:pPr>
              <w:pStyle w:val="TableContents"/>
              <w:bidi w:val="0"/>
              <w:spacing w:before="0" w:after="283"/>
              <w:jc w:val="right"/>
              <w:rPr/>
            </w:pPr>
            <w:r>
              <w:rPr/>
              <w:t>8,537</w:t>
            </w:r>
          </w:p>
        </w:tc>
        <w:tc>
          <w:tcPr>
            <w:tcW w:w="112" w:type="dxa"/>
            <w:tcBorders/>
            <w:shd w:fill="CCEEFF" w:val="clear"/>
            <w:vAlign w:val="center"/>
          </w:tcPr>
          <w:p>
            <w:pPr>
              <w:pStyle w:val="TableContents"/>
              <w:bidi w:val="0"/>
              <w:spacing w:before="0" w:after="283"/>
              <w:jc w:val="left"/>
              <w:rPr/>
            </w:pPr>
            <w:r>
              <w:rPr/>
              <w:t> </w:t>
            </w:r>
            <w:bookmarkStart w:id="54" w:name="xdx_405_eus-gaap--Assets_i01TI_mtCz9nx_z"/>
            <w:bookmarkEnd w:id="54"/>
          </w:p>
        </w:tc>
      </w:tr>
      <w:tr>
        <w:trPr/>
        <w:tc>
          <w:tcPr>
            <w:tcW w:w="7412"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87" w:type="dxa"/>
            <w:tcBorders>
              <w:bottom w:val="double" w:sz="6" w:space="0" w:color="000000"/>
            </w:tcBorders>
            <w:shd w:fill="FFFFFF" w:val="clear"/>
            <w:tcMar>
              <w:bottom w:w="28" w:type="dxa"/>
            </w:tcMar>
            <w:vAlign w:val="center"/>
          </w:tcPr>
          <w:p>
            <w:pPr>
              <w:pStyle w:val="TableContents"/>
              <w:bidi w:val="0"/>
              <w:spacing w:before="0" w:after="283"/>
              <w:jc w:val="right"/>
              <w:rPr/>
            </w:pPr>
            <w:r>
              <w:rPr/>
              <w:t>34,564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99" w:type="dxa"/>
            <w:tcBorders>
              <w:bottom w:val="double" w:sz="6" w:space="0" w:color="000000"/>
            </w:tcBorders>
            <w:shd w:fill="FFFFFF" w:val="clear"/>
            <w:tcMar>
              <w:bottom w:w="28" w:type="dxa"/>
            </w:tcMar>
            <w:vAlign w:val="center"/>
          </w:tcPr>
          <w:p>
            <w:pPr>
              <w:pStyle w:val="TableContents"/>
              <w:bidi w:val="0"/>
              <w:spacing w:before="0" w:after="283"/>
              <w:jc w:val="right"/>
              <w:rPr/>
            </w:pPr>
            <w:r>
              <w:rPr/>
              <w:t>53,374</w:t>
            </w:r>
          </w:p>
        </w:tc>
        <w:tc>
          <w:tcPr>
            <w:tcW w:w="112" w:type="dxa"/>
            <w:tcBorders/>
            <w:shd w:fill="FFFFFF" w:val="clear"/>
            <w:vAlign w:val="center"/>
          </w:tcPr>
          <w:p>
            <w:pPr>
              <w:pStyle w:val="TableContents"/>
              <w:bidi w:val="0"/>
              <w:spacing w:before="0" w:after="283"/>
              <w:jc w:val="left"/>
              <w:rPr/>
            </w:pPr>
            <w:r>
              <w:rPr/>
              <w:t> </w:t>
            </w:r>
            <w:bookmarkStart w:id="55" w:name="xdx_407_eus-gaap--LiabilitiesAndStockhol"/>
            <w:bookmarkEnd w:id="55"/>
          </w:p>
        </w:tc>
      </w:tr>
      <w:tr>
        <w:trPr/>
        <w:tc>
          <w:tcPr>
            <w:tcW w:w="7412" w:type="dxa"/>
            <w:tcBorders/>
            <w:shd w:fill="CCEEFF" w:val="clear"/>
            <w:vAlign w:val="center"/>
          </w:tcPr>
          <w:p>
            <w:pPr>
              <w:pStyle w:val="TableContents"/>
              <w:bidi w:val="0"/>
              <w:spacing w:before="0" w:after="283"/>
              <w:jc w:val="left"/>
              <w:rPr/>
            </w:pPr>
            <w:r>
              <w:rPr/>
              <w:t>LIABILITIES AND SHAREHOLDERS’ EQUITY</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56" w:name="xdx_407_eus-gaap--LiabilitiesCurrentAbst"/>
            <w:bookmarkEnd w:id="56"/>
          </w:p>
        </w:tc>
      </w:tr>
      <w:tr>
        <w:trPr/>
        <w:tc>
          <w:tcPr>
            <w:tcW w:w="7412"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57" w:name="xdx_40C_eus-gaap--AccountsPayableCurrent"/>
            <w:bookmarkEnd w:id="57"/>
          </w:p>
        </w:tc>
      </w:tr>
      <w:tr>
        <w:trPr/>
        <w:tc>
          <w:tcPr>
            <w:tcW w:w="7412"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087" w:type="dxa"/>
            <w:tcBorders/>
            <w:shd w:fill="CCEEFF" w:val="clear"/>
            <w:vAlign w:val="center"/>
          </w:tcPr>
          <w:p>
            <w:pPr>
              <w:pStyle w:val="TableContents"/>
              <w:bidi w:val="0"/>
              <w:spacing w:before="0" w:after="283"/>
              <w:jc w:val="right"/>
              <w:rPr/>
            </w:pPr>
            <w:r>
              <w:rPr/>
              <w:t>1,466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999" w:type="dxa"/>
            <w:tcBorders/>
            <w:shd w:fill="CCEEFF" w:val="clear"/>
            <w:vAlign w:val="center"/>
          </w:tcPr>
          <w:p>
            <w:pPr>
              <w:pStyle w:val="TableContents"/>
              <w:bidi w:val="0"/>
              <w:spacing w:before="0" w:after="283"/>
              <w:jc w:val="right"/>
              <w:rPr/>
            </w:pPr>
            <w:r>
              <w:rPr/>
              <w:t>952</w:t>
            </w:r>
          </w:p>
        </w:tc>
        <w:tc>
          <w:tcPr>
            <w:tcW w:w="112" w:type="dxa"/>
            <w:tcBorders/>
            <w:shd w:fill="CCEEFF" w:val="clear"/>
            <w:vAlign w:val="center"/>
          </w:tcPr>
          <w:p>
            <w:pPr>
              <w:pStyle w:val="TableContents"/>
              <w:bidi w:val="0"/>
              <w:spacing w:before="0" w:after="283"/>
              <w:jc w:val="left"/>
              <w:rPr/>
            </w:pPr>
            <w:r>
              <w:rPr/>
              <w:t> </w:t>
            </w:r>
            <w:bookmarkStart w:id="58" w:name="xdx_408_ecustom--EarnOutPayableCurrent_i"/>
            <w:bookmarkEnd w:id="58"/>
          </w:p>
        </w:tc>
      </w:tr>
      <w:tr>
        <w:trPr/>
        <w:tc>
          <w:tcPr>
            <w:tcW w:w="7412" w:type="dxa"/>
            <w:tcBorders/>
            <w:shd w:fill="FFFFFF" w:val="clear"/>
            <w:vAlign w:val="center"/>
          </w:tcPr>
          <w:p>
            <w:pPr>
              <w:pStyle w:val="TableContents"/>
              <w:bidi w:val="0"/>
              <w:spacing w:before="0" w:after="283"/>
              <w:jc w:val="left"/>
              <w:rPr/>
            </w:pPr>
            <w:r>
              <w:rPr/>
              <w:t>Earnout payable</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1,500</w:t>
            </w:r>
          </w:p>
        </w:tc>
        <w:tc>
          <w:tcPr>
            <w:tcW w:w="112" w:type="dxa"/>
            <w:tcBorders/>
            <w:shd w:fill="FFFFFF" w:val="clear"/>
            <w:vAlign w:val="center"/>
          </w:tcPr>
          <w:p>
            <w:pPr>
              <w:pStyle w:val="TableContents"/>
              <w:bidi w:val="0"/>
              <w:spacing w:before="0" w:after="283"/>
              <w:jc w:val="left"/>
              <w:rPr/>
            </w:pPr>
            <w:r>
              <w:rPr/>
              <w:t> </w:t>
            </w:r>
            <w:bookmarkStart w:id="59" w:name="xdx_406_eus-gaap--AccruedLiabilitiesCurr"/>
            <w:bookmarkEnd w:id="59"/>
          </w:p>
        </w:tc>
      </w:tr>
      <w:tr>
        <w:trPr/>
        <w:tc>
          <w:tcPr>
            <w:tcW w:w="7412" w:type="dxa"/>
            <w:tcBorders/>
            <w:shd w:fill="CCEEFF" w:val="clear"/>
            <w:vAlign w:val="center"/>
          </w:tcPr>
          <w:p>
            <w:pPr>
              <w:pStyle w:val="TableContents"/>
              <w:bidi w:val="0"/>
              <w:spacing w:before="0" w:after="283"/>
              <w:jc w:val="left"/>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2,991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2,346</w:t>
            </w:r>
          </w:p>
        </w:tc>
        <w:tc>
          <w:tcPr>
            <w:tcW w:w="112" w:type="dxa"/>
            <w:tcBorders/>
            <w:shd w:fill="CCEEFF" w:val="clear"/>
            <w:vAlign w:val="center"/>
          </w:tcPr>
          <w:p>
            <w:pPr>
              <w:pStyle w:val="TableContents"/>
              <w:bidi w:val="0"/>
              <w:spacing w:before="0" w:after="283"/>
              <w:jc w:val="left"/>
              <w:rPr/>
            </w:pPr>
            <w:r>
              <w:rPr/>
              <w:t> </w:t>
            </w:r>
            <w:bookmarkStart w:id="60" w:name="xdx_404_eus-gaap--BusinessCombinationCon"/>
            <w:bookmarkEnd w:id="60"/>
          </w:p>
        </w:tc>
      </w:tr>
      <w:tr>
        <w:trPr/>
        <w:tc>
          <w:tcPr>
            <w:tcW w:w="7412" w:type="dxa"/>
            <w:tcBorders/>
            <w:shd w:fill="FFFFFF" w:val="clear"/>
            <w:vAlign w:val="center"/>
          </w:tcPr>
          <w:p>
            <w:pPr>
              <w:pStyle w:val="TableContents"/>
              <w:bidi w:val="0"/>
              <w:spacing w:before="0" w:after="283"/>
              <w:jc w:val="left"/>
              <w:rPr/>
            </w:pPr>
            <w:r>
              <w:rPr/>
              <w:t>Contingent liabilities</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pPr>
            <w:r>
              <w:rPr/>
              <w:t>1,085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1,202</w:t>
            </w:r>
          </w:p>
        </w:tc>
        <w:tc>
          <w:tcPr>
            <w:tcW w:w="112" w:type="dxa"/>
            <w:tcBorders/>
            <w:shd w:fill="FFFFFF" w:val="clear"/>
            <w:vAlign w:val="center"/>
          </w:tcPr>
          <w:p>
            <w:pPr>
              <w:pStyle w:val="TableContents"/>
              <w:bidi w:val="0"/>
              <w:spacing w:before="0" w:after="283"/>
              <w:jc w:val="left"/>
              <w:rPr/>
            </w:pPr>
            <w:r>
              <w:rPr/>
              <w:t> </w:t>
            </w:r>
            <w:bookmarkStart w:id="61" w:name="xdx_40B_eus-gaap--OperatingLeaseLiabilit"/>
            <w:bookmarkEnd w:id="61"/>
          </w:p>
        </w:tc>
      </w:tr>
      <w:tr>
        <w:trPr/>
        <w:tc>
          <w:tcPr>
            <w:tcW w:w="7412" w:type="dxa"/>
            <w:tcBorders/>
            <w:shd w:fill="CCEEFF" w:val="clear"/>
            <w:vAlign w:val="center"/>
          </w:tcPr>
          <w:p>
            <w:pPr>
              <w:pStyle w:val="TableContents"/>
              <w:bidi w:val="0"/>
              <w:spacing w:before="0" w:after="283"/>
              <w:jc w:val="left"/>
              <w:rPr/>
            </w:pPr>
            <w:r>
              <w:rPr/>
              <w:t>Right-of-use liabilities, current portion</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625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529</w:t>
            </w:r>
          </w:p>
        </w:tc>
        <w:tc>
          <w:tcPr>
            <w:tcW w:w="112" w:type="dxa"/>
            <w:tcBorders/>
            <w:shd w:fill="CCEEFF" w:val="clear"/>
            <w:vAlign w:val="center"/>
          </w:tcPr>
          <w:p>
            <w:pPr>
              <w:pStyle w:val="TableContents"/>
              <w:bidi w:val="0"/>
              <w:spacing w:before="0" w:after="283"/>
              <w:jc w:val="left"/>
              <w:rPr/>
            </w:pPr>
            <w:r>
              <w:rPr/>
              <w:t> </w:t>
            </w:r>
            <w:bookmarkStart w:id="62" w:name="xdx_406_eus-gaap--ContractWithCustomerLi"/>
            <w:bookmarkEnd w:id="62"/>
          </w:p>
        </w:tc>
      </w:tr>
      <w:tr>
        <w:trPr/>
        <w:tc>
          <w:tcPr>
            <w:tcW w:w="7412" w:type="dxa"/>
            <w:tcBorders/>
            <w:shd w:fill="FFFFFF" w:val="clear"/>
            <w:vAlign w:val="center"/>
          </w:tcPr>
          <w:p>
            <w:pPr>
              <w:pStyle w:val="TableContents"/>
              <w:bidi w:val="0"/>
              <w:spacing w:before="0" w:after="283"/>
              <w:jc w:val="left"/>
              <w:rPr/>
            </w:pPr>
            <w:r>
              <w:rPr/>
              <w:t>Contract liabilities</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7" w:type="dxa"/>
            <w:tcBorders>
              <w:bottom w:val="single" w:sz="12" w:space="0" w:color="000000"/>
            </w:tcBorders>
            <w:shd w:fill="FFFFFF" w:val="clear"/>
            <w:tcMar>
              <w:bottom w:w="28" w:type="dxa"/>
            </w:tcMar>
            <w:vAlign w:val="center"/>
          </w:tcPr>
          <w:p>
            <w:pPr>
              <w:pStyle w:val="TableContents"/>
              <w:bidi w:val="0"/>
              <w:spacing w:before="0" w:after="283"/>
              <w:jc w:val="right"/>
              <w:rPr/>
            </w:pPr>
            <w:r>
              <w:rPr/>
              <w:t>868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9" w:type="dxa"/>
            <w:tcBorders>
              <w:bottom w:val="single" w:sz="12" w:space="0" w:color="000000"/>
            </w:tcBorders>
            <w:shd w:fill="FFFFFF" w:val="clear"/>
            <w:tcMar>
              <w:bottom w:w="28" w:type="dxa"/>
            </w:tcMar>
            <w:vAlign w:val="center"/>
          </w:tcPr>
          <w:p>
            <w:pPr>
              <w:pStyle w:val="TableContents"/>
              <w:bidi w:val="0"/>
              <w:spacing w:before="0" w:after="283"/>
              <w:jc w:val="right"/>
              <w:rPr/>
            </w:pPr>
            <w:r>
              <w:rPr/>
              <w:t>1,378</w:t>
            </w:r>
          </w:p>
        </w:tc>
        <w:tc>
          <w:tcPr>
            <w:tcW w:w="112" w:type="dxa"/>
            <w:tcBorders/>
            <w:shd w:fill="FFFFFF" w:val="clear"/>
            <w:vAlign w:val="center"/>
          </w:tcPr>
          <w:p>
            <w:pPr>
              <w:pStyle w:val="TableContents"/>
              <w:bidi w:val="0"/>
              <w:spacing w:before="0" w:after="283"/>
              <w:jc w:val="left"/>
              <w:rPr/>
            </w:pPr>
            <w:r>
              <w:rPr/>
              <w:t> </w:t>
            </w:r>
            <w:bookmarkStart w:id="63" w:name="xdx_406_eus-gaap--LiabilitiesCurrent_i02"/>
            <w:bookmarkEnd w:id="63"/>
          </w:p>
        </w:tc>
      </w:tr>
      <w:tr>
        <w:trPr/>
        <w:tc>
          <w:tcPr>
            <w:tcW w:w="7412"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7,035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7,907</w:t>
            </w:r>
          </w:p>
        </w:tc>
        <w:tc>
          <w:tcPr>
            <w:tcW w:w="112" w:type="dxa"/>
            <w:tcBorders/>
            <w:shd w:fill="CCEEFF" w:val="clear"/>
            <w:vAlign w:val="center"/>
          </w:tcPr>
          <w:p>
            <w:pPr>
              <w:pStyle w:val="TableContents"/>
              <w:bidi w:val="0"/>
              <w:spacing w:before="0" w:after="283"/>
              <w:jc w:val="left"/>
              <w:rPr/>
            </w:pPr>
            <w:r>
              <w:rPr/>
              <w:t> </w:t>
            </w:r>
            <w:bookmarkStart w:id="64" w:name="xdx_405_eus-gaap--DeferredIncomeTaxLiabi"/>
            <w:bookmarkEnd w:id="64"/>
          </w:p>
        </w:tc>
      </w:tr>
      <w:tr>
        <w:trPr/>
        <w:tc>
          <w:tcPr>
            <w:tcW w:w="7412" w:type="dxa"/>
            <w:tcBorders/>
            <w:shd w:fill="FFFFFF" w:val="clear"/>
            <w:vAlign w:val="center"/>
          </w:tcPr>
          <w:p>
            <w:pPr>
              <w:pStyle w:val="TableContents"/>
              <w:bidi w:val="0"/>
              <w:spacing w:before="0" w:after="283"/>
              <w:jc w:val="left"/>
              <w:rPr/>
            </w:pPr>
            <w:r>
              <w:rPr/>
              <w:t>Deferred tax liability</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pPr>
            <w:r>
              <w:rPr/>
              <w:t>203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203</w:t>
            </w:r>
          </w:p>
        </w:tc>
        <w:tc>
          <w:tcPr>
            <w:tcW w:w="112" w:type="dxa"/>
            <w:tcBorders/>
            <w:shd w:fill="FFFFFF" w:val="clear"/>
            <w:vAlign w:val="center"/>
          </w:tcPr>
          <w:p>
            <w:pPr>
              <w:pStyle w:val="TableContents"/>
              <w:bidi w:val="0"/>
              <w:spacing w:before="0" w:after="283"/>
              <w:jc w:val="left"/>
              <w:rPr/>
            </w:pPr>
            <w:r>
              <w:rPr/>
              <w:t> </w:t>
            </w:r>
            <w:bookmarkStart w:id="65" w:name="xdx_406_eus-gaap--OperatingLeaseLiabilit"/>
            <w:bookmarkEnd w:id="65"/>
          </w:p>
        </w:tc>
      </w:tr>
      <w:tr>
        <w:trPr/>
        <w:tc>
          <w:tcPr>
            <w:tcW w:w="7412" w:type="dxa"/>
            <w:tcBorders/>
            <w:shd w:fill="CCEEFF" w:val="clear"/>
            <w:vAlign w:val="center"/>
          </w:tcPr>
          <w:p>
            <w:pPr>
              <w:pStyle w:val="TableContents"/>
              <w:bidi w:val="0"/>
              <w:spacing w:before="0" w:after="283"/>
              <w:jc w:val="left"/>
              <w:rPr/>
            </w:pPr>
            <w:r>
              <w:rPr/>
              <w:t>Right-of-use liabilities, less current portion</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7" w:type="dxa"/>
            <w:tcBorders>
              <w:bottom w:val="single" w:sz="12" w:space="0" w:color="000000"/>
            </w:tcBorders>
            <w:shd w:fill="CCEEFF" w:val="clear"/>
            <w:tcMar>
              <w:bottom w:w="28" w:type="dxa"/>
            </w:tcMar>
            <w:vAlign w:val="center"/>
          </w:tcPr>
          <w:p>
            <w:pPr>
              <w:pStyle w:val="TableContents"/>
              <w:bidi w:val="0"/>
              <w:spacing w:before="0" w:after="283"/>
              <w:jc w:val="right"/>
              <w:rPr/>
            </w:pPr>
            <w:r>
              <w:rPr/>
              <w:t>2,065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9" w:type="dxa"/>
            <w:tcBorders>
              <w:bottom w:val="single" w:sz="12" w:space="0" w:color="000000"/>
            </w:tcBorders>
            <w:shd w:fill="CCEEFF" w:val="clear"/>
            <w:tcMar>
              <w:bottom w:w="28" w:type="dxa"/>
            </w:tcMar>
            <w:vAlign w:val="center"/>
          </w:tcPr>
          <w:p>
            <w:pPr>
              <w:pStyle w:val="TableContents"/>
              <w:bidi w:val="0"/>
              <w:spacing w:before="0" w:after="283"/>
              <w:jc w:val="right"/>
              <w:rPr/>
            </w:pPr>
            <w:r>
              <w:rPr/>
              <w:t>1,311</w:t>
            </w:r>
          </w:p>
        </w:tc>
        <w:tc>
          <w:tcPr>
            <w:tcW w:w="112" w:type="dxa"/>
            <w:tcBorders/>
            <w:shd w:fill="CCEEFF" w:val="clear"/>
            <w:vAlign w:val="center"/>
          </w:tcPr>
          <w:p>
            <w:pPr>
              <w:pStyle w:val="TableContents"/>
              <w:bidi w:val="0"/>
              <w:spacing w:before="0" w:after="283"/>
              <w:jc w:val="left"/>
              <w:rPr/>
            </w:pPr>
            <w:r>
              <w:rPr/>
              <w:t> </w:t>
            </w:r>
            <w:bookmarkStart w:id="66" w:name="xdx_40B_eus-gaap--Liabilities_i01TI_mtCz"/>
            <w:bookmarkEnd w:id="66"/>
          </w:p>
        </w:tc>
      </w:tr>
      <w:tr>
        <w:trPr/>
        <w:tc>
          <w:tcPr>
            <w:tcW w:w="7412"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7" w:type="dxa"/>
            <w:tcBorders>
              <w:bottom w:val="single" w:sz="12" w:space="0" w:color="000000"/>
            </w:tcBorders>
            <w:shd w:fill="FFFFFF" w:val="clear"/>
            <w:tcMar>
              <w:bottom w:w="28" w:type="dxa"/>
            </w:tcMar>
            <w:vAlign w:val="center"/>
          </w:tcPr>
          <w:p>
            <w:pPr>
              <w:pStyle w:val="TableContents"/>
              <w:bidi w:val="0"/>
              <w:spacing w:before="0" w:after="283"/>
              <w:jc w:val="right"/>
              <w:rPr/>
            </w:pPr>
            <w:r>
              <w:rPr/>
              <w:t>9,303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9" w:type="dxa"/>
            <w:tcBorders>
              <w:bottom w:val="single" w:sz="12" w:space="0" w:color="000000"/>
            </w:tcBorders>
            <w:shd w:fill="FFFFFF" w:val="clear"/>
            <w:tcMar>
              <w:bottom w:w="28" w:type="dxa"/>
            </w:tcMar>
            <w:vAlign w:val="center"/>
          </w:tcPr>
          <w:p>
            <w:pPr>
              <w:pStyle w:val="TableContents"/>
              <w:bidi w:val="0"/>
              <w:spacing w:before="0" w:after="283"/>
              <w:jc w:val="right"/>
              <w:rPr/>
            </w:pPr>
            <w:r>
              <w:rPr/>
              <w:t>9,421</w:t>
            </w:r>
          </w:p>
        </w:tc>
        <w:tc>
          <w:tcPr>
            <w:tcW w:w="112" w:type="dxa"/>
            <w:tcBorders/>
            <w:shd w:fill="FFFFFF" w:val="clear"/>
            <w:vAlign w:val="center"/>
          </w:tcPr>
          <w:p>
            <w:pPr>
              <w:pStyle w:val="TableContents"/>
              <w:bidi w:val="0"/>
              <w:spacing w:before="0" w:after="283"/>
              <w:jc w:val="left"/>
              <w:rPr/>
            </w:pPr>
            <w:r>
              <w:rPr/>
              <w:t> </w:t>
            </w:r>
            <w:bookmarkStart w:id="67" w:name="xdx_408_eus-gaap--CommitmentsAndContinge"/>
            <w:bookmarkEnd w:id="67"/>
          </w:p>
        </w:tc>
      </w:tr>
      <w:tr>
        <w:trPr/>
        <w:tc>
          <w:tcPr>
            <w:tcW w:w="7412" w:type="dxa"/>
            <w:tcBorders/>
            <w:shd w:fill="CCEEFF" w:val="clear"/>
            <w:vAlign w:val="center"/>
          </w:tcPr>
          <w:p>
            <w:pPr>
              <w:pStyle w:val="TableContents"/>
              <w:bidi w:val="0"/>
              <w:spacing w:before="0" w:after="283"/>
              <w:jc w:val="left"/>
              <w:rPr/>
            </w:pPr>
            <w:r>
              <w:rPr/>
              <w:t>Commitments and contingencies (Note 14)</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2" w:type="dxa"/>
            <w:tcBorders/>
            <w:shd w:fill="CCEEFF" w:val="clear"/>
            <w:vAlign w:val="center"/>
          </w:tcPr>
          <w:p>
            <w:pPr>
              <w:pStyle w:val="TableContents"/>
              <w:bidi w:val="0"/>
              <w:spacing w:before="0" w:after="283"/>
              <w:jc w:val="left"/>
              <w:rPr/>
            </w:pPr>
            <w:r>
              <w:rPr/>
              <w:t> </w:t>
            </w:r>
            <w:bookmarkStart w:id="68" w:name="xdx_405_eus-gaap--StockholdersEquityAbst"/>
            <w:bookmarkEnd w:id="68"/>
          </w:p>
        </w:tc>
      </w:tr>
      <w:tr>
        <w:trPr/>
        <w:tc>
          <w:tcPr>
            <w:tcW w:w="7412" w:type="dxa"/>
            <w:tcBorders/>
            <w:shd w:fill="FFFFFF" w:val="clear"/>
            <w:vAlign w:val="center"/>
          </w:tcPr>
          <w:p>
            <w:pPr>
              <w:pStyle w:val="TableContents"/>
              <w:bidi w:val="0"/>
              <w:spacing w:before="0" w:after="283"/>
              <w:jc w:val="left"/>
              <w:rPr/>
            </w:pPr>
            <w:r>
              <w:rPr/>
              <w:t>Shareholders’ Equity:</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69" w:name="xdx_409_eus-gaap--PreferredStockValue_i0"/>
            <w:bookmarkEnd w:id="69"/>
          </w:p>
        </w:tc>
      </w:tr>
      <w:tr>
        <w:trPr/>
        <w:tc>
          <w:tcPr>
            <w:tcW w:w="7412" w:type="dxa"/>
            <w:tcBorders/>
            <w:shd w:fill="CCEEFF" w:val="clear"/>
            <w:vAlign w:val="center"/>
          </w:tcPr>
          <w:p>
            <w:pPr>
              <w:pStyle w:val="TableContents"/>
              <w:bidi w:val="0"/>
              <w:spacing w:before="0" w:after="283"/>
              <w:jc w:val="left"/>
              <w:rPr/>
            </w:pPr>
            <w:r>
              <w:rPr/>
              <w:t>Preferred stock, $</w:t>
            </w:r>
            <w:bookmarkStart w:id="70" w:name="xdx_908_eus-gaap--PreferredStockParOrSta"/>
            <w:bookmarkStart w:id="71" w:name="xdx_908_eus-gaap--PreferredStockParOrSta"/>
            <w:bookmarkEnd w:id="70"/>
            <w:bookmarkEnd w:id="71"/>
            <w:r>
              <w:rPr/>
              <w:t xml:space="preserve">0.001 par value; authorized </w:t>
            </w:r>
            <w:bookmarkStart w:id="72" w:name="xdx_90A_eus-gaap--PreferredStockSharesAu"/>
            <w:bookmarkStart w:id="73" w:name="xdx_90E_eus-gaap--PreferredStockSharesAu"/>
            <w:bookmarkEnd w:id="72"/>
            <w:bookmarkEnd w:id="73"/>
            <w:r>
              <w:rPr/>
              <w:t xml:space="preserve">5,000,000 shares, </w:t>
            </w:r>
            <w:bookmarkStart w:id="74" w:name="xdx_900_eus-gaap--PreferredStockSharesOu"/>
            <w:bookmarkStart w:id="75" w:name="xdx_906_eus-gaap--PreferredStockSharesIs"/>
            <w:bookmarkStart w:id="76" w:name="xdx_90D_eus-gaap--PreferredStockSharesOu"/>
            <w:bookmarkStart w:id="77" w:name="xdx_902_eus-gaap--PreferredStockSharesIs"/>
            <w:bookmarkEnd w:id="74"/>
            <w:bookmarkEnd w:id="75"/>
            <w:bookmarkEnd w:id="76"/>
            <w:bookmarkEnd w:id="77"/>
            <w:r>
              <w:rPr/>
              <w:t xml:space="preserve">none issued or outstanding; </w:t>
            </w:r>
            <w:bookmarkStart w:id="78" w:name="xdx_909_eus-gaap--PreferredStockSharesAu"/>
            <w:bookmarkStart w:id="79" w:name="xdx_90C_eus-gaap--PreferredStockSharesAu"/>
            <w:bookmarkEnd w:id="78"/>
            <w:bookmarkEnd w:id="79"/>
            <w:r>
              <w:rPr/>
              <w:t>100,000 designated as Series A</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80" w:name="xdx_407_eus-gaap--CommonStockValue_i02I_"/>
            <w:bookmarkEnd w:id="80"/>
          </w:p>
        </w:tc>
      </w:tr>
      <w:tr>
        <w:trPr/>
        <w:tc>
          <w:tcPr>
            <w:tcW w:w="7412" w:type="dxa"/>
            <w:tcBorders/>
            <w:shd w:fill="FFFFFF" w:val="clear"/>
            <w:vAlign w:val="center"/>
          </w:tcPr>
          <w:p>
            <w:pPr>
              <w:pStyle w:val="TableContents"/>
              <w:bidi w:val="0"/>
              <w:spacing w:before="0" w:after="283"/>
              <w:jc w:val="left"/>
              <w:rPr/>
            </w:pPr>
            <w:r>
              <w:rPr/>
              <w:t>Common stock, $</w:t>
            </w:r>
            <w:bookmarkStart w:id="81" w:name="xdx_905_eus-gaap--CommonStockParOrStated"/>
            <w:bookmarkStart w:id="82" w:name="xdx_907_eus-gaap--CommonStockParOrStated"/>
            <w:bookmarkEnd w:id="81"/>
            <w:bookmarkEnd w:id="82"/>
            <w:r>
              <w:rPr/>
              <w:t xml:space="preserve">0.001 par value; authorized </w:t>
            </w:r>
            <w:bookmarkStart w:id="83" w:name="xdx_90A_eus-gaap--CommonStockSharesAutho"/>
            <w:bookmarkStart w:id="84" w:name="xdx_908_eus-gaap--CommonStockSharesAutho"/>
            <w:bookmarkEnd w:id="83"/>
            <w:bookmarkEnd w:id="84"/>
            <w:r>
              <w:rPr/>
              <w:t xml:space="preserve">100,000,000 shares, issued </w:t>
            </w:r>
            <w:bookmarkStart w:id="85" w:name="xdx_90A_eus-gaap--CommonStockSharesIssue"/>
            <w:bookmarkEnd w:id="85"/>
            <w:r>
              <w:rPr/>
              <w:t xml:space="preserve">59,551,090 shares and </w:t>
            </w:r>
            <w:bookmarkStart w:id="86" w:name="xdx_903_eus-gaap--CommonStockSharesIssue"/>
            <w:bookmarkEnd w:id="86"/>
            <w:r>
              <w:rPr/>
              <w:t xml:space="preserve">56,304,642 shares, respectively; outstanding </w:t>
            </w:r>
            <w:bookmarkStart w:id="87" w:name="xdx_905_eus-gaap--CommonStockSharesOutst"/>
            <w:bookmarkEnd w:id="87"/>
            <w:r>
              <w:rPr/>
              <w:t xml:space="preserve">59,463,073 shares and </w:t>
            </w:r>
            <w:bookmarkStart w:id="88" w:name="xdx_903_eus-gaap--CommonStockSharesOutst"/>
            <w:bookmarkEnd w:id="88"/>
            <w:r>
              <w:rPr/>
              <w:t>56,263,728 shares, respectively</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pPr>
            <w:r>
              <w:rPr/>
              <w:t>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56</w:t>
            </w:r>
          </w:p>
        </w:tc>
        <w:tc>
          <w:tcPr>
            <w:tcW w:w="112" w:type="dxa"/>
            <w:tcBorders/>
            <w:shd w:fill="FFFFFF" w:val="clear"/>
            <w:vAlign w:val="center"/>
          </w:tcPr>
          <w:p>
            <w:pPr>
              <w:pStyle w:val="TableContents"/>
              <w:bidi w:val="0"/>
              <w:spacing w:before="0" w:after="283"/>
              <w:jc w:val="left"/>
              <w:rPr/>
            </w:pPr>
            <w:r>
              <w:rPr/>
              <w:t> </w:t>
            </w:r>
            <w:bookmarkStart w:id="89" w:name="xdx_401_eus-gaap--TreasuryStockValue_i02"/>
            <w:bookmarkEnd w:id="89"/>
          </w:p>
        </w:tc>
      </w:tr>
      <w:tr>
        <w:trPr/>
        <w:tc>
          <w:tcPr>
            <w:tcW w:w="7412" w:type="dxa"/>
            <w:tcBorders/>
            <w:shd w:fill="CCEEFF" w:val="clear"/>
            <w:vAlign w:val="center"/>
          </w:tcPr>
          <w:p>
            <w:pPr>
              <w:pStyle w:val="TableContents"/>
              <w:bidi w:val="0"/>
              <w:spacing w:before="0" w:after="283"/>
              <w:jc w:val="left"/>
              <w:rPr/>
            </w:pPr>
            <w:r>
              <w:rPr/>
              <w:t xml:space="preserve">Treasury stock, at cost; </w:t>
            </w:r>
            <w:bookmarkStart w:id="90" w:name="xdx_907_eus-gaap--TreasuryStockCommonSha"/>
            <w:bookmarkEnd w:id="90"/>
            <w:r>
              <w:rPr/>
              <w:t xml:space="preserve">88,017 shares and </w:t>
            </w:r>
            <w:bookmarkStart w:id="91" w:name="xdx_904_eus-gaap--TreasuryStockCommonSha"/>
            <w:bookmarkEnd w:id="91"/>
            <w:r>
              <w:rPr/>
              <w:t>40,914 shares, respectively</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(368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(355</w:t>
            </w:r>
          </w:p>
        </w:tc>
        <w:tc>
          <w:tcPr>
            <w:tcW w:w="112" w:type="dxa"/>
            <w:tcBorders/>
            <w:shd w:fill="CCEEFF" w:val="clear"/>
            <w:vAlign w:val="center"/>
          </w:tcPr>
          <w:p>
            <w:pPr>
              <w:pStyle w:val="TableContents"/>
              <w:bidi w:val="0"/>
              <w:spacing w:before="0" w:after="283"/>
              <w:jc w:val="left"/>
              <w:rPr/>
            </w:pPr>
            <w:r>
              <w:rPr/>
              <w:t>)</w:t>
            </w:r>
            <w:bookmarkStart w:id="92" w:name="xdx_400_eus-gaap--AdditionalPaidInCapita"/>
            <w:bookmarkEnd w:id="92"/>
          </w:p>
        </w:tc>
      </w:tr>
      <w:tr>
        <w:trPr/>
        <w:tc>
          <w:tcPr>
            <w:tcW w:w="7412"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pPr>
            <w:r>
              <w:rPr/>
              <w:t>326,472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324,393</w:t>
            </w:r>
          </w:p>
        </w:tc>
        <w:tc>
          <w:tcPr>
            <w:tcW w:w="112" w:type="dxa"/>
            <w:tcBorders/>
            <w:shd w:fill="FFFFFF" w:val="clear"/>
            <w:vAlign w:val="center"/>
          </w:tcPr>
          <w:p>
            <w:pPr>
              <w:pStyle w:val="TableContents"/>
              <w:bidi w:val="0"/>
              <w:spacing w:before="0" w:after="283"/>
              <w:jc w:val="left"/>
              <w:rPr/>
            </w:pPr>
            <w:r>
              <w:rPr/>
              <w:t> </w:t>
            </w:r>
            <w:bookmarkStart w:id="93" w:name="xdx_40D_eus-gaap--RetainedEarningsAccumu"/>
            <w:bookmarkEnd w:id="93"/>
          </w:p>
        </w:tc>
      </w:tr>
      <w:tr>
        <w:trPr/>
        <w:tc>
          <w:tcPr>
            <w:tcW w:w="7412"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(300,857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(280,096</w:t>
            </w:r>
          </w:p>
        </w:tc>
        <w:tc>
          <w:tcPr>
            <w:tcW w:w="112" w:type="dxa"/>
            <w:tcBorders/>
            <w:shd w:fill="CCEEFF" w:val="clear"/>
            <w:vAlign w:val="center"/>
          </w:tcPr>
          <w:p>
            <w:pPr>
              <w:pStyle w:val="TableContents"/>
              <w:bidi w:val="0"/>
              <w:spacing w:before="0" w:after="283"/>
              <w:jc w:val="left"/>
              <w:rPr/>
            </w:pPr>
            <w:r>
              <w:rPr/>
              <w:t>)</w:t>
            </w:r>
            <w:bookmarkStart w:id="94" w:name="xdx_407_eus-gaap--AccumulatedOtherCompre"/>
            <w:bookmarkEnd w:id="94"/>
          </w:p>
        </w:tc>
      </w:tr>
      <w:tr>
        <w:trPr/>
        <w:tc>
          <w:tcPr>
            <w:tcW w:w="7412" w:type="dxa"/>
            <w:tcBorders/>
            <w:shd w:fill="FFFFFF" w:val="clear"/>
            <w:vAlign w:val="center"/>
          </w:tcPr>
          <w:p>
            <w:pPr>
              <w:pStyle w:val="TableContents"/>
              <w:bidi w:val="0"/>
              <w:spacing w:before="0" w:after="283"/>
              <w:jc w:val="left"/>
              <w:rPr/>
            </w:pPr>
            <w:r>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7" w:type="dxa"/>
            <w:tcBorders>
              <w:bottom w:val="single" w:sz="12" w:space="0" w:color="000000"/>
            </w:tcBorders>
            <w:shd w:fill="FFFFFF" w:val="clear"/>
            <w:tcMar>
              <w:bottom w:w="28" w:type="dxa"/>
            </w:tcMar>
            <w:vAlign w:val="center"/>
          </w:tcPr>
          <w:p>
            <w:pPr>
              <w:pStyle w:val="TableContents"/>
              <w:bidi w:val="0"/>
              <w:spacing w:before="0" w:after="283"/>
              <w:jc w:val="right"/>
              <w:rPr/>
            </w:pPr>
            <w:r>
              <w:rPr/>
              <w:t>(45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9" w:type="dxa"/>
            <w:tcBorders>
              <w:bottom w:val="single" w:sz="12" w:space="0" w:color="000000"/>
            </w:tcBorders>
            <w:shd w:fill="FFFFFF" w:val="clear"/>
            <w:tcMar>
              <w:bottom w:w="28" w:type="dxa"/>
            </w:tcMar>
            <w:vAlign w:val="center"/>
          </w:tcPr>
          <w:p>
            <w:pPr>
              <w:pStyle w:val="TableContents"/>
              <w:bidi w:val="0"/>
              <w:spacing w:before="0" w:after="283"/>
              <w:jc w:val="right"/>
              <w:rPr/>
            </w:pPr>
            <w:r>
              <w:rPr/>
              <w:t>(45</w:t>
            </w:r>
          </w:p>
        </w:tc>
        <w:tc>
          <w:tcPr>
            <w:tcW w:w="112" w:type="dxa"/>
            <w:tcBorders/>
            <w:shd w:fill="FFFFFF" w:val="clear"/>
            <w:vAlign w:val="center"/>
          </w:tcPr>
          <w:p>
            <w:pPr>
              <w:pStyle w:val="TableContents"/>
              <w:bidi w:val="0"/>
              <w:spacing w:before="0" w:after="283"/>
              <w:jc w:val="left"/>
              <w:rPr/>
            </w:pPr>
            <w:r>
              <w:rPr/>
              <w:t>)</w:t>
            </w:r>
            <w:bookmarkStart w:id="95" w:name="xdx_403_eus-gaap--StockholdersEquity_i02"/>
            <w:bookmarkEnd w:id="95"/>
          </w:p>
        </w:tc>
      </w:tr>
      <w:tr>
        <w:trPr/>
        <w:tc>
          <w:tcPr>
            <w:tcW w:w="7412" w:type="dxa"/>
            <w:tcBorders/>
            <w:shd w:fill="CCEEFF" w:val="clear"/>
            <w:vAlign w:val="center"/>
          </w:tcPr>
          <w:p>
            <w:pPr>
              <w:pStyle w:val="TableContents"/>
              <w:bidi w:val="0"/>
              <w:spacing w:before="0" w:after="283"/>
              <w:jc w:val="left"/>
              <w:rPr/>
            </w:pPr>
            <w:r>
              <w:rPr/>
              <w:t>Total shareholders’ equity</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7" w:type="dxa"/>
            <w:tcBorders>
              <w:bottom w:val="single" w:sz="12" w:space="0" w:color="000000"/>
            </w:tcBorders>
            <w:shd w:fill="CCEEFF" w:val="clear"/>
            <w:tcMar>
              <w:bottom w:w="28" w:type="dxa"/>
            </w:tcMar>
            <w:vAlign w:val="center"/>
          </w:tcPr>
          <w:p>
            <w:pPr>
              <w:pStyle w:val="TableContents"/>
              <w:bidi w:val="0"/>
              <w:spacing w:before="0" w:after="283"/>
              <w:jc w:val="right"/>
              <w:rPr/>
            </w:pPr>
            <w:r>
              <w:rPr/>
              <w:t>25,261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9" w:type="dxa"/>
            <w:tcBorders>
              <w:bottom w:val="single" w:sz="12" w:space="0" w:color="000000"/>
            </w:tcBorders>
            <w:shd w:fill="CCEEFF" w:val="clear"/>
            <w:tcMar>
              <w:bottom w:w="28" w:type="dxa"/>
            </w:tcMar>
            <w:vAlign w:val="center"/>
          </w:tcPr>
          <w:p>
            <w:pPr>
              <w:pStyle w:val="TableContents"/>
              <w:bidi w:val="0"/>
              <w:spacing w:before="0" w:after="283"/>
              <w:jc w:val="right"/>
              <w:rPr/>
            </w:pPr>
            <w:r>
              <w:rPr/>
              <w:t>43,953</w:t>
            </w:r>
          </w:p>
        </w:tc>
        <w:tc>
          <w:tcPr>
            <w:tcW w:w="112" w:type="dxa"/>
            <w:tcBorders/>
            <w:shd w:fill="CCEEFF" w:val="clear"/>
            <w:vAlign w:val="center"/>
          </w:tcPr>
          <w:p>
            <w:pPr>
              <w:pStyle w:val="TableContents"/>
              <w:bidi w:val="0"/>
              <w:spacing w:before="0" w:after="283"/>
              <w:jc w:val="left"/>
              <w:rPr/>
            </w:pPr>
            <w:r>
              <w:rPr/>
              <w:t> </w:t>
            </w:r>
            <w:bookmarkStart w:id="96" w:name="xdx_40B_eus-gaap--LiabilitiesAndStockhol"/>
            <w:bookmarkEnd w:id="96"/>
          </w:p>
        </w:tc>
      </w:tr>
      <w:tr>
        <w:trPr/>
        <w:tc>
          <w:tcPr>
            <w:tcW w:w="7412" w:type="dxa"/>
            <w:tcBorders/>
            <w:shd w:fill="FFFFFF" w:val="clear"/>
            <w:vAlign w:val="center"/>
          </w:tcPr>
          <w:p>
            <w:pPr>
              <w:pStyle w:val="TableContents"/>
              <w:bidi w:val="0"/>
              <w:spacing w:before="0" w:after="283"/>
              <w:jc w:val="left"/>
              <w:rPr/>
            </w:pPr>
            <w:r>
              <w:rPr/>
              <w:t>Total liabilities and shareholders’ equity</w:t>
            </w:r>
          </w:p>
        </w:tc>
        <w:tc>
          <w:tcPr>
            <w:tcW w:w="60" w:type="dxa"/>
            <w:tcBorders/>
            <w:shd w:fill="FFFFFF" w:val="cle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87" w:type="dxa"/>
            <w:tcBorders>
              <w:bottom w:val="double" w:sz="6" w:space="0" w:color="000000"/>
            </w:tcBorders>
            <w:shd w:fill="FFFFFF" w:val="clear"/>
            <w:tcMar>
              <w:bottom w:w="28" w:type="dxa"/>
            </w:tcMar>
            <w:vAlign w:val="center"/>
          </w:tcPr>
          <w:p>
            <w:pPr>
              <w:pStyle w:val="TableContents"/>
              <w:bidi w:val="0"/>
              <w:spacing w:before="0" w:after="283"/>
              <w:jc w:val="right"/>
              <w:rPr/>
            </w:pPr>
            <w:r>
              <w:rPr/>
              <w:t>34,564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99" w:type="dxa"/>
            <w:tcBorders>
              <w:bottom w:val="double" w:sz="6" w:space="0" w:color="000000"/>
            </w:tcBorders>
            <w:shd w:fill="FFFFFF" w:val="clear"/>
            <w:tcMar>
              <w:bottom w:w="28" w:type="dxa"/>
            </w:tcMar>
            <w:vAlign w:val="center"/>
          </w:tcPr>
          <w:p>
            <w:pPr>
              <w:pStyle w:val="TableContents"/>
              <w:bidi w:val="0"/>
              <w:spacing w:before="0" w:after="283"/>
              <w:jc w:val="right"/>
              <w:rPr/>
            </w:pPr>
            <w:r>
              <w:rPr/>
              <w:t>53,374</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i w:val="false"/>
          <w:caps w:val="false"/>
          <w:smallCaps w:val="false"/>
          <w:sz w:val="20"/>
        </w:rPr>
      </w:pPr>
      <w:bookmarkStart w:id="97" w:name="hr_004"/>
      <w:bookmarkEnd w:id="97"/>
      <w:r>
        <w:rPr>
          <w:rFonts w:ascii="Times New Roman;Times;Serif" w:hAnsi="Times New Roman;Times;Serif"/>
          <w:b/>
          <w:i w:val="false"/>
          <w:caps w:val="false"/>
          <w:smallCaps w:val="false"/>
          <w:sz w:val="20"/>
        </w:rPr>
        <w:t>Ocean Power Technologies,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$000’s, except per share data)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98" w:name="xdx_305_113_pn3n3_zCZXvZqPUvzh"/>
      <w:bookmarkStart w:id="99" w:name="xdx_305_113_pn3n3_zCZXvZqPUvzh"/>
      <w:bookmarkEnd w:id="99"/>
    </w:p>
    <w:tbl>
      <w:tblPr>
        <w:tblW w:w="10205" w:type="dxa"/>
        <w:jc w:val="left"/>
        <w:tblInd w:w="0" w:type="dxa"/>
        <w:tblLayout w:type="fixed"/>
        <w:tblCellMar>
          <w:top w:w="0" w:type="dxa"/>
          <w:left w:w="0" w:type="dxa"/>
          <w:bottom w:w="0" w:type="dxa"/>
          <w:right w:w="0" w:type="dxa"/>
        </w:tblCellMar>
      </w:tblPr>
      <w:tblGrid>
        <w:gridCol w:w="4058"/>
        <w:gridCol w:w="60"/>
        <w:gridCol w:w="155"/>
        <w:gridCol w:w="1226"/>
        <w:gridCol w:w="105"/>
        <w:gridCol w:w="66"/>
        <w:gridCol w:w="155"/>
        <w:gridCol w:w="1226"/>
        <w:gridCol w:w="95"/>
        <w:gridCol w:w="60"/>
        <w:gridCol w:w="153"/>
        <w:gridCol w:w="1203"/>
        <w:gridCol w:w="103"/>
        <w:gridCol w:w="65"/>
        <w:gridCol w:w="153"/>
        <w:gridCol w:w="1203"/>
        <w:gridCol w:w="119"/>
      </w:tblGrid>
      <w:tr>
        <w:trPr/>
        <w:tc>
          <w:tcPr>
            <w:tcW w:w="405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00" w:name="xdx_496_20231101__20240131_z8tzJmBqyRNb"/>
            <w:bookmarkEnd w:id="100"/>
          </w:p>
        </w:tc>
        <w:tc>
          <w:tcPr>
            <w:tcW w:w="138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05" w:type="dxa"/>
            <w:tcBorders/>
            <w:vAlign w:val="center"/>
          </w:tcPr>
          <w:p>
            <w:pPr>
              <w:pStyle w:val="TableContents"/>
              <w:bidi w:val="0"/>
              <w:spacing w:before="0" w:after="283"/>
              <w:jc w:val="center"/>
              <w:rPr/>
            </w:pPr>
            <w:r>
              <w:rPr/>
              <w:t> </w:t>
            </w:r>
          </w:p>
        </w:tc>
        <w:tc>
          <w:tcPr>
            <w:tcW w:w="66" w:type="dxa"/>
            <w:tcBorders/>
            <w:vAlign w:val="center"/>
          </w:tcPr>
          <w:p>
            <w:pPr>
              <w:pStyle w:val="TableContents"/>
              <w:bidi w:val="0"/>
              <w:spacing w:before="0" w:after="283"/>
              <w:jc w:val="center"/>
              <w:rPr/>
            </w:pPr>
            <w:r>
              <w:rPr/>
              <w:t> </w:t>
            </w:r>
            <w:bookmarkStart w:id="101" w:name="xdx_494_20221101__20230131_zYnLQhDCAKHl"/>
            <w:bookmarkEnd w:id="101"/>
          </w:p>
        </w:tc>
        <w:tc>
          <w:tcPr>
            <w:tcW w:w="138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02" w:name="xdx_491_20230501__20240131_zeApLPHBZGYj"/>
            <w:bookmarkEnd w:id="102"/>
          </w:p>
        </w:tc>
        <w:tc>
          <w:tcPr>
            <w:tcW w:w="135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03" w:type="dxa"/>
            <w:tcBorders/>
            <w:vAlign w:val="center"/>
          </w:tcPr>
          <w:p>
            <w:pPr>
              <w:pStyle w:val="TableContents"/>
              <w:bidi w:val="0"/>
              <w:spacing w:before="0" w:after="283"/>
              <w:jc w:val="center"/>
              <w:rPr/>
            </w:pPr>
            <w:r>
              <w:rPr/>
              <w:t> </w:t>
            </w:r>
          </w:p>
        </w:tc>
        <w:tc>
          <w:tcPr>
            <w:tcW w:w="65" w:type="dxa"/>
            <w:tcBorders/>
            <w:vAlign w:val="center"/>
          </w:tcPr>
          <w:p>
            <w:pPr>
              <w:pStyle w:val="TableContents"/>
              <w:bidi w:val="0"/>
              <w:spacing w:before="0" w:after="283"/>
              <w:jc w:val="center"/>
              <w:rPr/>
            </w:pPr>
            <w:r>
              <w:rPr/>
              <w:t> </w:t>
            </w:r>
            <w:bookmarkStart w:id="103" w:name="xdx_49F_20220501__20230131_zxGXblgpfPWd"/>
            <w:bookmarkEnd w:id="103"/>
          </w:p>
        </w:tc>
        <w:tc>
          <w:tcPr>
            <w:tcW w:w="135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9" w:type="dxa"/>
            <w:tcBorders/>
            <w:vAlign w:val="center"/>
          </w:tcPr>
          <w:p>
            <w:pPr>
              <w:pStyle w:val="TableContents"/>
              <w:bidi w:val="0"/>
              <w:spacing w:before="0" w:after="283"/>
              <w:jc w:val="center"/>
              <w:rPr/>
            </w:pPr>
            <w:r>
              <w:rPr/>
              <w:t> </w:t>
            </w:r>
          </w:p>
        </w:tc>
      </w:tr>
      <w:tr>
        <w:trPr/>
        <w:tc>
          <w:tcPr>
            <w:tcW w:w="40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3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 January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Nine months ended January 31,</w:t>
            </w:r>
          </w:p>
        </w:tc>
        <w:tc>
          <w:tcPr>
            <w:tcW w:w="119" w:type="dxa"/>
            <w:tcBorders/>
            <w:vAlign w:val="center"/>
          </w:tcPr>
          <w:p>
            <w:pPr>
              <w:pStyle w:val="TableContents"/>
              <w:bidi w:val="0"/>
              <w:spacing w:before="0" w:after="283"/>
              <w:jc w:val="left"/>
              <w:rPr/>
            </w:pPr>
            <w:r>
              <w:rPr/>
              <w:t> </w:t>
            </w:r>
          </w:p>
        </w:tc>
      </w:tr>
      <w:tr>
        <w:trPr/>
        <w:tc>
          <w:tcPr>
            <w:tcW w:w="405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8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05" w:type="dxa"/>
            <w:tcBorders/>
            <w:vAlign w:val="center"/>
          </w:tcPr>
          <w:p>
            <w:pPr>
              <w:pStyle w:val="TableContents"/>
              <w:bidi w:val="0"/>
              <w:spacing w:before="0" w:after="283"/>
              <w:jc w:val="center"/>
              <w:rPr/>
            </w:pPr>
            <w:r>
              <w:rPr/>
              <w:t> </w:t>
            </w:r>
          </w:p>
        </w:tc>
        <w:tc>
          <w:tcPr>
            <w:tcW w:w="66" w:type="dxa"/>
            <w:tcBorders/>
            <w:vAlign w:val="center"/>
          </w:tcPr>
          <w:p>
            <w:pPr>
              <w:pStyle w:val="TableContents"/>
              <w:bidi w:val="0"/>
              <w:spacing w:before="0" w:after="283"/>
              <w:jc w:val="center"/>
              <w:rPr/>
            </w:pPr>
            <w:r>
              <w:rPr/>
              <w:t> </w:t>
            </w:r>
          </w:p>
        </w:tc>
        <w:tc>
          <w:tcPr>
            <w:tcW w:w="138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5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03" w:type="dxa"/>
            <w:tcBorders/>
            <w:vAlign w:val="center"/>
          </w:tcPr>
          <w:p>
            <w:pPr>
              <w:pStyle w:val="TableContents"/>
              <w:bidi w:val="0"/>
              <w:spacing w:before="0" w:after="283"/>
              <w:jc w:val="center"/>
              <w:rPr/>
            </w:pPr>
            <w:r>
              <w:rPr/>
              <w:t> </w:t>
            </w:r>
          </w:p>
        </w:tc>
        <w:tc>
          <w:tcPr>
            <w:tcW w:w="65" w:type="dxa"/>
            <w:tcBorders/>
            <w:vAlign w:val="center"/>
          </w:tcPr>
          <w:p>
            <w:pPr>
              <w:pStyle w:val="TableContents"/>
              <w:bidi w:val="0"/>
              <w:spacing w:before="0" w:after="283"/>
              <w:jc w:val="center"/>
              <w:rPr/>
            </w:pPr>
            <w:r>
              <w:rPr/>
              <w:t> </w:t>
            </w:r>
          </w:p>
        </w:tc>
        <w:tc>
          <w:tcPr>
            <w:tcW w:w="135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9" w:type="dxa"/>
            <w:tcBorders/>
            <w:vAlign w:val="center"/>
          </w:tcPr>
          <w:p>
            <w:pPr>
              <w:pStyle w:val="TableContents"/>
              <w:bidi w:val="0"/>
              <w:spacing w:before="0" w:after="283"/>
              <w:jc w:val="center"/>
              <w:rPr/>
            </w:pPr>
            <w:r>
              <w:rPr/>
              <w:t> </w:t>
            </w:r>
          </w:p>
        </w:tc>
      </w:tr>
      <w:tr>
        <w:trPr/>
        <w:tc>
          <w:tcPr>
            <w:tcW w:w="40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1" w:type="dxa"/>
            <w:gridSpan w:val="2"/>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381"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6" w:type="dxa"/>
            <w:gridSpan w:val="2"/>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356" w:type="dxa"/>
            <w:gridSpan w:val="2"/>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bookmarkStart w:id="104" w:name="xdx_402_eus-gaap--Revenues_maCzB4u_z00OC"/>
            <w:bookmarkEnd w:id="104"/>
          </w:p>
        </w:tc>
      </w:tr>
      <w:tr>
        <w:trPr/>
        <w:tc>
          <w:tcPr>
            <w:tcW w:w="4058"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1226" w:type="dxa"/>
            <w:tcBorders/>
            <w:shd w:fill="CCEEFF" w:val="clear"/>
            <w:vAlign w:val="center"/>
          </w:tcPr>
          <w:p>
            <w:pPr>
              <w:pStyle w:val="TableContents"/>
              <w:bidi w:val="0"/>
              <w:spacing w:before="0" w:after="283"/>
              <w:jc w:val="right"/>
              <w:rPr/>
            </w:pPr>
            <w:r>
              <w:rPr/>
              <w:t>1,792</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1226" w:type="dxa"/>
            <w:tcBorders/>
            <w:shd w:fill="CCEEFF" w:val="clear"/>
            <w:vAlign w:val="center"/>
          </w:tcPr>
          <w:p>
            <w:pPr>
              <w:pStyle w:val="TableContents"/>
              <w:bidi w:val="0"/>
              <w:spacing w:before="0" w:after="283"/>
              <w:jc w:val="right"/>
              <w:rPr/>
            </w:pPr>
            <w:r>
              <w:rPr/>
              <w:t>734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1203" w:type="dxa"/>
            <w:tcBorders/>
            <w:shd w:fill="CCEEFF" w:val="clear"/>
            <w:vAlign w:val="center"/>
          </w:tcPr>
          <w:p>
            <w:pPr>
              <w:pStyle w:val="TableContents"/>
              <w:bidi w:val="0"/>
              <w:spacing w:before="0" w:after="283"/>
              <w:jc w:val="right"/>
              <w:rPr/>
            </w:pPr>
            <w:r>
              <w:rPr/>
              <w:t>3,953</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1203" w:type="dxa"/>
            <w:tcBorders/>
            <w:shd w:fill="CCEEFF" w:val="clear"/>
            <w:vAlign w:val="center"/>
          </w:tcPr>
          <w:p>
            <w:pPr>
              <w:pStyle w:val="TableContents"/>
              <w:bidi w:val="0"/>
              <w:spacing w:before="0" w:after="283"/>
              <w:jc w:val="right"/>
              <w:rPr/>
            </w:pPr>
            <w:r>
              <w:rPr/>
              <w:t>1,752</w:t>
            </w:r>
          </w:p>
        </w:tc>
        <w:tc>
          <w:tcPr>
            <w:tcW w:w="119" w:type="dxa"/>
            <w:tcBorders/>
            <w:shd w:fill="CCEEFF" w:val="clear"/>
            <w:vAlign w:val="center"/>
          </w:tcPr>
          <w:p>
            <w:pPr>
              <w:pStyle w:val="TableContents"/>
              <w:bidi w:val="0"/>
              <w:spacing w:before="0" w:after="283"/>
              <w:jc w:val="left"/>
              <w:rPr/>
            </w:pPr>
            <w:r>
              <w:rPr/>
              <w:t> </w:t>
            </w:r>
            <w:bookmarkStart w:id="105" w:name="xdx_40A_eus-gaap--CostOfRevenue_msCzB4u_"/>
            <w:bookmarkEnd w:id="105"/>
          </w:p>
        </w:tc>
      </w:tr>
      <w:tr>
        <w:trPr/>
        <w:tc>
          <w:tcPr>
            <w:tcW w:w="4058"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6" w:type="dxa"/>
            <w:tcBorders>
              <w:bottom w:val="single" w:sz="12" w:space="0" w:color="000000"/>
            </w:tcBorders>
            <w:shd w:fill="FFFFFF" w:val="clear"/>
            <w:tcMar>
              <w:bottom w:w="28" w:type="dxa"/>
            </w:tcMar>
            <w:vAlign w:val="center"/>
          </w:tcPr>
          <w:p>
            <w:pPr>
              <w:pStyle w:val="TableContents"/>
              <w:bidi w:val="0"/>
              <w:spacing w:before="0" w:after="283"/>
              <w:jc w:val="right"/>
              <w:rPr/>
            </w:pPr>
            <w:r>
              <w:rPr/>
              <w:t>979</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6" w:type="dxa"/>
            <w:tcBorders>
              <w:bottom w:val="single" w:sz="12" w:space="0" w:color="000000"/>
            </w:tcBorders>
            <w:shd w:fill="FFFFFF" w:val="clear"/>
            <w:tcMar>
              <w:bottom w:w="28" w:type="dxa"/>
            </w:tcMar>
            <w:vAlign w:val="center"/>
          </w:tcPr>
          <w:p>
            <w:pPr>
              <w:pStyle w:val="TableContents"/>
              <w:bidi w:val="0"/>
              <w:spacing w:before="0" w:after="283"/>
              <w:jc w:val="right"/>
              <w:rPr/>
            </w:pPr>
            <w:r>
              <w:rPr/>
              <w:t>598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3" w:type="dxa"/>
            <w:tcBorders>
              <w:bottom w:val="single" w:sz="12" w:space="0" w:color="000000"/>
            </w:tcBorders>
            <w:shd w:fill="FFFFFF" w:val="clear"/>
            <w:tcMar>
              <w:bottom w:w="28" w:type="dxa"/>
            </w:tcMar>
            <w:vAlign w:val="center"/>
          </w:tcPr>
          <w:p>
            <w:pPr>
              <w:pStyle w:val="TableContents"/>
              <w:bidi w:val="0"/>
              <w:spacing w:before="0" w:after="283"/>
              <w:jc w:val="right"/>
              <w:rPr/>
            </w:pPr>
            <w:r>
              <w:rPr/>
              <w:t>1,989</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3" w:type="dxa"/>
            <w:tcBorders>
              <w:bottom w:val="single" w:sz="12" w:space="0" w:color="000000"/>
            </w:tcBorders>
            <w:shd w:fill="FFFFFF" w:val="clear"/>
            <w:tcMar>
              <w:bottom w:w="28" w:type="dxa"/>
            </w:tcMar>
            <w:vAlign w:val="center"/>
          </w:tcPr>
          <w:p>
            <w:pPr>
              <w:pStyle w:val="TableContents"/>
              <w:bidi w:val="0"/>
              <w:spacing w:before="0" w:after="283"/>
              <w:jc w:val="right"/>
              <w:rPr/>
            </w:pPr>
            <w:r>
              <w:rPr/>
              <w:t>1,382</w:t>
            </w:r>
          </w:p>
        </w:tc>
        <w:tc>
          <w:tcPr>
            <w:tcW w:w="119" w:type="dxa"/>
            <w:tcBorders/>
            <w:shd w:fill="FFFFFF" w:val="clear"/>
            <w:vAlign w:val="center"/>
          </w:tcPr>
          <w:p>
            <w:pPr>
              <w:pStyle w:val="TableContents"/>
              <w:bidi w:val="0"/>
              <w:spacing w:before="0" w:after="283"/>
              <w:jc w:val="left"/>
              <w:rPr/>
            </w:pPr>
            <w:r>
              <w:rPr/>
              <w:t> </w:t>
            </w:r>
            <w:bookmarkStart w:id="106" w:name="xdx_402_eus-gaap--GrossProfit_iT_mtCzB4u"/>
            <w:bookmarkEnd w:id="106"/>
          </w:p>
        </w:tc>
      </w:tr>
      <w:tr>
        <w:trPr/>
        <w:tc>
          <w:tcPr>
            <w:tcW w:w="4058" w:type="dxa"/>
            <w:tcBorders/>
            <w:shd w:fill="CCEEFF" w:val="clear"/>
            <w:vAlign w:val="center"/>
          </w:tcPr>
          <w:p>
            <w:pPr>
              <w:pStyle w:val="TableContents"/>
              <w:bidi w:val="0"/>
              <w:spacing w:before="0" w:after="283"/>
              <w:jc w:val="left"/>
              <w:rPr/>
            </w:pPr>
            <w:r>
              <w:rPr/>
              <w:t>Gross margin</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813</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136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1,964</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370</w:t>
            </w:r>
          </w:p>
        </w:tc>
        <w:tc>
          <w:tcPr>
            <w:tcW w:w="119" w:type="dxa"/>
            <w:tcBorders/>
            <w:shd w:fill="CCEEFF" w:val="clear"/>
            <w:vAlign w:val="center"/>
          </w:tcPr>
          <w:p>
            <w:pPr>
              <w:pStyle w:val="TableContents"/>
              <w:bidi w:val="0"/>
              <w:spacing w:before="0" w:after="283"/>
              <w:jc w:val="left"/>
              <w:rPr/>
            </w:pPr>
            <w:r>
              <w:rPr/>
              <w:t> </w:t>
            </w:r>
          </w:p>
        </w:tc>
      </w:tr>
      <w:tr>
        <w:trPr/>
        <w:tc>
          <w:tcPr>
            <w:tcW w:w="40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bookmarkStart w:id="107" w:name="xdx_40C_eus-gaap--OperatingExpenses_msCz"/>
            <w:bookmarkEnd w:id="107"/>
          </w:p>
        </w:tc>
      </w:tr>
      <w:tr>
        <w:trPr/>
        <w:tc>
          <w:tcPr>
            <w:tcW w:w="4058"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8,551</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6,820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24,648</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19,546</w:t>
            </w:r>
          </w:p>
        </w:tc>
        <w:tc>
          <w:tcPr>
            <w:tcW w:w="119" w:type="dxa"/>
            <w:tcBorders/>
            <w:shd w:fill="CCEEFF" w:val="clear"/>
            <w:vAlign w:val="center"/>
          </w:tcPr>
          <w:p>
            <w:pPr>
              <w:pStyle w:val="TableContents"/>
              <w:bidi w:val="0"/>
              <w:spacing w:before="0" w:after="283"/>
              <w:jc w:val="left"/>
              <w:rPr/>
            </w:pPr>
            <w:r>
              <w:rPr/>
              <w:t> </w:t>
            </w:r>
            <w:bookmarkStart w:id="108" w:name="xdx_40F_eus-gaap--BusinessCombinationCon"/>
            <w:bookmarkEnd w:id="108"/>
          </w:p>
        </w:tc>
      </w:tr>
      <w:tr>
        <w:trPr/>
        <w:tc>
          <w:tcPr>
            <w:tcW w:w="4058" w:type="dxa"/>
            <w:tcBorders/>
            <w:shd w:fill="FFFFFF" w:val="clear"/>
            <w:vAlign w:val="center"/>
          </w:tcPr>
          <w:p>
            <w:pPr>
              <w:pStyle w:val="TableContents"/>
              <w:bidi w:val="0"/>
              <w:spacing w:before="0" w:after="283"/>
              <w:jc w:val="left"/>
              <w:rPr/>
            </w:pPr>
            <w:r>
              <w:rPr/>
              <w:t>(Gain)/loss from change in fair value of consideration</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6" w:type="dxa"/>
            <w:tcBorders>
              <w:bottom w:val="single" w:sz="12" w:space="0" w:color="000000"/>
            </w:tcBorders>
            <w:shd w:fill="FFFFFF" w:val="clear"/>
            <w:tcMar>
              <w:bottom w:w="28" w:type="dxa"/>
            </w:tcMar>
            <w:vAlign w:val="center"/>
          </w:tcPr>
          <w:p>
            <w:pPr>
              <w:pStyle w:val="TableContents"/>
              <w:bidi w:val="0"/>
              <w:spacing w:before="0" w:after="283"/>
              <w:jc w:val="right"/>
              <w:rPr/>
            </w:pPr>
            <w:r>
              <w:rPr/>
              <w:t>(33</w:t>
            </w:r>
          </w:p>
        </w:tc>
        <w:tc>
          <w:tcPr>
            <w:tcW w:w="105"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6" w:type="dxa"/>
            <w:tcBorders>
              <w:bottom w:val="single" w:sz="12" w:space="0" w:color="000000"/>
            </w:tcBorders>
            <w:shd w:fill="FFFFFF" w:val="clear"/>
            <w:tcMar>
              <w:bottom w:w="28" w:type="dxa"/>
            </w:tcMar>
            <w:vAlign w:val="center"/>
          </w:tcPr>
          <w:p>
            <w:pPr>
              <w:pStyle w:val="TableContents"/>
              <w:bidi w:val="0"/>
              <w:spacing w:before="0" w:after="283"/>
              <w:jc w:val="right"/>
              <w:rPr/>
            </w:pPr>
            <w:r>
              <w:rPr/>
              <w:t>373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3" w:type="dxa"/>
            <w:tcBorders>
              <w:bottom w:val="single" w:sz="12" w:space="0" w:color="000000"/>
            </w:tcBorders>
            <w:shd w:fill="FFFFFF" w:val="clear"/>
            <w:tcMar>
              <w:bottom w:w="28" w:type="dxa"/>
            </w:tcMar>
            <w:vAlign w:val="center"/>
          </w:tcPr>
          <w:p>
            <w:pPr>
              <w:pStyle w:val="TableContents"/>
              <w:bidi w:val="0"/>
              <w:spacing w:before="0" w:after="283"/>
              <w:jc w:val="right"/>
              <w:rPr/>
            </w:pPr>
            <w:r>
              <w:rPr/>
              <w:t>(117</w:t>
            </w:r>
          </w:p>
        </w:tc>
        <w:tc>
          <w:tcPr>
            <w:tcW w:w="103"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3" w:type="dxa"/>
            <w:tcBorders>
              <w:bottom w:val="single" w:sz="12" w:space="0" w:color="000000"/>
            </w:tcBorders>
            <w:shd w:fill="FFFFFF" w:val="clear"/>
            <w:tcMar>
              <w:bottom w:w="28" w:type="dxa"/>
            </w:tcMar>
            <w:vAlign w:val="center"/>
          </w:tcPr>
          <w:p>
            <w:pPr>
              <w:pStyle w:val="TableContents"/>
              <w:bidi w:val="0"/>
              <w:spacing w:before="0" w:after="283"/>
              <w:jc w:val="right"/>
              <w:rPr/>
            </w:pPr>
            <w:r>
              <w:rPr/>
              <w:t>154</w:t>
            </w:r>
          </w:p>
        </w:tc>
        <w:tc>
          <w:tcPr>
            <w:tcW w:w="119" w:type="dxa"/>
            <w:tcBorders/>
            <w:shd w:fill="FFFFFF" w:val="clear"/>
            <w:vAlign w:val="center"/>
          </w:tcPr>
          <w:p>
            <w:pPr>
              <w:pStyle w:val="TableContents"/>
              <w:bidi w:val="0"/>
              <w:spacing w:before="0" w:after="283"/>
              <w:jc w:val="left"/>
              <w:rPr/>
            </w:pPr>
            <w:r>
              <w:rPr/>
              <w:t> </w:t>
            </w:r>
            <w:bookmarkStart w:id="109" w:name="xdx_40A_eus-gaap--OperatingIncomeLoss_iT"/>
            <w:bookmarkEnd w:id="109"/>
          </w:p>
        </w:tc>
      </w:tr>
      <w:tr>
        <w:trPr/>
        <w:tc>
          <w:tcPr>
            <w:tcW w:w="4058" w:type="dxa"/>
            <w:tcBorders/>
            <w:shd w:fill="CCEEFF" w:val="clear"/>
            <w:vAlign w:val="center"/>
          </w:tcPr>
          <w:p>
            <w:pPr>
              <w:pStyle w:val="TableContents"/>
              <w:bidi w:val="0"/>
              <w:spacing w:before="0" w:after="283"/>
              <w:jc w:val="left"/>
              <w:rPr/>
            </w:pPr>
            <w:r>
              <w:rPr/>
              <w:t>Operating loss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6" w:type="dxa"/>
            <w:tcBorders>
              <w:bottom w:val="single" w:sz="12" w:space="0" w:color="000000"/>
            </w:tcBorders>
            <w:shd w:fill="CCEEFF" w:val="clear"/>
            <w:tcMar>
              <w:bottom w:w="28" w:type="dxa"/>
            </w:tcMar>
            <w:vAlign w:val="center"/>
          </w:tcPr>
          <w:p>
            <w:pPr>
              <w:pStyle w:val="TableContents"/>
              <w:bidi w:val="0"/>
              <w:spacing w:before="0" w:after="283"/>
              <w:jc w:val="right"/>
              <w:rPr/>
            </w:pPr>
            <w:r>
              <w:rPr/>
              <w:t>(7,705</w:t>
            </w:r>
          </w:p>
        </w:tc>
        <w:tc>
          <w:tcPr>
            <w:tcW w:w="105"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6" w:type="dxa"/>
            <w:tcBorders>
              <w:bottom w:val="single" w:sz="12" w:space="0" w:color="000000"/>
            </w:tcBorders>
            <w:shd w:fill="CCEEFF" w:val="clear"/>
            <w:tcMar>
              <w:bottom w:w="28" w:type="dxa"/>
            </w:tcMar>
            <w:vAlign w:val="center"/>
          </w:tcPr>
          <w:p>
            <w:pPr>
              <w:pStyle w:val="TableContents"/>
              <w:bidi w:val="0"/>
              <w:spacing w:before="0" w:after="283"/>
              <w:jc w:val="right"/>
              <w:rPr/>
            </w:pPr>
            <w:r>
              <w:rPr/>
              <w:t>(7,057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3" w:type="dxa"/>
            <w:tcBorders>
              <w:bottom w:val="single" w:sz="12" w:space="0" w:color="000000"/>
            </w:tcBorders>
            <w:shd w:fill="CCEEFF" w:val="clear"/>
            <w:tcMar>
              <w:bottom w:w="28" w:type="dxa"/>
            </w:tcMar>
            <w:vAlign w:val="center"/>
          </w:tcPr>
          <w:p>
            <w:pPr>
              <w:pStyle w:val="TableContents"/>
              <w:bidi w:val="0"/>
              <w:spacing w:before="0" w:after="283"/>
              <w:jc w:val="right"/>
              <w:rPr/>
            </w:pPr>
            <w:r>
              <w:rPr/>
              <w:t>(22,567</w:t>
            </w:r>
          </w:p>
        </w:tc>
        <w:tc>
          <w:tcPr>
            <w:tcW w:w="103"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3" w:type="dxa"/>
            <w:tcBorders>
              <w:bottom w:val="single" w:sz="12" w:space="0" w:color="000000"/>
            </w:tcBorders>
            <w:shd w:fill="CCEEFF" w:val="clear"/>
            <w:tcMar>
              <w:bottom w:w="28" w:type="dxa"/>
            </w:tcMar>
            <w:vAlign w:val="center"/>
          </w:tcPr>
          <w:p>
            <w:pPr>
              <w:pStyle w:val="TableContents"/>
              <w:bidi w:val="0"/>
              <w:spacing w:before="0" w:after="283"/>
              <w:jc w:val="right"/>
              <w:rPr/>
            </w:pPr>
            <w:r>
              <w:rPr/>
              <w:t>(19,330</w:t>
            </w:r>
          </w:p>
        </w:tc>
        <w:tc>
          <w:tcPr>
            <w:tcW w:w="119" w:type="dxa"/>
            <w:tcBorders/>
            <w:shd w:fill="CCEEFF" w:val="clear"/>
            <w:vAlign w:val="center"/>
          </w:tcPr>
          <w:p>
            <w:pPr>
              <w:pStyle w:val="TableContents"/>
              <w:bidi w:val="0"/>
              <w:spacing w:before="0" w:after="283"/>
              <w:jc w:val="left"/>
              <w:rPr/>
            </w:pPr>
            <w:r>
              <w:rPr/>
              <w:t>)</w:t>
            </w:r>
          </w:p>
        </w:tc>
      </w:tr>
      <w:tr>
        <w:trPr/>
        <w:tc>
          <w:tcPr>
            <w:tcW w:w="40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bookmarkStart w:id="110" w:name="xdx_406_eus-gaap--InterestIncomeExpenseN"/>
            <w:bookmarkEnd w:id="110"/>
          </w:p>
        </w:tc>
      </w:tr>
      <w:tr>
        <w:trPr/>
        <w:tc>
          <w:tcPr>
            <w:tcW w:w="4058" w:type="dxa"/>
            <w:tcBorders/>
            <w:shd w:fill="CCEEFF" w:val="clear"/>
            <w:vAlign w:val="center"/>
          </w:tcPr>
          <w:p>
            <w:pPr>
              <w:pStyle w:val="TableContents"/>
              <w:bidi w:val="0"/>
              <w:spacing w:before="0" w:after="283"/>
              <w:jc w:val="left"/>
              <w:rPr/>
            </w:pPr>
            <w:r>
              <w:rPr/>
              <w:t>Interest income, net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151</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229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760</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604</w:t>
            </w:r>
          </w:p>
        </w:tc>
        <w:tc>
          <w:tcPr>
            <w:tcW w:w="119" w:type="dxa"/>
            <w:tcBorders/>
            <w:shd w:fill="CCEEFF" w:val="clear"/>
            <w:vAlign w:val="center"/>
          </w:tcPr>
          <w:p>
            <w:pPr>
              <w:pStyle w:val="TableContents"/>
              <w:bidi w:val="0"/>
              <w:spacing w:before="0" w:after="283"/>
              <w:jc w:val="left"/>
              <w:rPr/>
            </w:pPr>
            <w:r>
              <w:rPr/>
              <w:t> </w:t>
            </w:r>
            <w:bookmarkStart w:id="111" w:name="xdx_406_eus-gaap--InsuranceRecoveries_ma"/>
            <w:bookmarkEnd w:id="111"/>
          </w:p>
        </w:tc>
      </w:tr>
      <w:tr>
        <w:trPr/>
        <w:tc>
          <w:tcPr>
            <w:tcW w:w="4058" w:type="dxa"/>
            <w:tcBorders/>
            <w:shd w:fill="FFFFFF" w:val="clear"/>
            <w:vAlign w:val="center"/>
          </w:tcPr>
          <w:p>
            <w:pPr>
              <w:pStyle w:val="TableContents"/>
              <w:bidi w:val="0"/>
              <w:spacing w:before="0" w:after="283"/>
              <w:jc w:val="left"/>
              <w:rPr/>
            </w:pPr>
            <w:r>
              <w:rPr/>
              <w:t>Other income, proceeds from insurance claim</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458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458</w:t>
            </w:r>
          </w:p>
        </w:tc>
        <w:tc>
          <w:tcPr>
            <w:tcW w:w="119" w:type="dxa"/>
            <w:tcBorders/>
            <w:shd w:fill="FFFFFF" w:val="clear"/>
            <w:vAlign w:val="center"/>
          </w:tcPr>
          <w:p>
            <w:pPr>
              <w:pStyle w:val="TableContents"/>
              <w:bidi w:val="0"/>
              <w:spacing w:before="0" w:after="283"/>
              <w:jc w:val="left"/>
              <w:rPr/>
            </w:pPr>
            <w:r>
              <w:rPr/>
              <w:t> </w:t>
            </w:r>
            <w:bookmarkStart w:id="112" w:name="xdx_40D_ecustom--OtherIncomeEmployeeRete"/>
            <w:bookmarkEnd w:id="112"/>
          </w:p>
        </w:tc>
      </w:tr>
      <w:tr>
        <w:trPr/>
        <w:tc>
          <w:tcPr>
            <w:tcW w:w="4058" w:type="dxa"/>
            <w:tcBorders/>
            <w:shd w:fill="CCEEFF" w:val="clear"/>
            <w:vAlign w:val="center"/>
          </w:tcPr>
          <w:p>
            <w:pPr>
              <w:pStyle w:val="TableContents"/>
              <w:bidi w:val="0"/>
              <w:spacing w:before="0" w:after="283"/>
              <w:jc w:val="left"/>
              <w:rPr/>
            </w:pPr>
            <w:r>
              <w:rPr/>
              <w:t>Other income, employee retention credit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1,202</w:t>
            </w:r>
          </w:p>
        </w:tc>
        <w:tc>
          <w:tcPr>
            <w:tcW w:w="119" w:type="dxa"/>
            <w:tcBorders/>
            <w:shd w:fill="CCEEFF" w:val="clear"/>
            <w:vAlign w:val="center"/>
          </w:tcPr>
          <w:p>
            <w:pPr>
              <w:pStyle w:val="TableContents"/>
              <w:bidi w:val="0"/>
              <w:spacing w:before="0" w:after="283"/>
              <w:jc w:val="left"/>
              <w:rPr/>
            </w:pPr>
            <w:r>
              <w:rPr/>
              <w:t> </w:t>
            </w:r>
            <w:bookmarkStart w:id="113" w:name="xdx_401_eus-gaap--GainLossOnDispositionO"/>
            <w:bookmarkEnd w:id="113"/>
          </w:p>
        </w:tc>
      </w:tr>
      <w:tr>
        <w:trPr/>
        <w:tc>
          <w:tcPr>
            <w:tcW w:w="4058" w:type="dxa"/>
            <w:tcBorders/>
            <w:shd w:fill="FFFFFF" w:val="clear"/>
            <w:vAlign w:val="center"/>
          </w:tcPr>
          <w:p>
            <w:pPr>
              <w:pStyle w:val="TableContents"/>
              <w:bidi w:val="0"/>
              <w:spacing w:before="0" w:after="283"/>
              <w:jc w:val="left"/>
              <w:rPr/>
            </w:pPr>
            <w:r>
              <w:rPr/>
              <w:t>Loss on disposition of assets (Note 7)</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(210</w:t>
            </w:r>
          </w:p>
        </w:tc>
        <w:tc>
          <w:tcPr>
            <w:tcW w:w="105"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(210</w:t>
            </w:r>
          </w:p>
        </w:tc>
        <w:tc>
          <w:tcPr>
            <w:tcW w:w="103"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w:t>
            </w:r>
          </w:p>
        </w:tc>
        <w:tc>
          <w:tcPr>
            <w:tcW w:w="119" w:type="dxa"/>
            <w:tcBorders/>
            <w:shd w:fill="FFFFFF" w:val="clear"/>
            <w:vAlign w:val="center"/>
          </w:tcPr>
          <w:p>
            <w:pPr>
              <w:pStyle w:val="TableContents"/>
              <w:bidi w:val="0"/>
              <w:spacing w:before="0" w:after="283"/>
              <w:jc w:val="left"/>
              <w:rPr/>
            </w:pPr>
            <w:r>
              <w:rPr/>
              <w:t> </w:t>
            </w:r>
            <w:bookmarkStart w:id="114" w:name="xdx_402_eus-gaap--ForeignCurrencyTransac"/>
            <w:bookmarkEnd w:id="114"/>
          </w:p>
        </w:tc>
      </w:tr>
      <w:tr>
        <w:trPr/>
        <w:tc>
          <w:tcPr>
            <w:tcW w:w="4058" w:type="dxa"/>
            <w:tcBorders/>
            <w:shd w:fill="CCEEFF" w:val="clear"/>
            <w:vAlign w:val="center"/>
          </w:tcPr>
          <w:p>
            <w:pPr>
              <w:pStyle w:val="TableContents"/>
              <w:bidi w:val="0"/>
              <w:spacing w:before="0" w:after="283"/>
              <w:jc w:val="left"/>
              <w:rPr/>
            </w:pPr>
            <w:r>
              <w:rPr/>
              <w:t>Foreign exchange gain</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6" w:type="dxa"/>
            <w:tcBorders>
              <w:bottom w:val="single" w:sz="12" w:space="0" w:color="000000"/>
            </w:tcBorders>
            <w:shd w:fill="CCEEFF" w:val="clear"/>
            <w:tcMar>
              <w:bottom w:w="28" w:type="dxa"/>
            </w:tcMar>
            <w:vAlign w:val="center"/>
          </w:tcPr>
          <w:p>
            <w:pPr>
              <w:pStyle w:val="TableContents"/>
              <w:bidi w:val="0"/>
              <w:spacing w:before="0" w:after="283"/>
              <w:jc w:val="right"/>
              <w:rPr/>
            </w:pPr>
            <w:r>
              <w:rPr/>
              <w:t>1</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6" w:type="dxa"/>
            <w:tcBorders>
              <w:bottom w:val="single" w:sz="12" w:space="0" w:color="000000"/>
            </w:tcBorders>
            <w:shd w:fill="CCEEFF" w:val="clear"/>
            <w:tcMar>
              <w:bottom w:w="28" w:type="dxa"/>
            </w:tcM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3" w:type="dxa"/>
            <w:tcBorders>
              <w:bottom w:val="single" w:sz="12" w:space="0" w:color="000000"/>
            </w:tcBorders>
            <w:shd w:fill="CCEEFF" w:val="clear"/>
            <w:tcMar>
              <w:bottom w:w="28" w:type="dxa"/>
            </w:tcMar>
            <w:vAlign w:val="center"/>
          </w:tcPr>
          <w:p>
            <w:pPr>
              <w:pStyle w:val="TableContents"/>
              <w:bidi w:val="0"/>
              <w:spacing w:before="0" w:after="283"/>
              <w:jc w:val="right"/>
              <w:rPr/>
            </w:pPr>
            <w:r>
              <w:rPr/>
              <w:t>2</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3" w:type="dxa"/>
            <w:tcBorders>
              <w:bottom w:val="single" w:sz="12" w:space="0" w:color="000000"/>
            </w:tcBorders>
            <w:shd w:fill="CCEEFF" w:val="clear"/>
            <w:tcMar>
              <w:bottom w:w="28" w:type="dxa"/>
            </w:tcMar>
            <w:vAlign w:val="center"/>
          </w:tcPr>
          <w:p>
            <w:pPr>
              <w:pStyle w:val="TableContents"/>
              <w:bidi w:val="0"/>
              <w:spacing w:before="0" w:after="283"/>
              <w:jc w:val="right"/>
              <w:rPr/>
            </w:pPr>
            <w:r>
              <w:rPr/>
              <w:t>2</w:t>
            </w:r>
          </w:p>
        </w:tc>
        <w:tc>
          <w:tcPr>
            <w:tcW w:w="119" w:type="dxa"/>
            <w:tcBorders/>
            <w:shd w:fill="CCEEFF" w:val="clear"/>
            <w:vAlign w:val="center"/>
          </w:tcPr>
          <w:p>
            <w:pPr>
              <w:pStyle w:val="TableContents"/>
              <w:bidi w:val="0"/>
              <w:spacing w:before="0" w:after="283"/>
              <w:jc w:val="left"/>
              <w:rPr/>
            </w:pPr>
            <w:r>
              <w:rPr/>
              <w:t> </w:t>
            </w:r>
            <w:bookmarkStart w:id="115" w:name="xdx_400_eus-gaap--IncomeLossFromContinui"/>
            <w:bookmarkEnd w:id="115"/>
          </w:p>
        </w:tc>
      </w:tr>
      <w:tr>
        <w:trPr/>
        <w:tc>
          <w:tcPr>
            <w:tcW w:w="4058" w:type="dxa"/>
            <w:tcBorders/>
            <w:shd w:fill="FFFFFF" w:val="clear"/>
            <w:vAlign w:val="center"/>
          </w:tcPr>
          <w:p>
            <w:pPr>
              <w:pStyle w:val="TableContents"/>
              <w:bidi w:val="0"/>
              <w:spacing w:before="0" w:after="283"/>
              <w:jc w:val="left"/>
              <w:rPr/>
            </w:pPr>
            <w:r>
              <w:rPr/>
              <w:t>Loss before income taxes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6" w:type="dxa"/>
            <w:tcBorders>
              <w:bottom w:val="single" w:sz="12" w:space="0" w:color="000000"/>
            </w:tcBorders>
            <w:shd w:fill="FFFFFF" w:val="clear"/>
            <w:tcMar>
              <w:bottom w:w="28" w:type="dxa"/>
            </w:tcMar>
            <w:vAlign w:val="center"/>
          </w:tcPr>
          <w:p>
            <w:pPr>
              <w:pStyle w:val="TableContents"/>
              <w:bidi w:val="0"/>
              <w:spacing w:before="0" w:after="283"/>
              <w:jc w:val="right"/>
              <w:rPr/>
            </w:pPr>
            <w:r>
              <w:rPr/>
              <w:t>(7,763</w:t>
            </w:r>
          </w:p>
        </w:tc>
        <w:tc>
          <w:tcPr>
            <w:tcW w:w="105"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6" w:type="dxa"/>
            <w:tcBorders>
              <w:bottom w:val="single" w:sz="12" w:space="0" w:color="000000"/>
            </w:tcBorders>
            <w:shd w:fill="FFFFFF" w:val="clear"/>
            <w:tcMar>
              <w:bottom w:w="28" w:type="dxa"/>
            </w:tcMar>
            <w:vAlign w:val="center"/>
          </w:tcPr>
          <w:p>
            <w:pPr>
              <w:pStyle w:val="TableContents"/>
              <w:bidi w:val="0"/>
              <w:spacing w:before="0" w:after="283"/>
              <w:jc w:val="right"/>
              <w:rPr/>
            </w:pPr>
            <w:r>
              <w:rPr/>
              <w:t>(6,368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3" w:type="dxa"/>
            <w:tcBorders>
              <w:bottom w:val="single" w:sz="12" w:space="0" w:color="000000"/>
            </w:tcBorders>
            <w:shd w:fill="FFFFFF" w:val="clear"/>
            <w:tcMar>
              <w:bottom w:w="28" w:type="dxa"/>
            </w:tcMar>
            <w:vAlign w:val="center"/>
          </w:tcPr>
          <w:p>
            <w:pPr>
              <w:pStyle w:val="TableContents"/>
              <w:bidi w:val="0"/>
              <w:spacing w:before="0" w:after="283"/>
              <w:jc w:val="right"/>
              <w:rPr/>
            </w:pPr>
            <w:r>
              <w:rPr/>
              <w:t>(22,015</w:t>
            </w:r>
          </w:p>
        </w:tc>
        <w:tc>
          <w:tcPr>
            <w:tcW w:w="103"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3" w:type="dxa"/>
            <w:tcBorders>
              <w:bottom w:val="single" w:sz="12" w:space="0" w:color="000000"/>
            </w:tcBorders>
            <w:shd w:fill="FFFFFF" w:val="clear"/>
            <w:tcMar>
              <w:bottom w:w="28" w:type="dxa"/>
            </w:tcMar>
            <w:vAlign w:val="center"/>
          </w:tcPr>
          <w:p>
            <w:pPr>
              <w:pStyle w:val="TableContents"/>
              <w:bidi w:val="0"/>
              <w:spacing w:before="0" w:after="283"/>
              <w:jc w:val="right"/>
              <w:rPr/>
            </w:pPr>
            <w:r>
              <w:rPr/>
              <w:t>(17,064</w:t>
            </w:r>
          </w:p>
        </w:tc>
        <w:tc>
          <w:tcPr>
            <w:tcW w:w="119" w:type="dxa"/>
            <w:tcBorders/>
            <w:shd w:fill="FFFFFF" w:val="clear"/>
            <w:vAlign w:val="center"/>
          </w:tcPr>
          <w:p>
            <w:pPr>
              <w:pStyle w:val="TableContents"/>
              <w:bidi w:val="0"/>
              <w:spacing w:before="0" w:after="283"/>
              <w:jc w:val="left"/>
              <w:rPr/>
            </w:pPr>
            <w:r>
              <w:rPr/>
              <w:t>)</w:t>
            </w:r>
            <w:bookmarkStart w:id="116" w:name="xdx_40F_eus-gaap--IncomeTaxExpenseBenefi"/>
            <w:bookmarkEnd w:id="116"/>
          </w:p>
        </w:tc>
      </w:tr>
      <w:tr>
        <w:trPr/>
        <w:tc>
          <w:tcPr>
            <w:tcW w:w="4058" w:type="dxa"/>
            <w:tcBorders/>
            <w:shd w:fill="CCEEFF" w:val="clear"/>
            <w:vAlign w:val="center"/>
          </w:tcPr>
          <w:p>
            <w:pPr>
              <w:pStyle w:val="TableContents"/>
              <w:bidi w:val="0"/>
              <w:spacing w:before="0" w:after="283"/>
              <w:jc w:val="left"/>
              <w:rPr/>
            </w:pPr>
            <w:r>
              <w:rPr/>
              <w:t>Income tax benefit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6" w:type="dxa"/>
            <w:tcBorders>
              <w:bottom w:val="single" w:sz="12" w:space="0" w:color="000000"/>
            </w:tcBorders>
            <w:shd w:fill="CCEEFF" w:val="clear"/>
            <w:tcMar>
              <w:bottom w:w="28" w:type="dxa"/>
            </w:tcMar>
            <w:vAlign w:val="center"/>
          </w:tcPr>
          <w:p>
            <w:pPr>
              <w:pStyle w:val="TableContents"/>
              <w:bidi w:val="0"/>
              <w:spacing w:before="0" w:after="283"/>
              <w:jc w:val="right"/>
              <w:rPr/>
            </w:pPr>
            <w:r>
              <w:rPr/>
              <w:t>1,254</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6" w:type="dxa"/>
            <w:tcBorders>
              <w:bottom w:val="single" w:sz="12" w:space="0" w:color="000000"/>
            </w:tcBorders>
            <w:shd w:fill="CCEEFF" w:val="clear"/>
            <w:tcMar>
              <w:bottom w:w="28" w:type="dxa"/>
            </w:tcMar>
            <w:vAlign w:val="center"/>
          </w:tcPr>
          <w:p>
            <w:pPr>
              <w:pStyle w:val="TableContents"/>
              <w:bidi w:val="0"/>
              <w:spacing w:before="0" w:after="283"/>
              <w:jc w:val="right"/>
              <w:rPr/>
            </w:pPr>
            <w:r>
              <w:rPr/>
              <w:t>278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3" w:type="dxa"/>
            <w:tcBorders>
              <w:bottom w:val="single" w:sz="12" w:space="0" w:color="000000"/>
            </w:tcBorders>
            <w:shd w:fill="CCEEFF" w:val="clear"/>
            <w:tcMar>
              <w:bottom w:w="28" w:type="dxa"/>
            </w:tcMar>
            <w:vAlign w:val="center"/>
          </w:tcPr>
          <w:p>
            <w:pPr>
              <w:pStyle w:val="TableContents"/>
              <w:bidi w:val="0"/>
              <w:spacing w:before="0" w:after="283"/>
              <w:jc w:val="right"/>
              <w:rPr/>
            </w:pPr>
            <w:r>
              <w:rPr/>
              <w:t>1,254</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3" w:type="dxa"/>
            <w:tcBorders>
              <w:bottom w:val="single" w:sz="12" w:space="0" w:color="000000"/>
            </w:tcBorders>
            <w:shd w:fill="CCEEFF" w:val="clear"/>
            <w:tcMar>
              <w:bottom w:w="28" w:type="dxa"/>
            </w:tcMar>
            <w:vAlign w:val="center"/>
          </w:tcPr>
          <w:p>
            <w:pPr>
              <w:pStyle w:val="TableContents"/>
              <w:bidi w:val="0"/>
              <w:spacing w:before="0" w:after="283"/>
              <w:jc w:val="right"/>
              <w:rPr/>
            </w:pPr>
            <w:r>
              <w:rPr/>
              <w:t>278</w:t>
            </w:r>
          </w:p>
        </w:tc>
        <w:tc>
          <w:tcPr>
            <w:tcW w:w="119" w:type="dxa"/>
            <w:tcBorders/>
            <w:shd w:fill="CCEEFF" w:val="clear"/>
            <w:vAlign w:val="center"/>
          </w:tcPr>
          <w:p>
            <w:pPr>
              <w:pStyle w:val="TableContents"/>
              <w:bidi w:val="0"/>
              <w:spacing w:before="0" w:after="283"/>
              <w:jc w:val="left"/>
              <w:rPr/>
            </w:pPr>
            <w:r>
              <w:rPr/>
              <w:t> </w:t>
            </w:r>
            <w:bookmarkStart w:id="117" w:name="xdx_40B_eus-gaap--NetIncomeLoss_iT_mtCzz"/>
            <w:bookmarkEnd w:id="117"/>
          </w:p>
        </w:tc>
      </w:tr>
      <w:tr>
        <w:trPr/>
        <w:tc>
          <w:tcPr>
            <w:tcW w:w="4058"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6" w:type="dxa"/>
            <w:tcBorders>
              <w:bottom w:val="single" w:sz="12" w:space="0" w:color="000000"/>
            </w:tcBorders>
            <w:shd w:fill="FFFFFF" w:val="clear"/>
            <w:tcMar>
              <w:bottom w:w="28" w:type="dxa"/>
            </w:tcMar>
            <w:vAlign w:val="center"/>
          </w:tcPr>
          <w:p>
            <w:pPr>
              <w:pStyle w:val="TableContents"/>
              <w:bidi w:val="0"/>
              <w:spacing w:before="0" w:after="283"/>
              <w:jc w:val="right"/>
              <w:rPr/>
            </w:pPr>
            <w:r>
              <w:rPr/>
              <w:t>(6,509</w:t>
            </w:r>
          </w:p>
        </w:tc>
        <w:tc>
          <w:tcPr>
            <w:tcW w:w="105"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6" w:type="dxa"/>
            <w:tcBorders>
              <w:bottom w:val="single" w:sz="12" w:space="0" w:color="000000"/>
            </w:tcBorders>
            <w:shd w:fill="FFFFFF" w:val="clear"/>
            <w:tcMar>
              <w:bottom w:w="28" w:type="dxa"/>
            </w:tcMar>
            <w:vAlign w:val="center"/>
          </w:tcPr>
          <w:p>
            <w:pPr>
              <w:pStyle w:val="TableContents"/>
              <w:bidi w:val="0"/>
              <w:spacing w:before="0" w:after="283"/>
              <w:jc w:val="right"/>
              <w:rPr/>
            </w:pPr>
            <w:r>
              <w:rPr/>
              <w:t>(6,090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3" w:type="dxa"/>
            <w:tcBorders>
              <w:bottom w:val="single" w:sz="12" w:space="0" w:color="000000"/>
            </w:tcBorders>
            <w:shd w:fill="FFFFFF" w:val="clear"/>
            <w:tcMar>
              <w:bottom w:w="28" w:type="dxa"/>
            </w:tcMar>
            <w:vAlign w:val="center"/>
          </w:tcPr>
          <w:p>
            <w:pPr>
              <w:pStyle w:val="TableContents"/>
              <w:bidi w:val="0"/>
              <w:spacing w:before="0" w:after="283"/>
              <w:jc w:val="right"/>
              <w:rPr/>
            </w:pPr>
            <w:r>
              <w:rPr/>
              <w:t>(20,761</w:t>
            </w:r>
          </w:p>
        </w:tc>
        <w:tc>
          <w:tcPr>
            <w:tcW w:w="103"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3" w:type="dxa"/>
            <w:tcBorders>
              <w:bottom w:val="single" w:sz="12" w:space="0" w:color="000000"/>
            </w:tcBorders>
            <w:shd w:fill="FFFFFF" w:val="clear"/>
            <w:tcMar>
              <w:bottom w:w="28" w:type="dxa"/>
            </w:tcMar>
            <w:vAlign w:val="center"/>
          </w:tcPr>
          <w:p>
            <w:pPr>
              <w:pStyle w:val="TableContents"/>
              <w:bidi w:val="0"/>
              <w:spacing w:before="0" w:after="283"/>
              <w:jc w:val="right"/>
              <w:rPr/>
            </w:pPr>
            <w:r>
              <w:rPr/>
              <w:t>(16,786</w:t>
            </w:r>
          </w:p>
        </w:tc>
        <w:tc>
          <w:tcPr>
            <w:tcW w:w="119" w:type="dxa"/>
            <w:tcBorders/>
            <w:shd w:fill="FFFFFF" w:val="clear"/>
            <w:vAlign w:val="center"/>
          </w:tcPr>
          <w:p>
            <w:pPr>
              <w:pStyle w:val="TableContents"/>
              <w:bidi w:val="0"/>
              <w:spacing w:before="0" w:after="283"/>
              <w:jc w:val="left"/>
              <w:rPr/>
            </w:pPr>
            <w:r>
              <w:rPr/>
              <w:t>)</w:t>
            </w:r>
          </w:p>
        </w:tc>
      </w:tr>
      <w:tr>
        <w:trPr/>
        <w:tc>
          <w:tcPr>
            <w:tcW w:w="4058" w:type="dxa"/>
            <w:tcBorders/>
            <w:shd w:fill="CCEEFF" w:val="clear"/>
            <w:vAlign w:val="center"/>
          </w:tcPr>
          <w:p>
            <w:pPr>
              <w:pStyle w:val="TableContents"/>
              <w:bidi w:val="0"/>
              <w:spacing w:before="0" w:after="283"/>
              <w:jc w:val="left"/>
              <w:rPr/>
            </w:pPr>
            <w:r>
              <w:rPr/>
              <w:t>Basic and diluted net loss per share</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26" w:type="dxa"/>
            <w:tcBorders>
              <w:bottom w:val="single" w:sz="12" w:space="0" w:color="000000"/>
            </w:tcBorders>
            <w:shd w:fill="CCEEFF" w:val="clear"/>
            <w:tcMar>
              <w:bottom w:w="28" w:type="dxa"/>
            </w:tcMar>
            <w:vAlign w:val="center"/>
          </w:tcPr>
          <w:p>
            <w:pPr>
              <w:pStyle w:val="TableContents"/>
              <w:bidi w:val="0"/>
              <w:spacing w:before="0" w:after="283"/>
              <w:jc w:val="right"/>
              <w:rPr/>
            </w:pPr>
            <w:bookmarkStart w:id="118" w:name="xdx_906_eus-gaap--EarningsPerShareDilute"/>
            <w:bookmarkStart w:id="119" w:name="xdx_909_eus-gaap--EarningsPerShareBasic_"/>
            <w:bookmarkEnd w:id="118"/>
            <w:bookmarkEnd w:id="119"/>
            <w:r>
              <w:rPr/>
              <w:t>(0.11</w:t>
            </w:r>
          </w:p>
        </w:tc>
        <w:tc>
          <w:tcPr>
            <w:tcW w:w="105"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26" w:type="dxa"/>
            <w:tcBorders>
              <w:bottom w:val="single" w:sz="12" w:space="0" w:color="000000"/>
            </w:tcBorders>
            <w:shd w:fill="CCEEFF" w:val="clear"/>
            <w:tcMar>
              <w:bottom w:w="28" w:type="dxa"/>
            </w:tcMar>
            <w:vAlign w:val="center"/>
          </w:tcPr>
          <w:p>
            <w:pPr>
              <w:pStyle w:val="TableContents"/>
              <w:bidi w:val="0"/>
              <w:spacing w:before="0" w:after="283"/>
              <w:jc w:val="right"/>
              <w:rPr/>
            </w:pPr>
            <w:bookmarkStart w:id="120" w:name="xdx_90F_eus-gaap--EarningsPerShareDilute"/>
            <w:bookmarkStart w:id="121" w:name="xdx_906_eus-gaap--EarningsPerShareBasic_"/>
            <w:bookmarkEnd w:id="120"/>
            <w:bookmarkEnd w:id="121"/>
            <w:r>
              <w:rPr/>
              <w:t>(0.11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03" w:type="dxa"/>
            <w:tcBorders>
              <w:bottom w:val="single" w:sz="12" w:space="0" w:color="000000"/>
            </w:tcBorders>
            <w:shd w:fill="CCEEFF" w:val="clear"/>
            <w:tcMar>
              <w:bottom w:w="28" w:type="dxa"/>
            </w:tcMar>
            <w:vAlign w:val="center"/>
          </w:tcPr>
          <w:p>
            <w:pPr>
              <w:pStyle w:val="TableContents"/>
              <w:bidi w:val="0"/>
              <w:spacing w:before="0" w:after="283"/>
              <w:jc w:val="right"/>
              <w:rPr/>
            </w:pPr>
            <w:bookmarkStart w:id="122" w:name="xdx_90A_eus-gaap--EarningsPerShareDilute"/>
            <w:bookmarkStart w:id="123" w:name="xdx_909_eus-gaap--EarningsPerShareBasic_"/>
            <w:bookmarkEnd w:id="122"/>
            <w:bookmarkEnd w:id="123"/>
            <w:r>
              <w:rPr/>
              <w:t>(0.35</w:t>
            </w:r>
          </w:p>
        </w:tc>
        <w:tc>
          <w:tcPr>
            <w:tcW w:w="103"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03" w:type="dxa"/>
            <w:tcBorders>
              <w:bottom w:val="single" w:sz="12" w:space="0" w:color="000000"/>
            </w:tcBorders>
            <w:shd w:fill="CCEEFF" w:val="clear"/>
            <w:tcMar>
              <w:bottom w:w="28" w:type="dxa"/>
            </w:tcMar>
            <w:vAlign w:val="center"/>
          </w:tcPr>
          <w:p>
            <w:pPr>
              <w:pStyle w:val="TableContents"/>
              <w:bidi w:val="0"/>
              <w:spacing w:before="0" w:after="283"/>
              <w:jc w:val="right"/>
              <w:rPr/>
            </w:pPr>
            <w:bookmarkStart w:id="124" w:name="xdx_90A_eus-gaap--EarningsPerShareDilute"/>
            <w:bookmarkStart w:id="125" w:name="xdx_90F_eus-gaap--EarningsPerShareBasic_"/>
            <w:bookmarkEnd w:id="124"/>
            <w:bookmarkEnd w:id="125"/>
            <w:r>
              <w:rPr/>
              <w:t>(0.30</w:t>
            </w:r>
          </w:p>
        </w:tc>
        <w:tc>
          <w:tcPr>
            <w:tcW w:w="119" w:type="dxa"/>
            <w:tcBorders/>
            <w:shd w:fill="CCEEFF" w:val="clear"/>
            <w:vAlign w:val="center"/>
          </w:tcPr>
          <w:p>
            <w:pPr>
              <w:pStyle w:val="TableContents"/>
              <w:bidi w:val="0"/>
              <w:spacing w:before="0" w:after="283"/>
              <w:jc w:val="left"/>
              <w:rPr/>
            </w:pPr>
            <w:r>
              <w:rPr/>
              <w:t>)</w:t>
            </w:r>
          </w:p>
        </w:tc>
      </w:tr>
      <w:tr>
        <w:trPr/>
        <w:tc>
          <w:tcPr>
            <w:tcW w:w="4058" w:type="dxa"/>
            <w:tcBorders/>
            <w:shd w:fill="FFFFFF" w:val="clear"/>
            <w:vAlign w:val="center"/>
          </w:tcPr>
          <w:p>
            <w:pPr>
              <w:pStyle w:val="TableContents"/>
              <w:bidi w:val="0"/>
              <w:spacing w:before="0" w:after="283"/>
              <w:jc w:val="left"/>
              <w:rPr/>
            </w:pPr>
            <w:r>
              <w:rPr/>
              <w:t>Weighted average shares used to compute basic and diluted net loss per common share</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26"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26" w:name="xdx_902_eus-gaap--WeightedAverageNumberO"/>
            <w:bookmarkStart w:id="127" w:name="xdx_90C_eus-gaap--WeightedAverageNumberO"/>
            <w:bookmarkEnd w:id="126"/>
            <w:bookmarkEnd w:id="127"/>
            <w:r>
              <w:rPr/>
              <w:t>58,865,898</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26"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28" w:name="xdx_908_eus-gaap--WeightedAverageNumberO"/>
            <w:bookmarkStart w:id="129" w:name="xdx_90C_eus-gaap--WeightedAverageNumberO"/>
            <w:bookmarkEnd w:id="128"/>
            <w:bookmarkEnd w:id="129"/>
            <w:r>
              <w:rPr/>
              <w:t>55,966,672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03"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30" w:name="xdx_907_eus-gaap--WeightedAverageNumberO"/>
            <w:bookmarkStart w:id="131" w:name="xdx_90C_eus-gaap--WeightedAverageNumberO"/>
            <w:bookmarkEnd w:id="130"/>
            <w:bookmarkEnd w:id="131"/>
            <w:r>
              <w:rPr/>
              <w:t>58,790,160</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03"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32" w:name="xdx_903_eus-gaap--WeightedAverageNumberO"/>
            <w:bookmarkStart w:id="133" w:name="xdx_90A_eus-gaap--WeightedAverageNumberO"/>
            <w:bookmarkEnd w:id="132"/>
            <w:bookmarkEnd w:id="133"/>
            <w:r>
              <w:rPr/>
              <w:t>55,918,284</w:t>
            </w:r>
          </w:p>
        </w:tc>
        <w:tc>
          <w:tcPr>
            <w:tcW w:w="11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4" w:name="hr_005"/>
      <w:bookmarkEnd w:id="134"/>
      <w:r>
        <w:rPr>
          <w:rFonts w:ascii="Times New Roman;Times;Serif" w:hAnsi="Times New Roman;Times;Serif"/>
          <w:b/>
          <w:i w:val="false"/>
          <w:caps w:val="false"/>
          <w:smallCaps w:val="false"/>
          <w:sz w:val="20"/>
        </w:rPr>
        <w:t>Ocean Power Technologies,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Comprehensive 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$000’s)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35" w:name="xdx_30C_113_pn3n3_zgFjFxXsrn4h"/>
      <w:bookmarkStart w:id="136" w:name="xdx_30C_113_pn3n3_zgFjFxXsrn4h"/>
      <w:bookmarkEnd w:id="136"/>
    </w:p>
    <w:tbl>
      <w:tblPr>
        <w:tblW w:w="10205" w:type="dxa"/>
        <w:jc w:val="left"/>
        <w:tblInd w:w="0" w:type="dxa"/>
        <w:tblLayout w:type="fixed"/>
        <w:tblCellMar>
          <w:top w:w="0" w:type="dxa"/>
          <w:left w:w="0" w:type="dxa"/>
          <w:bottom w:w="0" w:type="dxa"/>
          <w:right w:w="0" w:type="dxa"/>
        </w:tblCellMar>
      </w:tblPr>
      <w:tblGrid>
        <w:gridCol w:w="3535"/>
        <w:gridCol w:w="60"/>
        <w:gridCol w:w="263"/>
        <w:gridCol w:w="1200"/>
        <w:gridCol w:w="179"/>
        <w:gridCol w:w="113"/>
        <w:gridCol w:w="263"/>
        <w:gridCol w:w="1200"/>
        <w:gridCol w:w="95"/>
        <w:gridCol w:w="60"/>
        <w:gridCol w:w="224"/>
        <w:gridCol w:w="1213"/>
        <w:gridCol w:w="152"/>
        <w:gridCol w:w="95"/>
        <w:gridCol w:w="224"/>
        <w:gridCol w:w="1213"/>
        <w:gridCol w:w="116"/>
      </w:tblGrid>
      <w:tr>
        <w:trPr/>
        <w:tc>
          <w:tcPr>
            <w:tcW w:w="35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37" w:name="xdx_49D_20231101__20240131_zmxFVBsuyImc"/>
            <w:bookmarkEnd w:id="137"/>
          </w:p>
        </w:tc>
        <w:tc>
          <w:tcPr>
            <w:tcW w:w="146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9" w:type="dxa"/>
            <w:tcBorders/>
            <w:vAlign w:val="center"/>
          </w:tcPr>
          <w:p>
            <w:pPr>
              <w:pStyle w:val="TableContents"/>
              <w:bidi w:val="0"/>
              <w:spacing w:before="0" w:after="283"/>
              <w:jc w:val="center"/>
              <w:rPr/>
            </w:pPr>
            <w:r>
              <w:rPr/>
              <w:t> </w:t>
            </w:r>
          </w:p>
        </w:tc>
        <w:tc>
          <w:tcPr>
            <w:tcW w:w="113" w:type="dxa"/>
            <w:tcBorders/>
            <w:vAlign w:val="center"/>
          </w:tcPr>
          <w:p>
            <w:pPr>
              <w:pStyle w:val="TableContents"/>
              <w:bidi w:val="0"/>
              <w:spacing w:before="0" w:after="283"/>
              <w:jc w:val="center"/>
              <w:rPr/>
            </w:pPr>
            <w:r>
              <w:rPr/>
              <w:t> </w:t>
            </w:r>
            <w:bookmarkStart w:id="138" w:name="xdx_49D_20221101__20230131_z1Daz5OBDQ4a"/>
            <w:bookmarkEnd w:id="138"/>
          </w:p>
        </w:tc>
        <w:tc>
          <w:tcPr>
            <w:tcW w:w="146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39" w:name="xdx_495_20230501__20240131_zjn4C2jA03A6"/>
            <w:bookmarkEnd w:id="139"/>
          </w:p>
        </w:tc>
        <w:tc>
          <w:tcPr>
            <w:tcW w:w="143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52"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bookmarkStart w:id="140" w:name="xdx_496_20220501__20230131_zoXWDVHIvR9b"/>
            <w:bookmarkEnd w:id="140"/>
          </w:p>
        </w:tc>
        <w:tc>
          <w:tcPr>
            <w:tcW w:w="143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6" w:type="dxa"/>
            <w:tcBorders/>
            <w:vAlign w:val="center"/>
          </w:tcPr>
          <w:p>
            <w:pPr>
              <w:pStyle w:val="TableContents"/>
              <w:bidi w:val="0"/>
              <w:spacing w:before="0" w:after="283"/>
              <w:jc w:val="center"/>
              <w:rPr/>
            </w:pPr>
            <w:r>
              <w:rPr/>
              <w:t> </w:t>
            </w:r>
          </w:p>
        </w:tc>
      </w:tr>
      <w:tr>
        <w:trPr/>
        <w:tc>
          <w:tcPr>
            <w:tcW w:w="3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 January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2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Nine months ended January 31,</w:t>
            </w:r>
          </w:p>
        </w:tc>
        <w:tc>
          <w:tcPr>
            <w:tcW w:w="116" w:type="dxa"/>
            <w:tcBorders/>
            <w:vAlign w:val="center"/>
          </w:tcPr>
          <w:p>
            <w:pPr>
              <w:pStyle w:val="TableContents"/>
              <w:bidi w:val="0"/>
              <w:spacing w:before="0" w:after="283"/>
              <w:jc w:val="left"/>
              <w:rPr/>
            </w:pPr>
            <w:r>
              <w:rPr/>
              <w:t> </w:t>
            </w:r>
          </w:p>
        </w:tc>
      </w:tr>
      <w:tr>
        <w:trPr/>
        <w:tc>
          <w:tcPr>
            <w:tcW w:w="35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6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9" w:type="dxa"/>
            <w:tcBorders/>
            <w:vAlign w:val="center"/>
          </w:tcPr>
          <w:p>
            <w:pPr>
              <w:pStyle w:val="TableContents"/>
              <w:bidi w:val="0"/>
              <w:spacing w:before="0" w:after="283"/>
              <w:jc w:val="center"/>
              <w:rPr/>
            </w:pPr>
            <w:r>
              <w:rPr/>
              <w:t> </w:t>
            </w:r>
          </w:p>
        </w:tc>
        <w:tc>
          <w:tcPr>
            <w:tcW w:w="113" w:type="dxa"/>
            <w:tcBorders/>
            <w:vAlign w:val="center"/>
          </w:tcPr>
          <w:p>
            <w:pPr>
              <w:pStyle w:val="TableContents"/>
              <w:bidi w:val="0"/>
              <w:spacing w:before="0" w:after="283"/>
              <w:jc w:val="center"/>
              <w:rPr/>
            </w:pPr>
            <w:r>
              <w:rPr/>
              <w:t> </w:t>
            </w:r>
          </w:p>
        </w:tc>
        <w:tc>
          <w:tcPr>
            <w:tcW w:w="146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3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52"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143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6" w:type="dxa"/>
            <w:tcBorders/>
            <w:vAlign w:val="center"/>
          </w:tcPr>
          <w:p>
            <w:pPr>
              <w:pStyle w:val="TableContents"/>
              <w:bidi w:val="0"/>
              <w:spacing w:before="0" w:after="283"/>
              <w:jc w:val="center"/>
              <w:rPr/>
            </w:pPr>
            <w:r>
              <w:rPr/>
              <w:t> </w:t>
            </w:r>
          </w:p>
        </w:tc>
      </w:tr>
      <w:tr>
        <w:trPr/>
        <w:tc>
          <w:tcPr>
            <w:tcW w:w="3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3" w:type="dxa"/>
            <w:gridSpan w:val="2"/>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463"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7" w:type="dxa"/>
            <w:gridSpan w:val="2"/>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437" w:type="dxa"/>
            <w:gridSpan w:val="2"/>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bookmarkStart w:id="141" w:name="xdx_402_eus-gaap--NetIncomeLoss_maCz5es_"/>
            <w:bookmarkEnd w:id="141"/>
          </w:p>
        </w:tc>
      </w:tr>
      <w:tr>
        <w:trPr/>
        <w:tc>
          <w:tcPr>
            <w:tcW w:w="353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w:t>
            </w:r>
          </w:p>
        </w:tc>
        <w:tc>
          <w:tcPr>
            <w:tcW w:w="1200" w:type="dxa"/>
            <w:tcBorders/>
            <w:shd w:fill="CCEEFF" w:val="clear"/>
            <w:vAlign w:val="center"/>
          </w:tcPr>
          <w:p>
            <w:pPr>
              <w:pStyle w:val="TableContents"/>
              <w:bidi w:val="0"/>
              <w:spacing w:before="0" w:after="283"/>
              <w:jc w:val="right"/>
              <w:rPr/>
            </w:pPr>
            <w:r>
              <w:rPr/>
              <w:t>(6,509</w:t>
            </w:r>
          </w:p>
        </w:tc>
        <w:tc>
          <w:tcPr>
            <w:tcW w:w="179" w:type="dxa"/>
            <w:tcBorders/>
            <w:shd w:fill="CCEEFF" w:val="clear"/>
            <w:vAlign w:val="center"/>
          </w:tcPr>
          <w:p>
            <w:pPr>
              <w:pStyle w:val="TableContents"/>
              <w:bidi w:val="0"/>
              <w:spacing w:before="0" w:after="283"/>
              <w:jc w:val="left"/>
              <w:rPr/>
            </w:pPr>
            <w:r>
              <w:rPr/>
              <w:t>)</w:t>
            </w:r>
          </w:p>
        </w:tc>
        <w:tc>
          <w:tcPr>
            <w:tcW w:w="113"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w:t>
            </w:r>
          </w:p>
        </w:tc>
        <w:tc>
          <w:tcPr>
            <w:tcW w:w="1200" w:type="dxa"/>
            <w:tcBorders/>
            <w:shd w:fill="CCEEFF" w:val="clear"/>
            <w:vAlign w:val="center"/>
          </w:tcPr>
          <w:p>
            <w:pPr>
              <w:pStyle w:val="TableContents"/>
              <w:bidi w:val="0"/>
              <w:spacing w:before="0" w:after="283"/>
              <w:jc w:val="right"/>
              <w:rPr/>
            </w:pPr>
            <w:r>
              <w:rPr/>
              <w:t>(6,090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1213" w:type="dxa"/>
            <w:tcBorders/>
            <w:shd w:fill="CCEEFF" w:val="clear"/>
            <w:vAlign w:val="center"/>
          </w:tcPr>
          <w:p>
            <w:pPr>
              <w:pStyle w:val="TableContents"/>
              <w:bidi w:val="0"/>
              <w:spacing w:before="0" w:after="283"/>
              <w:jc w:val="right"/>
              <w:rPr/>
            </w:pPr>
            <w:r>
              <w:rPr/>
              <w:t>(20,761</w:t>
            </w:r>
          </w:p>
        </w:tc>
        <w:tc>
          <w:tcPr>
            <w:tcW w:w="152"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1213" w:type="dxa"/>
            <w:tcBorders/>
            <w:shd w:fill="CCEEFF" w:val="clear"/>
            <w:vAlign w:val="center"/>
          </w:tcPr>
          <w:p>
            <w:pPr>
              <w:pStyle w:val="TableContents"/>
              <w:bidi w:val="0"/>
              <w:spacing w:before="0" w:after="283"/>
              <w:jc w:val="right"/>
              <w:rPr/>
            </w:pPr>
            <w:r>
              <w:rPr/>
              <w:t>(16,786</w:t>
            </w:r>
          </w:p>
        </w:tc>
        <w:tc>
          <w:tcPr>
            <w:tcW w:w="116" w:type="dxa"/>
            <w:tcBorders/>
            <w:shd w:fill="CCEEFF" w:val="clear"/>
            <w:vAlign w:val="center"/>
          </w:tcPr>
          <w:p>
            <w:pPr>
              <w:pStyle w:val="TableContents"/>
              <w:bidi w:val="0"/>
              <w:spacing w:before="0" w:after="283"/>
              <w:jc w:val="left"/>
              <w:rPr/>
            </w:pPr>
            <w:r>
              <w:rPr/>
              <w:t>)</w:t>
            </w:r>
            <w:bookmarkStart w:id="142" w:name="xdx_40D_eus-gaap--OtherComprehensiveInco"/>
            <w:bookmarkEnd w:id="142"/>
          </w:p>
        </w:tc>
      </w:tr>
      <w:tr>
        <w:trPr/>
        <w:tc>
          <w:tcPr>
            <w:tcW w:w="3535" w:type="dxa"/>
            <w:tcBorders/>
            <w:shd w:fill="FFFFFF" w:val="clear"/>
            <w:vAlign w:val="center"/>
          </w:tcPr>
          <w:p>
            <w:pPr>
              <w:pStyle w:val="TableContents"/>
              <w:bidi w:val="0"/>
              <w:spacing w:before="0" w:after="283"/>
              <w:jc w:val="left"/>
              <w:rPr/>
            </w:pPr>
            <w:r>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79"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2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52"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22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6" w:type="dxa"/>
            <w:tcBorders/>
            <w:shd w:fill="FFFFFF" w:val="clear"/>
            <w:vAlign w:val="center"/>
          </w:tcPr>
          <w:p>
            <w:pPr>
              <w:pStyle w:val="TableContents"/>
              <w:bidi w:val="0"/>
              <w:spacing w:before="0" w:after="283"/>
              <w:jc w:val="left"/>
              <w:rPr/>
            </w:pPr>
            <w:r>
              <w:rPr/>
              <w:t> </w:t>
            </w:r>
            <w:bookmarkStart w:id="143" w:name="xdx_409_eus-gaap--ComprehensiveIncomeNet"/>
            <w:bookmarkEnd w:id="143"/>
          </w:p>
        </w:tc>
      </w:tr>
      <w:tr>
        <w:trPr/>
        <w:tc>
          <w:tcPr>
            <w:tcW w:w="3535" w:type="dxa"/>
            <w:tcBorders/>
            <w:shd w:fill="CCEEFF" w:val="clear"/>
            <w:vAlign w:val="center"/>
          </w:tcPr>
          <w:p>
            <w:pPr>
              <w:pStyle w:val="TableContents"/>
              <w:bidi w:val="0"/>
              <w:spacing w:before="0" w:after="283"/>
              <w:jc w:val="left"/>
              <w:rPr/>
            </w:pPr>
            <w:r>
              <w:rPr/>
              <w:t>Total comprehensive loss</w:t>
            </w:r>
          </w:p>
        </w:tc>
        <w:tc>
          <w:tcPr>
            <w:tcW w:w="60" w:type="dxa"/>
            <w:tcBorders/>
            <w:shd w:fill="CCEEFF" w:val="clear"/>
            <w:vAlign w:val="center"/>
          </w:tcPr>
          <w:p>
            <w:pPr>
              <w:pStyle w:val="TableContents"/>
              <w:bidi w:val="0"/>
              <w:spacing w:before="0" w:after="283"/>
              <w:jc w:val="left"/>
              <w:rPr/>
            </w:pPr>
            <w:r>
              <w:rPr/>
              <w:t> </w:t>
            </w:r>
          </w:p>
        </w:tc>
        <w:tc>
          <w:tcPr>
            <w:tcW w:w="26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00" w:type="dxa"/>
            <w:tcBorders>
              <w:bottom w:val="double" w:sz="6" w:space="0" w:color="000000"/>
            </w:tcBorders>
            <w:shd w:fill="CCEEFF" w:val="clear"/>
            <w:tcMar>
              <w:bottom w:w="28" w:type="dxa"/>
            </w:tcMar>
            <w:vAlign w:val="center"/>
          </w:tcPr>
          <w:p>
            <w:pPr>
              <w:pStyle w:val="TableContents"/>
              <w:bidi w:val="0"/>
              <w:spacing w:before="0" w:after="283"/>
              <w:jc w:val="right"/>
              <w:rPr/>
            </w:pPr>
            <w:r>
              <w:rPr/>
              <w:t>(6,509</w:t>
            </w:r>
          </w:p>
        </w:tc>
        <w:tc>
          <w:tcPr>
            <w:tcW w:w="179" w:type="dxa"/>
            <w:tcBorders/>
            <w:shd w:fill="CCEEFF" w:val="clear"/>
            <w:vAlign w:val="center"/>
          </w:tcPr>
          <w:p>
            <w:pPr>
              <w:pStyle w:val="TableContents"/>
              <w:bidi w:val="0"/>
              <w:spacing w:before="0" w:after="283"/>
              <w:jc w:val="left"/>
              <w:rPr/>
            </w:pPr>
            <w:r>
              <w:rPr/>
              <w:t>)</w:t>
            </w:r>
          </w:p>
        </w:tc>
        <w:tc>
          <w:tcPr>
            <w:tcW w:w="113" w:type="dxa"/>
            <w:tcBorders/>
            <w:shd w:fill="CCEEFF" w:val="clear"/>
            <w:vAlign w:val="center"/>
          </w:tcPr>
          <w:p>
            <w:pPr>
              <w:pStyle w:val="TableContents"/>
              <w:bidi w:val="0"/>
              <w:spacing w:before="0" w:after="283"/>
              <w:jc w:val="left"/>
              <w:rPr/>
            </w:pPr>
            <w:r>
              <w:rPr/>
              <w:t> </w:t>
            </w:r>
          </w:p>
        </w:tc>
        <w:tc>
          <w:tcPr>
            <w:tcW w:w="26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00" w:type="dxa"/>
            <w:tcBorders>
              <w:bottom w:val="double" w:sz="6" w:space="0" w:color="000000"/>
            </w:tcBorders>
            <w:shd w:fill="CCEEFF" w:val="clear"/>
            <w:tcMar>
              <w:bottom w:w="28" w:type="dxa"/>
            </w:tcMar>
            <w:vAlign w:val="center"/>
          </w:tcPr>
          <w:p>
            <w:pPr>
              <w:pStyle w:val="TableContents"/>
              <w:bidi w:val="0"/>
              <w:spacing w:before="0" w:after="283"/>
              <w:jc w:val="right"/>
              <w:rPr/>
            </w:pPr>
            <w:r>
              <w:rPr/>
              <w:t>(6,090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13" w:type="dxa"/>
            <w:tcBorders>
              <w:bottom w:val="double" w:sz="6" w:space="0" w:color="000000"/>
            </w:tcBorders>
            <w:shd w:fill="CCEEFF" w:val="clear"/>
            <w:tcMar>
              <w:bottom w:w="28" w:type="dxa"/>
            </w:tcMar>
            <w:vAlign w:val="center"/>
          </w:tcPr>
          <w:p>
            <w:pPr>
              <w:pStyle w:val="TableContents"/>
              <w:bidi w:val="0"/>
              <w:spacing w:before="0" w:after="283"/>
              <w:jc w:val="right"/>
              <w:rPr/>
            </w:pPr>
            <w:r>
              <w:rPr/>
              <w:t>(20,761</w:t>
            </w:r>
          </w:p>
        </w:tc>
        <w:tc>
          <w:tcPr>
            <w:tcW w:w="152"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 </w:t>
            </w:r>
          </w:p>
        </w:tc>
        <w:tc>
          <w:tcPr>
            <w:tcW w:w="22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13" w:type="dxa"/>
            <w:tcBorders>
              <w:bottom w:val="double" w:sz="6" w:space="0" w:color="000000"/>
            </w:tcBorders>
            <w:shd w:fill="CCEEFF" w:val="clear"/>
            <w:tcMar>
              <w:bottom w:w="28" w:type="dxa"/>
            </w:tcMar>
            <w:vAlign w:val="center"/>
          </w:tcPr>
          <w:p>
            <w:pPr>
              <w:pStyle w:val="TableContents"/>
              <w:bidi w:val="0"/>
              <w:spacing w:before="0" w:after="283"/>
              <w:jc w:val="right"/>
              <w:rPr/>
            </w:pPr>
            <w:r>
              <w:rPr/>
              <w:t>(16,786</w:t>
            </w:r>
          </w:p>
        </w:tc>
        <w:tc>
          <w:tcPr>
            <w:tcW w:w="116"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4" w:name="hr_006"/>
      <w:bookmarkEnd w:id="144"/>
      <w:r>
        <w:rPr>
          <w:rFonts w:ascii="Times New Roman;Times;Serif" w:hAnsi="Times New Roman;Times;Serif"/>
          <w:b/>
          <w:i w:val="false"/>
          <w:caps w:val="false"/>
          <w:smallCaps w:val="false"/>
          <w:sz w:val="20"/>
        </w:rPr>
        <w:t>Ocean Power Technologies,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Shareholders’ Equity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$000’s, except share data)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45" w:name="xdx_301_114_pn3n3_zHVRaJRNdgqe"/>
      <w:bookmarkStart w:id="146" w:name="xdx_301_114_pn3n3_zHVRaJRNdgqe"/>
      <w:bookmarkEnd w:id="146"/>
    </w:p>
    <w:tbl>
      <w:tblPr>
        <w:tblW w:w="10205" w:type="dxa"/>
        <w:jc w:val="left"/>
        <w:tblInd w:w="0" w:type="dxa"/>
        <w:tblLayout w:type="fixed"/>
        <w:tblCellMar>
          <w:top w:w="0" w:type="dxa"/>
          <w:left w:w="0" w:type="dxa"/>
          <w:bottom w:w="0" w:type="dxa"/>
          <w:right w:w="0" w:type="dxa"/>
        </w:tblCellMar>
      </w:tblPr>
      <w:tblGrid>
        <w:gridCol w:w="1375"/>
        <w:gridCol w:w="60"/>
        <w:gridCol w:w="60"/>
        <w:gridCol w:w="950"/>
        <w:gridCol w:w="60"/>
        <w:gridCol w:w="60"/>
        <w:gridCol w:w="225"/>
        <w:gridCol w:w="470"/>
        <w:gridCol w:w="60"/>
        <w:gridCol w:w="60"/>
        <w:gridCol w:w="60"/>
        <w:gridCol w:w="650"/>
        <w:gridCol w:w="80"/>
        <w:gridCol w:w="60"/>
        <w:gridCol w:w="167"/>
        <w:gridCol w:w="528"/>
        <w:gridCol w:w="80"/>
        <w:gridCol w:w="60"/>
        <w:gridCol w:w="143"/>
        <w:gridCol w:w="801"/>
        <w:gridCol w:w="60"/>
        <w:gridCol w:w="60"/>
        <w:gridCol w:w="160"/>
        <w:gridCol w:w="970"/>
        <w:gridCol w:w="80"/>
        <w:gridCol w:w="60"/>
        <w:gridCol w:w="183"/>
        <w:gridCol w:w="1220"/>
        <w:gridCol w:w="80"/>
        <w:gridCol w:w="60"/>
        <w:gridCol w:w="187"/>
        <w:gridCol w:w="978"/>
        <w:gridCol w:w="98"/>
      </w:tblGrid>
      <w:tr>
        <w:trPr/>
        <w:tc>
          <w:tcPr>
            <w:tcW w:w="13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147" w:name="xdx_4BC_us-gaap--StatementEquityComponen"/>
            <w:bookmarkEnd w:id="147"/>
          </w:p>
        </w:tc>
        <w:tc>
          <w:tcPr>
            <w:tcW w:w="6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148" w:name="xdx_4BC_us-gaap--StatementEquityComponen"/>
            <w:bookmarkEnd w:id="148"/>
          </w:p>
        </w:tc>
        <w:tc>
          <w:tcPr>
            <w:tcW w:w="6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149" w:name="xdx_4BC_us-gaap--StatementEquityComponen"/>
            <w:bookmarkEnd w:id="149"/>
          </w:p>
        </w:tc>
        <w:tc>
          <w:tcPr>
            <w:tcW w:w="94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150" w:name="xdx_4B3_us-gaap--StatementEquityComponen"/>
            <w:bookmarkEnd w:id="150"/>
          </w:p>
        </w:tc>
        <w:tc>
          <w:tcPr>
            <w:tcW w:w="11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Deficit</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151" w:name="xdx_4B4_us-gaap--StatementEquityComponen"/>
            <w:bookmarkEnd w:id="151"/>
          </w:p>
        </w:tc>
        <w:tc>
          <w:tcPr>
            <w:tcW w:w="140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152" w:name="xdx_4BF_zwXM8YwmoGee"/>
            <w:bookmarkEnd w:id="152"/>
          </w:p>
        </w:tc>
        <w:tc>
          <w:tcPr>
            <w:tcW w:w="11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9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3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672" w:type="dxa"/>
            <w:gridSpan w:val="3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Nine Months Ended January 31, 2024</w:t>
            </w:r>
          </w:p>
        </w:tc>
        <w:tc>
          <w:tcPr>
            <w:tcW w:w="9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3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82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Shares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4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Treasury Shares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4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Paid-In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403"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 Other Comprehensive</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Shareholders’</w:t>
            </w:r>
          </w:p>
        </w:tc>
        <w:tc>
          <w:tcPr>
            <w:tcW w:w="9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3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4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Deficit</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40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9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3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03"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98" w:type="dxa"/>
            <w:tcBorders/>
            <w:vAlign w:val="center"/>
          </w:tcPr>
          <w:p>
            <w:pPr>
              <w:pStyle w:val="TableContents"/>
              <w:bidi w:val="0"/>
              <w:spacing w:before="0" w:after="283"/>
              <w:jc w:val="left"/>
              <w:rPr>
                <w:caps w:val="false"/>
                <w:smallCaps w:val="false"/>
              </w:rPr>
            </w:pPr>
            <w:r>
              <w:rPr>
                <w:caps w:val="false"/>
                <w:smallCaps w:val="false"/>
              </w:rPr>
              <w:t> </w:t>
            </w:r>
            <w:bookmarkStart w:id="153" w:name="xdx_43A_c20230501__20240131_eus-gaap--St"/>
            <w:bookmarkEnd w:id="153"/>
          </w:p>
        </w:tc>
      </w:tr>
      <w:tr>
        <w:trPr/>
        <w:tc>
          <w:tcPr>
            <w:tcW w:w="1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Balances at May 1,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54" w:name="xdx_988_eus-gaap--SharesOutstanding_iS_p"/>
            <w:bookmarkEnd w:id="154"/>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56,304,642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55" w:name="xdx_986_eus-gaap--SharesOutstanding_iS_p"/>
            <w:bookmarkEnd w:id="155"/>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(40,914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324,393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(280,096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20"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(45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43,953</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56" w:name="xdx_401_eus-gaap--NetIncomeLoss_zkfZdSl1"/>
            <w:bookmarkEnd w:id="156"/>
          </w:p>
        </w:tc>
      </w:tr>
      <w:tr>
        <w:trPr/>
        <w:tc>
          <w:tcPr>
            <w:tcW w:w="1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(20,761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(20,761</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57" w:name="xdx_40D_eus-gaap--AdjustmentsToAdditiona"/>
            <w:bookmarkEnd w:id="157"/>
          </w:p>
        </w:tc>
      </w:tr>
      <w:tr>
        <w:trPr/>
        <w:tc>
          <w:tcPr>
            <w:tcW w:w="1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803</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58" w:name="xdx_407_eus-gaap--StockIssuedDuringPerio"/>
            <w:bookmarkEnd w:id="158"/>
          </w:p>
        </w:tc>
      </w:tr>
      <w:tr>
        <w:trPr/>
        <w:tc>
          <w:tcPr>
            <w:tcW w:w="1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issued related to bonus and earnout payments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59" w:name="xdx_98F_eus-gaap--StockIssuedDuringPerio"/>
            <w:bookmarkEnd w:id="159"/>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2,403,846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60" w:name="xdx_40C_eus-gaap--StockIssuedDuringPerio"/>
            <w:bookmarkEnd w:id="160"/>
          </w:p>
        </w:tc>
      </w:tr>
      <w:tr>
        <w:trPr/>
        <w:tc>
          <w:tcPr>
            <w:tcW w:w="1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issued upon vesting of restricted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61" w:name="xdx_98C_eus-gaap--StockIssuedDuringPerio"/>
            <w:bookmarkEnd w:id="161"/>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786,998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62" w:name="xdx_40E_eus-gaap--StockIssuedDuringPerio"/>
            <w:bookmarkEnd w:id="162"/>
          </w:p>
        </w:tc>
      </w:tr>
      <w:tr>
        <w:trPr/>
        <w:tc>
          <w:tcPr>
            <w:tcW w:w="1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common stock - Cantor At The Market offering, net of issuance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63" w:name="xdx_985_eus-gaap--StockIssuedDuringPerio"/>
            <w:bookmarkEnd w:id="163"/>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55,604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64" w:name="xdx_407_ecustom--StockIssuedDuringPeriod"/>
            <w:bookmarkEnd w:id="164"/>
          </w:p>
        </w:tc>
      </w:tr>
      <w:tr>
        <w:trPr/>
        <w:tc>
          <w:tcPr>
            <w:tcW w:w="1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withheld for tax withholdings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70"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65" w:name="xdx_988_ecustom--StockIssuedDuringPeriod"/>
            <w:bookmarkEnd w:id="165"/>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(47,103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2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1"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66" w:name="xdx_432_c20230501__20240131_eus-gaap--St"/>
            <w:bookmarkEnd w:id="166"/>
          </w:p>
        </w:tc>
      </w:tr>
      <w:tr>
        <w:trPr/>
        <w:tc>
          <w:tcPr>
            <w:tcW w:w="1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Balances at January 31, 2024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67" w:name="xdx_98C_eus-gaap--SharesOutstanding_iE_p"/>
            <w:bookmarkEnd w:id="167"/>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59,551,090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7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68" w:name="xdx_985_eus-gaap--SharesOutstanding_iE_p"/>
            <w:bookmarkEnd w:id="168"/>
          </w:p>
        </w:tc>
        <w:tc>
          <w:tcPr>
            <w:tcW w:w="6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(88,017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2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326,472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(300,857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25,261</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46"/>
        <w:gridCol w:w="60"/>
        <w:gridCol w:w="60"/>
        <w:gridCol w:w="950"/>
        <w:gridCol w:w="60"/>
        <w:gridCol w:w="60"/>
        <w:gridCol w:w="225"/>
        <w:gridCol w:w="470"/>
        <w:gridCol w:w="60"/>
        <w:gridCol w:w="60"/>
        <w:gridCol w:w="60"/>
        <w:gridCol w:w="651"/>
        <w:gridCol w:w="80"/>
        <w:gridCol w:w="60"/>
        <w:gridCol w:w="167"/>
        <w:gridCol w:w="528"/>
        <w:gridCol w:w="80"/>
        <w:gridCol w:w="60"/>
        <w:gridCol w:w="144"/>
        <w:gridCol w:w="806"/>
        <w:gridCol w:w="60"/>
        <w:gridCol w:w="60"/>
        <w:gridCol w:w="160"/>
        <w:gridCol w:w="970"/>
        <w:gridCol w:w="80"/>
        <w:gridCol w:w="60"/>
        <w:gridCol w:w="169"/>
        <w:gridCol w:w="1249"/>
        <w:gridCol w:w="80"/>
        <w:gridCol w:w="60"/>
        <w:gridCol w:w="188"/>
        <w:gridCol w:w="983"/>
        <w:gridCol w:w="99"/>
      </w:tblGrid>
      <w:tr>
        <w:trPr/>
        <w:tc>
          <w:tcPr>
            <w:tcW w:w="134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700" w:type="dxa"/>
            <w:gridSpan w:val="3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Nine Months Ended January 31, 2023</w:t>
            </w:r>
          </w:p>
        </w:tc>
        <w:tc>
          <w:tcPr>
            <w:tcW w:w="9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34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82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Shares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46"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Treasury Shares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5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Paid-In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418"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 Other Comprehensive</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1"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Shareholders’</w:t>
            </w:r>
          </w:p>
        </w:tc>
        <w:tc>
          <w:tcPr>
            <w:tcW w:w="9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34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1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Deficit</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41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9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34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1"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18"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1"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99" w:type="dxa"/>
            <w:tcBorders/>
            <w:vAlign w:val="center"/>
          </w:tcPr>
          <w:p>
            <w:pPr>
              <w:pStyle w:val="TableContents"/>
              <w:bidi w:val="0"/>
              <w:spacing w:before="0" w:after="283"/>
              <w:jc w:val="left"/>
              <w:rPr>
                <w:caps w:val="false"/>
                <w:smallCaps w:val="false"/>
              </w:rPr>
            </w:pPr>
            <w:r>
              <w:rPr>
                <w:caps w:val="false"/>
                <w:smallCaps w:val="false"/>
              </w:rPr>
              <w:t> </w:t>
            </w:r>
            <w:bookmarkStart w:id="169" w:name="xdx_43E_c20220501__20230131_eus-gaap--St"/>
            <w:bookmarkEnd w:id="169"/>
          </w:p>
        </w:tc>
      </w:tr>
      <w:tr>
        <w:trPr/>
        <w:tc>
          <w:tcPr>
            <w:tcW w:w="134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Balances at May 1, 2022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70" w:name="xdx_984_eus-gaap--SharesOutstanding_iS_p"/>
            <w:bookmarkEnd w:id="170"/>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55,905,213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71" w:name="xdx_980_eus-gaap--SharesOutstanding_iS_p"/>
            <w:bookmarkEnd w:id="171"/>
          </w:p>
        </w:tc>
        <w:tc>
          <w:tcPr>
            <w:tcW w:w="6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(23,352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322,932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(253,770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68,831</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72" w:name="xdx_40C_eus-gaap--NetIncomeLoss_z3Pwuj1W"/>
            <w:bookmarkEnd w:id="172"/>
          </w:p>
        </w:tc>
      </w:tr>
      <w:tr>
        <w:trPr/>
        <w:tc>
          <w:tcPr>
            <w:tcW w:w="134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7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(16,786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(16,786</w:t>
            </w:r>
          </w:p>
        </w:tc>
        <w:tc>
          <w:tcPr>
            <w:tcW w:w="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73" w:name="xdx_40D_eus-gaap--AdjustmentsToAdditiona"/>
            <w:bookmarkEnd w:id="173"/>
          </w:p>
        </w:tc>
      </w:tr>
      <w:tr>
        <w:trPr/>
        <w:tc>
          <w:tcPr>
            <w:tcW w:w="134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7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911</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74" w:name="xdx_40C_eus-gaap--StockIssuedDuringPerio"/>
            <w:bookmarkEnd w:id="174"/>
          </w:p>
        </w:tc>
      </w:tr>
      <w:tr>
        <w:trPr/>
        <w:tc>
          <w:tcPr>
            <w:tcW w:w="134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issued upon vesting of restricted stock units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75" w:name="xdx_987_eus-gaap--StockIssuedDuringPerio"/>
            <w:bookmarkEnd w:id="175"/>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349,429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7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76" w:name="xdx_407_ecustom--StockIssuedDuringPeriod"/>
            <w:bookmarkEnd w:id="176"/>
          </w:p>
        </w:tc>
      </w:tr>
      <w:tr>
        <w:trPr/>
        <w:tc>
          <w:tcPr>
            <w:tcW w:w="134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withheld for tax withholdings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70"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77" w:name="xdx_988_ecustom--StockIssuedDuringPeriod"/>
            <w:bookmarkEnd w:id="177"/>
          </w:p>
        </w:tc>
        <w:tc>
          <w:tcPr>
            <w:tcW w:w="65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(17,562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2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6"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49"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78" w:name="xdx_433_c20220501__20230131_eus-gaap--St"/>
            <w:bookmarkEnd w:id="178"/>
          </w:p>
        </w:tc>
      </w:tr>
      <w:tr>
        <w:trPr/>
        <w:tc>
          <w:tcPr>
            <w:tcW w:w="134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Balances at January 31, 2023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79" w:name="xdx_98E_eus-gaap--SharesOutstanding_iE_p"/>
            <w:bookmarkEnd w:id="179"/>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56,254,642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7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80" w:name="xdx_98C_eus-gaap--SharesOutstanding_iE_p"/>
            <w:bookmarkEnd w:id="180"/>
          </w:p>
        </w:tc>
        <w:tc>
          <w:tcPr>
            <w:tcW w:w="65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(40,914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2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323,843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(270,556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4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52,942</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52"/>
        <w:gridCol w:w="60"/>
        <w:gridCol w:w="60"/>
        <w:gridCol w:w="950"/>
        <w:gridCol w:w="60"/>
        <w:gridCol w:w="60"/>
        <w:gridCol w:w="225"/>
        <w:gridCol w:w="470"/>
        <w:gridCol w:w="60"/>
        <w:gridCol w:w="60"/>
        <w:gridCol w:w="60"/>
        <w:gridCol w:w="651"/>
        <w:gridCol w:w="80"/>
        <w:gridCol w:w="60"/>
        <w:gridCol w:w="167"/>
        <w:gridCol w:w="528"/>
        <w:gridCol w:w="80"/>
        <w:gridCol w:w="60"/>
        <w:gridCol w:w="145"/>
        <w:gridCol w:w="811"/>
        <w:gridCol w:w="60"/>
        <w:gridCol w:w="60"/>
        <w:gridCol w:w="160"/>
        <w:gridCol w:w="970"/>
        <w:gridCol w:w="80"/>
        <w:gridCol w:w="60"/>
        <w:gridCol w:w="145"/>
        <w:gridCol w:w="1287"/>
        <w:gridCol w:w="80"/>
        <w:gridCol w:w="60"/>
        <w:gridCol w:w="199"/>
        <w:gridCol w:w="946"/>
        <w:gridCol w:w="99"/>
      </w:tblGrid>
      <w:tr>
        <w:trPr/>
        <w:tc>
          <w:tcPr>
            <w:tcW w:w="13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694" w:type="dxa"/>
            <w:gridSpan w:val="3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January 31, 2024</w:t>
            </w:r>
          </w:p>
        </w:tc>
        <w:tc>
          <w:tcPr>
            <w:tcW w:w="9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3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82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Shares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46"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Treasury Shares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56"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Paid-In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432"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 Other Comprehensive</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Stockholders’</w:t>
            </w:r>
          </w:p>
        </w:tc>
        <w:tc>
          <w:tcPr>
            <w:tcW w:w="9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3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1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56"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Deficit</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43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9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35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1"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6"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32"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99" w:type="dxa"/>
            <w:tcBorders/>
            <w:vAlign w:val="center"/>
          </w:tcPr>
          <w:p>
            <w:pPr>
              <w:pStyle w:val="TableContents"/>
              <w:bidi w:val="0"/>
              <w:spacing w:before="0" w:after="283"/>
              <w:jc w:val="left"/>
              <w:rPr>
                <w:caps w:val="false"/>
                <w:smallCaps w:val="false"/>
              </w:rPr>
            </w:pPr>
            <w:r>
              <w:rPr>
                <w:caps w:val="false"/>
                <w:smallCaps w:val="false"/>
              </w:rPr>
              <w:t> </w:t>
            </w:r>
            <w:bookmarkStart w:id="181" w:name="xdx_43E_c20231101__20240131_eus-gaap--St"/>
            <w:bookmarkEnd w:id="181"/>
          </w:p>
        </w:tc>
      </w:tr>
      <w:tr>
        <w:trPr/>
        <w:tc>
          <w:tcPr>
            <w:tcW w:w="13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November 1,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82" w:name="xdx_98C_eus-gaap--SharesOutstanding_iS_p"/>
            <w:bookmarkEnd w:id="182"/>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58,833,758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83" w:name="xdx_983_eus-gaap--SharesOutstanding_iS_p"/>
            <w:bookmarkEnd w:id="183"/>
          </w:p>
        </w:tc>
        <w:tc>
          <w:tcPr>
            <w:tcW w:w="6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(44,988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326,342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(294,348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31,651</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84" w:name="xdx_40C_eus-gaap--NetIncomeLoss_zIiA9jCW"/>
            <w:bookmarkEnd w:id="184"/>
          </w:p>
        </w:tc>
      </w:tr>
      <w:tr>
        <w:trPr/>
        <w:tc>
          <w:tcPr>
            <w:tcW w:w="13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(6,509</w:t>
            </w:r>
          </w:p>
        </w:tc>
        <w:tc>
          <w:tcPr>
            <w:tcW w:w="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85" w:name="xdx_40D_eus-gaap--AdjustmentsToAdditiona"/>
            <w:bookmarkEnd w:id="185"/>
          </w:p>
        </w:tc>
      </w:tr>
      <w:tr>
        <w:trPr/>
        <w:tc>
          <w:tcPr>
            <w:tcW w:w="13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86" w:name="xdx_40C_eus-gaap--StockIssuedDuringPerio"/>
            <w:bookmarkEnd w:id="186"/>
          </w:p>
        </w:tc>
      </w:tr>
      <w:tr>
        <w:trPr/>
        <w:tc>
          <w:tcPr>
            <w:tcW w:w="13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issued upon vesting of restricted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87" w:name="xdx_98F_eus-gaap--StockIssuedDuringPerio"/>
            <w:bookmarkEnd w:id="187"/>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717,332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88" w:name="xdx_407_ecustom--StockIssuedDuringPeriod"/>
            <w:bookmarkEnd w:id="188"/>
          </w:p>
        </w:tc>
      </w:tr>
      <w:tr>
        <w:trPr/>
        <w:tc>
          <w:tcPr>
            <w:tcW w:w="13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withheld for tax withholdings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70"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89" w:name="xdx_983_ecustom--StockIssuedDuringPeriod"/>
            <w:bookmarkEnd w:id="189"/>
          </w:p>
        </w:tc>
        <w:tc>
          <w:tcPr>
            <w:tcW w:w="65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(43,029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2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1"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87"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90" w:name="xdx_439_c20231101__20240131_eus-gaap--St"/>
            <w:bookmarkEnd w:id="190"/>
          </w:p>
        </w:tc>
      </w:tr>
      <w:tr>
        <w:trPr/>
        <w:tc>
          <w:tcPr>
            <w:tcW w:w="13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Balances at January 31, 2024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91" w:name="xdx_985_eus-gaap--SharesOutstanding_iE_p"/>
            <w:bookmarkEnd w:id="191"/>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59,551,090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7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92" w:name="xdx_98C_eus-gaap--SharesOutstanding_iE_p"/>
            <w:bookmarkEnd w:id="192"/>
          </w:p>
        </w:tc>
        <w:tc>
          <w:tcPr>
            <w:tcW w:w="65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(88,017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2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326,472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(300,857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25,261</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52"/>
        <w:gridCol w:w="60"/>
        <w:gridCol w:w="60"/>
        <w:gridCol w:w="950"/>
        <w:gridCol w:w="60"/>
        <w:gridCol w:w="60"/>
        <w:gridCol w:w="225"/>
        <w:gridCol w:w="470"/>
        <w:gridCol w:w="60"/>
        <w:gridCol w:w="60"/>
        <w:gridCol w:w="60"/>
        <w:gridCol w:w="651"/>
        <w:gridCol w:w="80"/>
        <w:gridCol w:w="60"/>
        <w:gridCol w:w="167"/>
        <w:gridCol w:w="528"/>
        <w:gridCol w:w="80"/>
        <w:gridCol w:w="60"/>
        <w:gridCol w:w="145"/>
        <w:gridCol w:w="811"/>
        <w:gridCol w:w="60"/>
        <w:gridCol w:w="60"/>
        <w:gridCol w:w="160"/>
        <w:gridCol w:w="970"/>
        <w:gridCol w:w="80"/>
        <w:gridCol w:w="60"/>
        <w:gridCol w:w="145"/>
        <w:gridCol w:w="1287"/>
        <w:gridCol w:w="80"/>
        <w:gridCol w:w="60"/>
        <w:gridCol w:w="199"/>
        <w:gridCol w:w="946"/>
        <w:gridCol w:w="99"/>
      </w:tblGrid>
      <w:tr>
        <w:trPr/>
        <w:tc>
          <w:tcPr>
            <w:tcW w:w="13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694" w:type="dxa"/>
            <w:gridSpan w:val="3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January 31, 2023</w:t>
            </w:r>
          </w:p>
        </w:tc>
        <w:tc>
          <w:tcPr>
            <w:tcW w:w="9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3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82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Shares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46"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Treasury Shares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56"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Paid-In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432"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 Other Comprehensive</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Stockholders’</w:t>
            </w:r>
          </w:p>
        </w:tc>
        <w:tc>
          <w:tcPr>
            <w:tcW w:w="9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3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1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56"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Deficit</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43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9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35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1"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6"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32"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99" w:type="dxa"/>
            <w:tcBorders/>
            <w:vAlign w:val="center"/>
          </w:tcPr>
          <w:p>
            <w:pPr>
              <w:pStyle w:val="TableContents"/>
              <w:bidi w:val="0"/>
              <w:spacing w:before="0" w:after="283"/>
              <w:jc w:val="left"/>
              <w:rPr>
                <w:caps w:val="false"/>
                <w:smallCaps w:val="false"/>
              </w:rPr>
            </w:pPr>
            <w:r>
              <w:rPr>
                <w:caps w:val="false"/>
                <w:smallCaps w:val="false"/>
              </w:rPr>
              <w:t> </w:t>
            </w:r>
            <w:bookmarkStart w:id="193" w:name="xdx_43E_c20221101__20230131_eus-gaap--St"/>
            <w:bookmarkEnd w:id="193"/>
          </w:p>
        </w:tc>
      </w:tr>
      <w:tr>
        <w:trPr/>
        <w:tc>
          <w:tcPr>
            <w:tcW w:w="13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November 1, 2022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94" w:name="xdx_989_eus-gaap--SharesOutstanding_iS_p"/>
            <w:bookmarkEnd w:id="194"/>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55,921,880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95" w:name="xdx_987_eus-gaap--SharesOutstanding_iS_p"/>
            <w:bookmarkEnd w:id="195"/>
          </w:p>
        </w:tc>
        <w:tc>
          <w:tcPr>
            <w:tcW w:w="6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(23,352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323,564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(264,466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58,767</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96" w:name="xdx_435_c20221101__20230131_eus-gaap--St"/>
            <w:bookmarkEnd w:id="196"/>
          </w:p>
        </w:tc>
      </w:tr>
      <w:tr>
        <w:trPr/>
        <w:tc>
          <w:tcPr>
            <w:tcW w:w="13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97" w:name="xdx_981_eus-gaap--SharesOutstanding_iS_p"/>
            <w:bookmarkEnd w:id="197"/>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55,921,880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98" w:name="xdx_983_eus-gaap--SharesOutstanding_iS_p"/>
            <w:bookmarkEnd w:id="198"/>
          </w:p>
        </w:tc>
        <w:tc>
          <w:tcPr>
            <w:tcW w:w="6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(23,352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323,564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(264,466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58,767</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99" w:name="xdx_40C_eus-gaap--NetIncomeLoss_zrR7owhu"/>
            <w:bookmarkEnd w:id="199"/>
          </w:p>
        </w:tc>
      </w:tr>
      <w:tr>
        <w:trPr/>
        <w:tc>
          <w:tcPr>
            <w:tcW w:w="13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(6,090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(6,090</w:t>
            </w:r>
          </w:p>
        </w:tc>
        <w:tc>
          <w:tcPr>
            <w:tcW w:w="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00" w:name="xdx_40D_eus-gaap--AdjustmentsToAdditiona"/>
            <w:bookmarkEnd w:id="200"/>
          </w:p>
        </w:tc>
      </w:tr>
      <w:tr>
        <w:trPr/>
        <w:tc>
          <w:tcPr>
            <w:tcW w:w="13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01" w:name="xdx_40C_eus-gaap--StockIssuedDuringPerio"/>
            <w:bookmarkEnd w:id="201"/>
          </w:p>
        </w:tc>
      </w:tr>
      <w:tr>
        <w:trPr/>
        <w:tc>
          <w:tcPr>
            <w:tcW w:w="13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issued upon vesting of restricted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02" w:name="xdx_987_eus-gaap--StockIssuedDuringPerio"/>
            <w:bookmarkEnd w:id="202"/>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332,762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03" w:name="xdx_407_ecustom--StockIssuedDuringPeriod"/>
            <w:bookmarkEnd w:id="203"/>
          </w:p>
        </w:tc>
      </w:tr>
      <w:tr>
        <w:trPr/>
        <w:tc>
          <w:tcPr>
            <w:tcW w:w="13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withheld for tax withholdings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70"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04" w:name="xdx_987_ecustom--StockIssuedDuringPeriod"/>
            <w:bookmarkEnd w:id="204"/>
          </w:p>
        </w:tc>
        <w:tc>
          <w:tcPr>
            <w:tcW w:w="65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(17,562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2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1"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87"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05" w:name="xdx_433_c20221101__20230131_eus-gaap--St"/>
            <w:bookmarkEnd w:id="205"/>
          </w:p>
        </w:tc>
      </w:tr>
      <w:tr>
        <w:trPr/>
        <w:tc>
          <w:tcPr>
            <w:tcW w:w="13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Balances at Balance, January 31, 2023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06" w:name="xdx_98D_eus-gaap--SharesOutstanding_iE_p"/>
            <w:bookmarkEnd w:id="206"/>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56,254,642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7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07" w:name="xdx_984_eus-gaap--SharesOutstanding_iE_p"/>
            <w:bookmarkEnd w:id="207"/>
          </w:p>
        </w:tc>
        <w:tc>
          <w:tcPr>
            <w:tcW w:w="65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(40,914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2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323,843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(270,556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52,942</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08" w:name="xdx_435_c20221101__20230131_eus-gaap--St"/>
            <w:bookmarkEnd w:id="208"/>
          </w:p>
        </w:tc>
      </w:tr>
      <w:tr>
        <w:trPr/>
        <w:tc>
          <w:tcPr>
            <w:tcW w:w="13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09" w:name="xdx_982_eus-gaap--SharesOutstanding_iE_p"/>
            <w:bookmarkEnd w:id="209"/>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56,254,642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7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10" w:name="xdx_980_eus-gaap--SharesOutstanding_iE_p"/>
            <w:bookmarkEnd w:id="210"/>
          </w:p>
        </w:tc>
        <w:tc>
          <w:tcPr>
            <w:tcW w:w="65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(40,914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2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323,843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(270,556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52,942</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1" w:name="hr_007"/>
      <w:bookmarkEnd w:id="211"/>
      <w:r>
        <w:rPr>
          <w:rFonts w:ascii="Times New Roman;Times;Serif" w:hAnsi="Times New Roman;Times;Serif"/>
          <w:b/>
          <w:i w:val="false"/>
          <w:caps w:val="false"/>
          <w:smallCaps w:val="false"/>
          <w:sz w:val="20"/>
        </w:rPr>
        <w:t>Ocean Power Technologies,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$000’s)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12" w:name="xdx_301_112_pn3n3_zm13mrviP1b7"/>
      <w:bookmarkStart w:id="213" w:name="xdx_301_112_pn3n3_zm13mrviP1b7"/>
      <w:bookmarkEnd w:id="213"/>
    </w:p>
    <w:tbl>
      <w:tblPr>
        <w:tblW w:w="10205" w:type="dxa"/>
        <w:jc w:val="left"/>
        <w:tblInd w:w="0" w:type="dxa"/>
        <w:tblLayout w:type="fixed"/>
        <w:tblCellMar>
          <w:top w:w="0" w:type="dxa"/>
          <w:left w:w="0" w:type="dxa"/>
          <w:bottom w:w="0" w:type="dxa"/>
          <w:right w:w="0" w:type="dxa"/>
        </w:tblCellMar>
      </w:tblPr>
      <w:tblGrid>
        <w:gridCol w:w="7114"/>
        <w:gridCol w:w="60"/>
        <w:gridCol w:w="209"/>
        <w:gridCol w:w="1134"/>
        <w:gridCol w:w="142"/>
        <w:gridCol w:w="89"/>
        <w:gridCol w:w="209"/>
        <w:gridCol w:w="1134"/>
        <w:gridCol w:w="114"/>
      </w:tblGrid>
      <w:tr>
        <w:trPr/>
        <w:tc>
          <w:tcPr>
            <w:tcW w:w="711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14" w:name="xdx_49E_20230501__20240131_zKvz2VUq2L6e"/>
            <w:bookmarkEnd w:id="214"/>
          </w:p>
        </w:tc>
        <w:tc>
          <w:tcPr>
            <w:tcW w:w="134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42" w:type="dxa"/>
            <w:tcBorders/>
            <w:vAlign w:val="center"/>
          </w:tcPr>
          <w:p>
            <w:pPr>
              <w:pStyle w:val="TableContents"/>
              <w:bidi w:val="0"/>
              <w:spacing w:before="0" w:after="283"/>
              <w:jc w:val="center"/>
              <w:rPr/>
            </w:pPr>
            <w:r>
              <w:rPr/>
              <w:t> </w:t>
            </w:r>
          </w:p>
        </w:tc>
        <w:tc>
          <w:tcPr>
            <w:tcW w:w="89" w:type="dxa"/>
            <w:tcBorders/>
            <w:vAlign w:val="center"/>
          </w:tcPr>
          <w:p>
            <w:pPr>
              <w:pStyle w:val="TableContents"/>
              <w:bidi w:val="0"/>
              <w:spacing w:before="0" w:after="283"/>
              <w:jc w:val="center"/>
              <w:rPr/>
            </w:pPr>
            <w:r>
              <w:rPr/>
              <w:t> </w:t>
            </w:r>
            <w:bookmarkStart w:id="215" w:name="xdx_49E_20220501__20230131_zpirPz1z1g4d"/>
            <w:bookmarkEnd w:id="215"/>
          </w:p>
        </w:tc>
        <w:tc>
          <w:tcPr>
            <w:tcW w:w="134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4" w:type="dxa"/>
            <w:tcBorders/>
            <w:vAlign w:val="center"/>
          </w:tcPr>
          <w:p>
            <w:pPr>
              <w:pStyle w:val="TableContents"/>
              <w:bidi w:val="0"/>
              <w:spacing w:before="0" w:after="283"/>
              <w:jc w:val="center"/>
              <w:rPr/>
            </w:pPr>
            <w:r>
              <w:rPr/>
              <w:t> </w:t>
            </w:r>
          </w:p>
        </w:tc>
      </w:tr>
      <w:tr>
        <w:trPr/>
        <w:tc>
          <w:tcPr>
            <w:tcW w:w="71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1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Nine months ended January 31,</w:t>
            </w:r>
          </w:p>
        </w:tc>
        <w:tc>
          <w:tcPr>
            <w:tcW w:w="114" w:type="dxa"/>
            <w:tcBorders/>
            <w:vAlign w:val="center"/>
          </w:tcPr>
          <w:p>
            <w:pPr>
              <w:pStyle w:val="TableContents"/>
              <w:bidi w:val="0"/>
              <w:spacing w:before="0" w:after="283"/>
              <w:jc w:val="left"/>
              <w:rPr/>
            </w:pPr>
            <w:r>
              <w:rPr/>
              <w:t> </w:t>
            </w:r>
          </w:p>
        </w:tc>
      </w:tr>
      <w:tr>
        <w:trPr/>
        <w:tc>
          <w:tcPr>
            <w:tcW w:w="711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4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42" w:type="dxa"/>
            <w:tcBorders/>
            <w:vAlign w:val="center"/>
          </w:tcPr>
          <w:p>
            <w:pPr>
              <w:pStyle w:val="TableContents"/>
              <w:bidi w:val="0"/>
              <w:spacing w:before="0" w:after="283"/>
              <w:jc w:val="center"/>
              <w:rPr/>
            </w:pPr>
            <w:r>
              <w:rPr/>
              <w:t> </w:t>
            </w:r>
          </w:p>
        </w:tc>
        <w:tc>
          <w:tcPr>
            <w:tcW w:w="89" w:type="dxa"/>
            <w:tcBorders/>
            <w:vAlign w:val="center"/>
          </w:tcPr>
          <w:p>
            <w:pPr>
              <w:pStyle w:val="TableContents"/>
              <w:bidi w:val="0"/>
              <w:spacing w:before="0" w:after="283"/>
              <w:jc w:val="center"/>
              <w:rPr/>
            </w:pPr>
            <w:r>
              <w:rPr/>
              <w:t> </w:t>
            </w:r>
          </w:p>
        </w:tc>
        <w:tc>
          <w:tcPr>
            <w:tcW w:w="134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4" w:type="dxa"/>
            <w:tcBorders/>
            <w:vAlign w:val="center"/>
          </w:tcPr>
          <w:p>
            <w:pPr>
              <w:pStyle w:val="TableContents"/>
              <w:bidi w:val="0"/>
              <w:spacing w:before="0" w:after="283"/>
              <w:jc w:val="center"/>
              <w:rPr/>
            </w:pPr>
            <w:r>
              <w:rPr/>
              <w:t> </w:t>
            </w:r>
          </w:p>
        </w:tc>
      </w:tr>
      <w:tr>
        <w:trPr/>
        <w:tc>
          <w:tcPr>
            <w:tcW w:w="71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3" w:type="dxa"/>
            <w:gridSpan w:val="2"/>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343" w:type="dxa"/>
            <w:gridSpan w:val="2"/>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bookmarkStart w:id="216" w:name="xdx_404_eus-gaap--NetCashProvidedByUsedI"/>
            <w:bookmarkEnd w:id="216"/>
          </w:p>
        </w:tc>
      </w:tr>
      <w:tr>
        <w:trPr/>
        <w:tc>
          <w:tcPr>
            <w:tcW w:w="7114" w:type="dxa"/>
            <w:tcBorders/>
            <w:shd w:fill="CCEEFF" w:val="clear"/>
            <w:vAlign w:val="center"/>
          </w:tcPr>
          <w:p>
            <w:pPr>
              <w:pStyle w:val="TableContents"/>
              <w:bidi w:val="0"/>
              <w:spacing w:before="0" w:after="283"/>
              <w:jc w:val="left"/>
              <w:rPr/>
            </w:pPr>
            <w:r>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 </w:t>
            </w:r>
          </w:p>
        </w:tc>
        <w:tc>
          <w:tcPr>
            <w:tcW w:w="142"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217" w:name="xdx_40B_eus-gaap--NetIncomeLoss_i01_maCz"/>
            <w:bookmarkEnd w:id="217"/>
          </w:p>
        </w:tc>
      </w:tr>
      <w:tr>
        <w:trPr/>
        <w:tc>
          <w:tcPr>
            <w:tcW w:w="7114"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w:t>
            </w:r>
          </w:p>
        </w:tc>
        <w:tc>
          <w:tcPr>
            <w:tcW w:w="1134" w:type="dxa"/>
            <w:tcBorders/>
            <w:shd w:fill="FFFFFF" w:val="clear"/>
            <w:vAlign w:val="center"/>
          </w:tcPr>
          <w:p>
            <w:pPr>
              <w:pStyle w:val="TableContents"/>
              <w:bidi w:val="0"/>
              <w:spacing w:before="0" w:after="283"/>
              <w:jc w:val="right"/>
              <w:rPr/>
            </w:pPr>
            <w:r>
              <w:rPr/>
              <w:t>(20,761</w:t>
            </w:r>
          </w:p>
        </w:tc>
        <w:tc>
          <w:tcPr>
            <w:tcW w:w="142" w:type="dxa"/>
            <w:tcBorders/>
            <w:shd w:fill="FFFFFF" w:val="clear"/>
            <w:vAlign w:val="center"/>
          </w:tcPr>
          <w:p>
            <w:pPr>
              <w:pStyle w:val="TableContents"/>
              <w:bidi w:val="0"/>
              <w:spacing w:before="0" w:after="283"/>
              <w:jc w:val="left"/>
              <w:rPr/>
            </w:pPr>
            <w:r>
              <w:rPr/>
              <w:t>)</w:t>
            </w:r>
          </w:p>
        </w:tc>
        <w:tc>
          <w:tcPr>
            <w:tcW w:w="89"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w:t>
            </w:r>
          </w:p>
        </w:tc>
        <w:tc>
          <w:tcPr>
            <w:tcW w:w="1134" w:type="dxa"/>
            <w:tcBorders/>
            <w:shd w:fill="FFFFFF" w:val="clear"/>
            <w:vAlign w:val="center"/>
          </w:tcPr>
          <w:p>
            <w:pPr>
              <w:pStyle w:val="TableContents"/>
              <w:bidi w:val="0"/>
              <w:spacing w:before="0" w:after="283"/>
              <w:jc w:val="right"/>
              <w:rPr/>
            </w:pPr>
            <w:r>
              <w:rPr/>
              <w:t>(16,786</w:t>
            </w:r>
          </w:p>
        </w:tc>
        <w:tc>
          <w:tcPr>
            <w:tcW w:w="114" w:type="dxa"/>
            <w:tcBorders/>
            <w:shd w:fill="FFFFFF" w:val="clear"/>
            <w:vAlign w:val="center"/>
          </w:tcPr>
          <w:p>
            <w:pPr>
              <w:pStyle w:val="TableContents"/>
              <w:bidi w:val="0"/>
              <w:spacing w:before="0" w:after="283"/>
              <w:jc w:val="left"/>
              <w:rPr/>
            </w:pPr>
            <w:r>
              <w:rPr/>
              <w:t>)</w:t>
            </w:r>
            <w:bookmarkStart w:id="218" w:name="xdx_40E_eus-gaap--AdjustmentsNoncashItem"/>
            <w:bookmarkEnd w:id="218"/>
          </w:p>
        </w:tc>
      </w:tr>
      <w:tr>
        <w:trPr/>
        <w:tc>
          <w:tcPr>
            <w:tcW w:w="7114" w:type="dxa"/>
            <w:tcBorders/>
            <w:shd w:fill="CCEE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 </w:t>
            </w:r>
          </w:p>
        </w:tc>
        <w:tc>
          <w:tcPr>
            <w:tcW w:w="142"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219" w:name="xdx_40B_eus-gaap--Depreciation_i02_maCzn"/>
            <w:bookmarkEnd w:id="219"/>
          </w:p>
        </w:tc>
      </w:tr>
      <w:tr>
        <w:trPr/>
        <w:tc>
          <w:tcPr>
            <w:tcW w:w="7114" w:type="dxa"/>
            <w:tcBorders/>
            <w:shd w:fill="FFFFFF" w:val="clear"/>
            <w:vAlign w:val="center"/>
          </w:tcPr>
          <w:p>
            <w:pPr>
              <w:pStyle w:val="TableContents"/>
              <w:bidi w:val="0"/>
              <w:spacing w:before="0" w:after="283"/>
              <w:jc w:val="left"/>
              <w:rPr/>
            </w:pPr>
            <w:r>
              <w:rPr/>
              <w:t>Depreciation of fixed assets</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286</w:t>
            </w:r>
          </w:p>
        </w:tc>
        <w:tc>
          <w:tcPr>
            <w:tcW w:w="142"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157</w:t>
            </w:r>
          </w:p>
        </w:tc>
        <w:tc>
          <w:tcPr>
            <w:tcW w:w="114" w:type="dxa"/>
            <w:tcBorders/>
            <w:shd w:fill="FFFFFF" w:val="clear"/>
            <w:vAlign w:val="center"/>
          </w:tcPr>
          <w:p>
            <w:pPr>
              <w:pStyle w:val="TableContents"/>
              <w:bidi w:val="0"/>
              <w:spacing w:before="0" w:after="283"/>
              <w:jc w:val="left"/>
              <w:rPr/>
            </w:pPr>
            <w:r>
              <w:rPr/>
              <w:t> </w:t>
            </w:r>
            <w:bookmarkStart w:id="220" w:name="xdx_406_ecustom--ForeignCurrencyTransact"/>
            <w:bookmarkEnd w:id="220"/>
          </w:p>
        </w:tc>
      </w:tr>
      <w:tr>
        <w:trPr/>
        <w:tc>
          <w:tcPr>
            <w:tcW w:w="7114" w:type="dxa"/>
            <w:tcBorders/>
            <w:shd w:fill="CCEEFF" w:val="clear"/>
            <w:vAlign w:val="center"/>
          </w:tcPr>
          <w:p>
            <w:pPr>
              <w:pStyle w:val="TableContents"/>
              <w:bidi w:val="0"/>
              <w:spacing w:before="0" w:after="283"/>
              <w:jc w:val="left"/>
              <w:rPr/>
            </w:pPr>
            <w:r>
              <w:rPr/>
              <w:t>Foreign exchange gain</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2</w:t>
            </w:r>
          </w:p>
        </w:tc>
        <w:tc>
          <w:tcPr>
            <w:tcW w:w="142"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bookmarkStart w:id="221" w:name="xdx_40E_eus-gaap--AmortizationOfIntangib"/>
            <w:bookmarkEnd w:id="221"/>
          </w:p>
        </w:tc>
      </w:tr>
      <w:tr>
        <w:trPr/>
        <w:tc>
          <w:tcPr>
            <w:tcW w:w="7114" w:type="dxa"/>
            <w:tcBorders/>
            <w:shd w:fill="FFFFFF" w:val="clear"/>
            <w:vAlign w:val="center"/>
          </w:tcPr>
          <w:p>
            <w:pPr>
              <w:pStyle w:val="TableContents"/>
              <w:bidi w:val="0"/>
              <w:spacing w:before="0" w:after="283"/>
              <w:jc w:val="left"/>
              <w:rPr/>
            </w:pPr>
            <w:r>
              <w:rPr/>
              <w:t>Amortization of intangible assets</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114</w:t>
            </w:r>
          </w:p>
        </w:tc>
        <w:tc>
          <w:tcPr>
            <w:tcW w:w="142"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119</w:t>
            </w:r>
          </w:p>
        </w:tc>
        <w:tc>
          <w:tcPr>
            <w:tcW w:w="114" w:type="dxa"/>
            <w:tcBorders/>
            <w:shd w:fill="FFFFFF" w:val="clear"/>
            <w:vAlign w:val="center"/>
          </w:tcPr>
          <w:p>
            <w:pPr>
              <w:pStyle w:val="TableContents"/>
              <w:bidi w:val="0"/>
              <w:spacing w:before="0" w:after="283"/>
              <w:jc w:val="left"/>
              <w:rPr/>
            </w:pPr>
            <w:r>
              <w:rPr/>
              <w:t> </w:t>
            </w:r>
            <w:bookmarkStart w:id="222" w:name="xdx_400_eus-gaap--OperatingLeaseRightOfU"/>
            <w:bookmarkEnd w:id="222"/>
          </w:p>
        </w:tc>
      </w:tr>
      <w:tr>
        <w:trPr/>
        <w:tc>
          <w:tcPr>
            <w:tcW w:w="7114" w:type="dxa"/>
            <w:tcBorders/>
            <w:shd w:fill="CCEEFF" w:val="clear"/>
            <w:vAlign w:val="center"/>
          </w:tcPr>
          <w:p>
            <w:pPr>
              <w:pStyle w:val="TableContents"/>
              <w:bidi w:val="0"/>
              <w:spacing w:before="0" w:after="283"/>
              <w:jc w:val="left"/>
              <w:rPr/>
            </w:pPr>
            <w:r>
              <w:rPr/>
              <w:t>Amortization of right of use assets</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388</w:t>
            </w:r>
          </w:p>
        </w:tc>
        <w:tc>
          <w:tcPr>
            <w:tcW w:w="142"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230</w:t>
            </w:r>
          </w:p>
        </w:tc>
        <w:tc>
          <w:tcPr>
            <w:tcW w:w="114" w:type="dxa"/>
            <w:tcBorders/>
            <w:shd w:fill="CCEEFF" w:val="clear"/>
            <w:vAlign w:val="center"/>
          </w:tcPr>
          <w:p>
            <w:pPr>
              <w:pStyle w:val="TableContents"/>
              <w:bidi w:val="0"/>
              <w:spacing w:before="0" w:after="283"/>
              <w:jc w:val="left"/>
              <w:rPr/>
            </w:pPr>
            <w:r>
              <w:rPr/>
              <w:t> </w:t>
            </w:r>
            <w:bookmarkStart w:id="223" w:name="xdx_40B_ecustom--AccretionOfDiscountAmor"/>
            <w:bookmarkEnd w:id="223"/>
          </w:p>
        </w:tc>
      </w:tr>
      <w:tr>
        <w:trPr/>
        <w:tc>
          <w:tcPr>
            <w:tcW w:w="7114" w:type="dxa"/>
            <w:tcBorders/>
            <w:shd w:fill="FFFFFF" w:val="clear"/>
            <w:vAlign w:val="center"/>
          </w:tcPr>
          <w:p>
            <w:pPr>
              <w:pStyle w:val="TableContents"/>
              <w:bidi w:val="0"/>
              <w:spacing w:before="0" w:after="283"/>
              <w:jc w:val="left"/>
              <w:rPr/>
            </w:pPr>
            <w:r>
              <w:rPr/>
              <w:t>(Accretion of discount)/amortization of premium on investments</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(277</w:t>
            </w:r>
          </w:p>
        </w:tc>
        <w:tc>
          <w:tcPr>
            <w:tcW w:w="142" w:type="dxa"/>
            <w:tcBorders/>
            <w:shd w:fill="FFFFFF" w:val="clear"/>
            <w:vAlign w:val="center"/>
          </w:tcPr>
          <w:p>
            <w:pPr>
              <w:pStyle w:val="TableContents"/>
              <w:bidi w:val="0"/>
              <w:spacing w:before="0" w:after="283"/>
              <w:jc w:val="left"/>
              <w:rPr/>
            </w:pPr>
            <w:r>
              <w:rPr/>
              <w:t>)</w:t>
            </w:r>
          </w:p>
        </w:tc>
        <w:tc>
          <w:tcPr>
            <w:tcW w:w="89"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198</w:t>
            </w:r>
          </w:p>
        </w:tc>
        <w:tc>
          <w:tcPr>
            <w:tcW w:w="114" w:type="dxa"/>
            <w:tcBorders/>
            <w:shd w:fill="FFFFFF" w:val="clear"/>
            <w:vAlign w:val="center"/>
          </w:tcPr>
          <w:p>
            <w:pPr>
              <w:pStyle w:val="TableContents"/>
              <w:bidi w:val="0"/>
              <w:spacing w:before="0" w:after="283"/>
              <w:jc w:val="left"/>
              <w:rPr/>
            </w:pPr>
            <w:r>
              <w:rPr/>
              <w:t> </w:t>
            </w:r>
            <w:bookmarkStart w:id="224" w:name="xdx_408_eus-gaap--BusinessCombinationCon"/>
            <w:bookmarkEnd w:id="224"/>
          </w:p>
        </w:tc>
      </w:tr>
      <w:tr>
        <w:trPr/>
        <w:tc>
          <w:tcPr>
            <w:tcW w:w="7114" w:type="dxa"/>
            <w:tcBorders/>
            <w:shd w:fill="CCEEFF" w:val="clear"/>
            <w:vAlign w:val="center"/>
          </w:tcPr>
          <w:p>
            <w:pPr>
              <w:pStyle w:val="TableContents"/>
              <w:bidi w:val="0"/>
              <w:spacing w:before="0" w:after="283"/>
              <w:jc w:val="left"/>
              <w:rPr/>
            </w:pPr>
            <w:r>
              <w:rPr/>
              <w:t>Change in contingent consideration liability</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(117</w:t>
            </w:r>
          </w:p>
        </w:tc>
        <w:tc>
          <w:tcPr>
            <w:tcW w:w="142" w:type="dxa"/>
            <w:tcBorders/>
            <w:shd w:fill="CCEEFF" w:val="clear"/>
            <w:vAlign w:val="center"/>
          </w:tcPr>
          <w:p>
            <w:pPr>
              <w:pStyle w:val="TableContents"/>
              <w:bidi w:val="0"/>
              <w:spacing w:before="0" w:after="283"/>
              <w:jc w:val="left"/>
              <w:rPr/>
            </w:pPr>
            <w:r>
              <w:rPr/>
              <w:t>)</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154</w:t>
            </w:r>
          </w:p>
        </w:tc>
        <w:tc>
          <w:tcPr>
            <w:tcW w:w="114" w:type="dxa"/>
            <w:tcBorders/>
            <w:shd w:fill="CCEEFF" w:val="clear"/>
            <w:vAlign w:val="center"/>
          </w:tcPr>
          <w:p>
            <w:pPr>
              <w:pStyle w:val="TableContents"/>
              <w:bidi w:val="0"/>
              <w:spacing w:before="0" w:after="283"/>
              <w:jc w:val="left"/>
              <w:rPr/>
            </w:pPr>
            <w:r>
              <w:rPr/>
              <w:t> </w:t>
            </w:r>
            <w:bookmarkStart w:id="225" w:name="xdx_409_eus-gaap--ShareBasedCompensation"/>
            <w:bookmarkEnd w:id="225"/>
          </w:p>
        </w:tc>
      </w:tr>
      <w:tr>
        <w:trPr/>
        <w:tc>
          <w:tcPr>
            <w:tcW w:w="7114" w:type="dxa"/>
            <w:tcBorders/>
            <w:shd w:fill="FFFFFF" w:val="clear"/>
            <w:vAlign w:val="center"/>
          </w:tcPr>
          <w:p>
            <w:pPr>
              <w:pStyle w:val="TableContents"/>
              <w:bidi w:val="0"/>
              <w:spacing w:before="0" w:after="283"/>
              <w:jc w:val="left"/>
              <w:rPr/>
            </w:pPr>
            <w:r>
              <w:rPr/>
              <w:t>Stock based compensation</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803</w:t>
            </w:r>
          </w:p>
        </w:tc>
        <w:tc>
          <w:tcPr>
            <w:tcW w:w="142"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911</w:t>
            </w:r>
          </w:p>
        </w:tc>
        <w:tc>
          <w:tcPr>
            <w:tcW w:w="114" w:type="dxa"/>
            <w:tcBorders/>
            <w:shd w:fill="FFFFFF" w:val="clear"/>
            <w:vAlign w:val="center"/>
          </w:tcPr>
          <w:p>
            <w:pPr>
              <w:pStyle w:val="TableContents"/>
              <w:bidi w:val="0"/>
              <w:spacing w:before="0" w:after="283"/>
              <w:jc w:val="left"/>
              <w:rPr/>
            </w:pPr>
            <w:r>
              <w:rPr/>
              <w:t> </w:t>
            </w:r>
            <w:bookmarkStart w:id="226" w:name="xdx_406_eus-gaap--GainLossOnDispositionO"/>
            <w:bookmarkEnd w:id="226"/>
          </w:p>
        </w:tc>
      </w:tr>
      <w:tr>
        <w:trPr/>
        <w:tc>
          <w:tcPr>
            <w:tcW w:w="7114" w:type="dxa"/>
            <w:tcBorders/>
            <w:shd w:fill="CCEEFF" w:val="clear"/>
            <w:vAlign w:val="center"/>
          </w:tcPr>
          <w:p>
            <w:pPr>
              <w:pStyle w:val="TableContents"/>
              <w:bidi w:val="0"/>
              <w:spacing w:before="0" w:after="283"/>
              <w:jc w:val="left"/>
              <w:rPr/>
            </w:pPr>
            <w:r>
              <w:rPr/>
              <w:t>Loss on disposition of assets</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210</w:t>
            </w:r>
          </w:p>
        </w:tc>
        <w:tc>
          <w:tcPr>
            <w:tcW w:w="142"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bookmarkStart w:id="227" w:name="xdx_40B_eus-gaap--IncreaseDecreaseInOper"/>
            <w:bookmarkEnd w:id="227"/>
          </w:p>
        </w:tc>
      </w:tr>
      <w:tr>
        <w:trPr/>
        <w:tc>
          <w:tcPr>
            <w:tcW w:w="7114" w:type="dxa"/>
            <w:tcBorders/>
            <w:shd w:fill="FFFFFF" w:val="clear"/>
            <w:vAlign w:val="center"/>
          </w:tcPr>
          <w:p>
            <w:pPr>
              <w:pStyle w:val="TableContents"/>
              <w:bidi w:val="0"/>
              <w:spacing w:before="0" w:after="283"/>
              <w:jc w:val="left"/>
              <w:rPr/>
            </w:pPr>
            <w:r>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 </w:t>
            </w:r>
          </w:p>
        </w:tc>
        <w:tc>
          <w:tcPr>
            <w:tcW w:w="142"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228" w:name="xdx_40E_eus-gaap--IncreaseDecreaseInAcco"/>
            <w:bookmarkEnd w:id="228"/>
          </w:p>
        </w:tc>
      </w:tr>
      <w:tr>
        <w:trPr/>
        <w:tc>
          <w:tcPr>
            <w:tcW w:w="7114"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120</w:t>
            </w:r>
          </w:p>
        </w:tc>
        <w:tc>
          <w:tcPr>
            <w:tcW w:w="142"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(224</w:t>
            </w:r>
          </w:p>
        </w:tc>
        <w:tc>
          <w:tcPr>
            <w:tcW w:w="114" w:type="dxa"/>
            <w:tcBorders/>
            <w:shd w:fill="CCEEFF" w:val="clear"/>
            <w:vAlign w:val="center"/>
          </w:tcPr>
          <w:p>
            <w:pPr>
              <w:pStyle w:val="TableContents"/>
              <w:bidi w:val="0"/>
              <w:spacing w:before="0" w:after="283"/>
              <w:jc w:val="left"/>
              <w:rPr/>
            </w:pPr>
            <w:r>
              <w:rPr/>
              <w:t>)</w:t>
            </w:r>
            <w:bookmarkStart w:id="229" w:name="xdx_40B_eus-gaap--IncreaseDecreaseInCont"/>
            <w:bookmarkEnd w:id="229"/>
          </w:p>
        </w:tc>
      </w:tr>
      <w:tr>
        <w:trPr/>
        <w:tc>
          <w:tcPr>
            <w:tcW w:w="7114" w:type="dxa"/>
            <w:tcBorders/>
            <w:shd w:fill="FFFFFF" w:val="clear"/>
            <w:vAlign w:val="center"/>
          </w:tcPr>
          <w:p>
            <w:pPr>
              <w:pStyle w:val="TableContents"/>
              <w:bidi w:val="0"/>
              <w:spacing w:before="0" w:after="283"/>
              <w:jc w:val="left"/>
              <w:rPr/>
            </w:pPr>
            <w:r>
              <w:rPr/>
              <w:t>Contract assets</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(129</w:t>
            </w:r>
          </w:p>
        </w:tc>
        <w:tc>
          <w:tcPr>
            <w:tcW w:w="142" w:type="dxa"/>
            <w:tcBorders/>
            <w:shd w:fill="FFFFFF" w:val="clear"/>
            <w:vAlign w:val="center"/>
          </w:tcPr>
          <w:p>
            <w:pPr>
              <w:pStyle w:val="TableContents"/>
              <w:bidi w:val="0"/>
              <w:spacing w:before="0" w:after="283"/>
              <w:jc w:val="left"/>
              <w:rPr/>
            </w:pPr>
            <w:r>
              <w:rPr/>
              <w:t>)</w:t>
            </w:r>
          </w:p>
        </w:tc>
        <w:tc>
          <w:tcPr>
            <w:tcW w:w="89"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293</w:t>
            </w:r>
          </w:p>
        </w:tc>
        <w:tc>
          <w:tcPr>
            <w:tcW w:w="114" w:type="dxa"/>
            <w:tcBorders/>
            <w:shd w:fill="FFFFFF" w:val="clear"/>
            <w:vAlign w:val="center"/>
          </w:tcPr>
          <w:p>
            <w:pPr>
              <w:pStyle w:val="TableContents"/>
              <w:bidi w:val="0"/>
              <w:spacing w:before="0" w:after="283"/>
              <w:jc w:val="left"/>
              <w:rPr/>
            </w:pPr>
            <w:r>
              <w:rPr/>
              <w:t> </w:t>
            </w:r>
            <w:bookmarkStart w:id="230" w:name="xdx_40A_eus-gaap--IncreaseDecreaseInInve"/>
            <w:bookmarkEnd w:id="230"/>
          </w:p>
        </w:tc>
      </w:tr>
      <w:tr>
        <w:trPr/>
        <w:tc>
          <w:tcPr>
            <w:tcW w:w="7114"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(2,416</w:t>
            </w:r>
          </w:p>
        </w:tc>
        <w:tc>
          <w:tcPr>
            <w:tcW w:w="142" w:type="dxa"/>
            <w:tcBorders/>
            <w:shd w:fill="CCEEFF" w:val="clear"/>
            <w:vAlign w:val="center"/>
          </w:tcPr>
          <w:p>
            <w:pPr>
              <w:pStyle w:val="TableContents"/>
              <w:bidi w:val="0"/>
              <w:spacing w:before="0" w:after="283"/>
              <w:jc w:val="left"/>
              <w:rPr/>
            </w:pPr>
            <w:r>
              <w:rPr/>
              <w:t>)</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(995</w:t>
            </w:r>
          </w:p>
        </w:tc>
        <w:tc>
          <w:tcPr>
            <w:tcW w:w="114" w:type="dxa"/>
            <w:tcBorders/>
            <w:shd w:fill="CCEEFF" w:val="clear"/>
            <w:vAlign w:val="center"/>
          </w:tcPr>
          <w:p>
            <w:pPr>
              <w:pStyle w:val="TableContents"/>
              <w:bidi w:val="0"/>
              <w:spacing w:before="0" w:after="283"/>
              <w:jc w:val="left"/>
              <w:rPr/>
            </w:pPr>
            <w:r>
              <w:rPr/>
              <w:t>)</w:t>
            </w:r>
            <w:bookmarkStart w:id="231" w:name="xdx_408_eus-gaap--IncreaseDecreaseInOthe"/>
            <w:bookmarkEnd w:id="231"/>
          </w:p>
        </w:tc>
      </w:tr>
      <w:tr>
        <w:trPr/>
        <w:tc>
          <w:tcPr>
            <w:tcW w:w="7114" w:type="dxa"/>
            <w:tcBorders/>
            <w:shd w:fill="FFFFFF" w:val="clear"/>
            <w:vAlign w:val="center"/>
          </w:tcPr>
          <w:p>
            <w:pPr>
              <w:pStyle w:val="TableContents"/>
              <w:bidi w:val="0"/>
              <w:spacing w:before="0" w:after="283"/>
              <w:jc w:val="left"/>
              <w:rPr/>
            </w:pPr>
            <w:r>
              <w:rPr/>
              <w:t>Other assets</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(2,933</w:t>
            </w:r>
          </w:p>
        </w:tc>
        <w:tc>
          <w:tcPr>
            <w:tcW w:w="142" w:type="dxa"/>
            <w:tcBorders/>
            <w:shd w:fill="FFFFFF" w:val="clear"/>
            <w:vAlign w:val="center"/>
          </w:tcPr>
          <w:p>
            <w:pPr>
              <w:pStyle w:val="TableContents"/>
              <w:bidi w:val="0"/>
              <w:spacing w:before="0" w:after="283"/>
              <w:jc w:val="left"/>
              <w:rPr/>
            </w:pPr>
            <w:r>
              <w:rPr/>
              <w:t>)</w:t>
            </w:r>
          </w:p>
        </w:tc>
        <w:tc>
          <w:tcPr>
            <w:tcW w:w="89"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(1,530</w:t>
            </w:r>
          </w:p>
        </w:tc>
        <w:tc>
          <w:tcPr>
            <w:tcW w:w="114" w:type="dxa"/>
            <w:tcBorders/>
            <w:shd w:fill="FFFFFF" w:val="clear"/>
            <w:vAlign w:val="center"/>
          </w:tcPr>
          <w:p>
            <w:pPr>
              <w:pStyle w:val="TableContents"/>
              <w:bidi w:val="0"/>
              <w:spacing w:before="0" w:after="283"/>
              <w:jc w:val="left"/>
              <w:rPr/>
            </w:pPr>
            <w:r>
              <w:rPr/>
              <w:t>)</w:t>
            </w:r>
            <w:bookmarkStart w:id="232" w:name="xdx_407_eus-gaap--IncreaseDecreaseInAcco"/>
            <w:bookmarkEnd w:id="232"/>
          </w:p>
        </w:tc>
      </w:tr>
      <w:tr>
        <w:trPr/>
        <w:tc>
          <w:tcPr>
            <w:tcW w:w="7114"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512</w:t>
            </w:r>
          </w:p>
        </w:tc>
        <w:tc>
          <w:tcPr>
            <w:tcW w:w="142"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(314</w:t>
            </w:r>
          </w:p>
        </w:tc>
        <w:tc>
          <w:tcPr>
            <w:tcW w:w="114" w:type="dxa"/>
            <w:tcBorders/>
            <w:shd w:fill="CCEEFF" w:val="clear"/>
            <w:vAlign w:val="center"/>
          </w:tcPr>
          <w:p>
            <w:pPr>
              <w:pStyle w:val="TableContents"/>
              <w:bidi w:val="0"/>
              <w:spacing w:before="0" w:after="283"/>
              <w:jc w:val="left"/>
              <w:rPr/>
            </w:pPr>
            <w:r>
              <w:rPr/>
              <w:t>)</w:t>
            </w:r>
            <w:bookmarkStart w:id="233" w:name="xdx_401_eus-gaap--IncreaseDecreaseInOthe"/>
            <w:bookmarkEnd w:id="233"/>
          </w:p>
        </w:tc>
      </w:tr>
      <w:tr>
        <w:trPr/>
        <w:tc>
          <w:tcPr>
            <w:tcW w:w="7114" w:type="dxa"/>
            <w:tcBorders/>
            <w:shd w:fill="FFFFFF" w:val="clear"/>
            <w:vAlign w:val="center"/>
          </w:tcPr>
          <w:p>
            <w:pPr>
              <w:pStyle w:val="TableContents"/>
              <w:bidi w:val="0"/>
              <w:spacing w:before="0" w:after="283"/>
              <w:jc w:val="left"/>
              <w:rPr/>
            </w:pPr>
            <w:r>
              <w:rPr/>
              <w:t>Earnout payable</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(500</w:t>
            </w:r>
          </w:p>
        </w:tc>
        <w:tc>
          <w:tcPr>
            <w:tcW w:w="142" w:type="dxa"/>
            <w:tcBorders/>
            <w:shd w:fill="FFFFFF" w:val="clear"/>
            <w:vAlign w:val="center"/>
          </w:tcPr>
          <w:p>
            <w:pPr>
              <w:pStyle w:val="TableContents"/>
              <w:bidi w:val="0"/>
              <w:spacing w:before="0" w:after="283"/>
              <w:jc w:val="left"/>
              <w:rPr/>
            </w:pPr>
            <w:r>
              <w:rPr/>
              <w:t>)</w:t>
            </w:r>
          </w:p>
        </w:tc>
        <w:tc>
          <w:tcPr>
            <w:tcW w:w="89"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bookmarkStart w:id="234" w:name="xdx_40B_eus-gaap--IncreaseDecreaseInAccr"/>
            <w:bookmarkEnd w:id="234"/>
          </w:p>
        </w:tc>
      </w:tr>
      <w:tr>
        <w:trPr/>
        <w:tc>
          <w:tcPr>
            <w:tcW w:w="7114" w:type="dxa"/>
            <w:tcBorders/>
            <w:shd w:fill="CCEEFF" w:val="clear"/>
            <w:vAlign w:val="center"/>
          </w:tcPr>
          <w:p>
            <w:pPr>
              <w:pStyle w:val="TableContents"/>
              <w:bidi w:val="0"/>
              <w:spacing w:before="0" w:after="283"/>
              <w:jc w:val="left"/>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894</w:t>
            </w:r>
          </w:p>
        </w:tc>
        <w:tc>
          <w:tcPr>
            <w:tcW w:w="142"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747</w:t>
            </w:r>
          </w:p>
        </w:tc>
        <w:tc>
          <w:tcPr>
            <w:tcW w:w="114" w:type="dxa"/>
            <w:tcBorders/>
            <w:shd w:fill="CCEEFF" w:val="clear"/>
            <w:vAlign w:val="center"/>
          </w:tcPr>
          <w:p>
            <w:pPr>
              <w:pStyle w:val="TableContents"/>
              <w:bidi w:val="0"/>
              <w:spacing w:before="0" w:after="283"/>
              <w:jc w:val="left"/>
              <w:rPr/>
            </w:pPr>
            <w:r>
              <w:rPr/>
              <w:t> </w:t>
            </w:r>
            <w:bookmarkStart w:id="235" w:name="xdx_40A_ecustom--IncreaseDecreaseInRight"/>
            <w:bookmarkEnd w:id="235"/>
          </w:p>
        </w:tc>
      </w:tr>
      <w:tr>
        <w:trPr/>
        <w:tc>
          <w:tcPr>
            <w:tcW w:w="7114" w:type="dxa"/>
            <w:tcBorders/>
            <w:shd w:fill="FFFFFF" w:val="clear"/>
            <w:vAlign w:val="center"/>
          </w:tcPr>
          <w:p>
            <w:pPr>
              <w:pStyle w:val="TableContents"/>
              <w:bidi w:val="0"/>
              <w:spacing w:before="0" w:after="283"/>
              <w:jc w:val="left"/>
              <w:rPr/>
            </w:pPr>
            <w:r>
              <w:rPr/>
              <w:t>Right-of-use liabilities</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(397</w:t>
            </w:r>
          </w:p>
        </w:tc>
        <w:tc>
          <w:tcPr>
            <w:tcW w:w="142" w:type="dxa"/>
            <w:tcBorders/>
            <w:shd w:fill="FFFFFF" w:val="clear"/>
            <w:vAlign w:val="center"/>
          </w:tcPr>
          <w:p>
            <w:pPr>
              <w:pStyle w:val="TableContents"/>
              <w:bidi w:val="0"/>
              <w:spacing w:before="0" w:after="283"/>
              <w:jc w:val="left"/>
              <w:rPr/>
            </w:pPr>
            <w:r>
              <w:rPr/>
              <w:t>)</w:t>
            </w:r>
          </w:p>
        </w:tc>
        <w:tc>
          <w:tcPr>
            <w:tcW w:w="89"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(254</w:t>
            </w:r>
          </w:p>
        </w:tc>
        <w:tc>
          <w:tcPr>
            <w:tcW w:w="114" w:type="dxa"/>
            <w:tcBorders/>
            <w:shd w:fill="FFFFFF" w:val="clear"/>
            <w:vAlign w:val="center"/>
          </w:tcPr>
          <w:p>
            <w:pPr>
              <w:pStyle w:val="TableContents"/>
              <w:bidi w:val="0"/>
              <w:spacing w:before="0" w:after="283"/>
              <w:jc w:val="left"/>
              <w:rPr/>
            </w:pPr>
            <w:r>
              <w:rPr/>
              <w:t>)</w:t>
            </w:r>
            <w:bookmarkStart w:id="236" w:name="xdx_40B_eus-gaap--IncreaseDecreaseInCont"/>
            <w:bookmarkEnd w:id="236"/>
          </w:p>
        </w:tc>
      </w:tr>
      <w:tr>
        <w:trPr/>
        <w:tc>
          <w:tcPr>
            <w:tcW w:w="7114" w:type="dxa"/>
            <w:tcBorders/>
            <w:shd w:fill="CCEEFF" w:val="clear"/>
            <w:vAlign w:val="center"/>
          </w:tcPr>
          <w:p>
            <w:pPr>
              <w:pStyle w:val="TableContents"/>
              <w:bidi w:val="0"/>
              <w:spacing w:before="0" w:after="283"/>
              <w:jc w:val="left"/>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shd w:fill="CCEEFF" w:val="clear"/>
            <w:tcMar>
              <w:bottom w:w="28" w:type="dxa"/>
            </w:tcMar>
            <w:vAlign w:val="center"/>
          </w:tcPr>
          <w:p>
            <w:pPr>
              <w:pStyle w:val="TableContents"/>
              <w:bidi w:val="0"/>
              <w:spacing w:before="0" w:after="283"/>
              <w:jc w:val="right"/>
              <w:rPr/>
            </w:pPr>
            <w:r>
              <w:rPr/>
              <w:t>(510</w:t>
            </w:r>
          </w:p>
        </w:tc>
        <w:tc>
          <w:tcPr>
            <w:tcW w:w="142" w:type="dxa"/>
            <w:tcBorders/>
            <w:shd w:fill="CCEEFF" w:val="clear"/>
            <w:vAlign w:val="center"/>
          </w:tcPr>
          <w:p>
            <w:pPr>
              <w:pStyle w:val="TableContents"/>
              <w:bidi w:val="0"/>
              <w:spacing w:before="0" w:after="283"/>
              <w:jc w:val="left"/>
              <w:rPr/>
            </w:pPr>
            <w:r>
              <w:rPr/>
              <w:t>)</w:t>
            </w:r>
          </w:p>
        </w:tc>
        <w:tc>
          <w:tcPr>
            <w:tcW w:w="89"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shd w:fill="CCEEFF" w:val="clear"/>
            <w:tcMar>
              <w:bottom w:w="28" w:type="dxa"/>
            </w:tcMar>
            <w:vAlign w:val="center"/>
          </w:tcPr>
          <w:p>
            <w:pPr>
              <w:pStyle w:val="TableContents"/>
              <w:bidi w:val="0"/>
              <w:spacing w:before="0" w:after="283"/>
              <w:jc w:val="right"/>
              <w:rPr/>
            </w:pPr>
            <w:r>
              <w:rPr/>
              <w:t>1,205</w:t>
            </w:r>
          </w:p>
        </w:tc>
        <w:tc>
          <w:tcPr>
            <w:tcW w:w="114" w:type="dxa"/>
            <w:tcBorders/>
            <w:shd w:fill="CCEEFF" w:val="clear"/>
            <w:vAlign w:val="center"/>
          </w:tcPr>
          <w:p>
            <w:pPr>
              <w:pStyle w:val="TableContents"/>
              <w:bidi w:val="0"/>
              <w:spacing w:before="0" w:after="283"/>
              <w:jc w:val="left"/>
              <w:rPr/>
            </w:pPr>
            <w:r>
              <w:rPr/>
              <w:t> </w:t>
            </w:r>
            <w:bookmarkStart w:id="237" w:name="xdx_40D_eus-gaap--NetCashProvidedByUsedI"/>
            <w:bookmarkEnd w:id="237"/>
          </w:p>
        </w:tc>
      </w:tr>
      <w:tr>
        <w:trPr/>
        <w:tc>
          <w:tcPr>
            <w:tcW w:w="7114"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34" w:type="dxa"/>
            <w:tcBorders>
              <w:bottom w:val="single" w:sz="12" w:space="0" w:color="000000"/>
            </w:tcBorders>
            <w:shd w:fill="FFFFFF" w:val="clear"/>
            <w:tcMar>
              <w:bottom w:w="28" w:type="dxa"/>
            </w:tcMar>
            <w:vAlign w:val="center"/>
          </w:tcPr>
          <w:p>
            <w:pPr>
              <w:pStyle w:val="TableContents"/>
              <w:bidi w:val="0"/>
              <w:spacing w:before="0" w:after="283"/>
              <w:jc w:val="right"/>
              <w:rPr/>
            </w:pPr>
            <w:r>
              <w:rPr/>
              <w:t>(24,711</w:t>
            </w:r>
          </w:p>
        </w:tc>
        <w:tc>
          <w:tcPr>
            <w:tcW w:w="142" w:type="dxa"/>
            <w:tcBorders/>
            <w:shd w:fill="FFFFFF" w:val="clear"/>
            <w:vAlign w:val="center"/>
          </w:tcPr>
          <w:p>
            <w:pPr>
              <w:pStyle w:val="TableContents"/>
              <w:bidi w:val="0"/>
              <w:spacing w:before="0" w:after="283"/>
              <w:jc w:val="left"/>
              <w:rPr/>
            </w:pPr>
            <w:r>
              <w:rPr/>
              <w:t>)</w:t>
            </w:r>
          </w:p>
        </w:tc>
        <w:tc>
          <w:tcPr>
            <w:tcW w:w="89" w:type="dxa"/>
            <w:tcBorders/>
            <w:shd w:fill="FFFFFF" w:val="clear"/>
            <w:vAlign w:val="center"/>
          </w:tcPr>
          <w:p>
            <w:pPr>
              <w:pStyle w:val="TableContents"/>
              <w:bidi w:val="0"/>
              <w:spacing w:before="0" w:after="283"/>
              <w:jc w:val="left"/>
              <w:rPr/>
            </w:pPr>
            <w:r>
              <w:rPr/>
              <w:t> </w:t>
            </w:r>
          </w:p>
        </w:tc>
        <w:tc>
          <w:tcPr>
            <w:tcW w:w="209"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34" w:type="dxa"/>
            <w:tcBorders>
              <w:bottom w:val="single" w:sz="12" w:space="0" w:color="000000"/>
            </w:tcBorders>
            <w:shd w:fill="FFFFFF" w:val="clear"/>
            <w:tcMar>
              <w:bottom w:w="28" w:type="dxa"/>
            </w:tcMar>
            <w:vAlign w:val="center"/>
          </w:tcPr>
          <w:p>
            <w:pPr>
              <w:pStyle w:val="TableContents"/>
              <w:bidi w:val="0"/>
              <w:spacing w:before="0" w:after="283"/>
              <w:jc w:val="right"/>
              <w:rPr/>
            </w:pPr>
            <w:r>
              <w:rPr/>
              <w:t>(16,089</w:t>
            </w:r>
          </w:p>
        </w:tc>
        <w:tc>
          <w:tcPr>
            <w:tcW w:w="114" w:type="dxa"/>
            <w:tcBorders/>
            <w:shd w:fill="FFFFFF" w:val="clear"/>
            <w:vAlign w:val="center"/>
          </w:tcPr>
          <w:p>
            <w:pPr>
              <w:pStyle w:val="TableContents"/>
              <w:bidi w:val="0"/>
              <w:spacing w:before="0" w:after="283"/>
              <w:jc w:val="left"/>
              <w:rPr/>
            </w:pPr>
            <w:r>
              <w:rPr/>
              <w:t>)</w:t>
            </w:r>
            <w:bookmarkStart w:id="238" w:name="xdx_404_eus-gaap--NetCashProvidedByUsedI"/>
            <w:bookmarkEnd w:id="238"/>
          </w:p>
        </w:tc>
      </w:tr>
      <w:tr>
        <w:trPr/>
        <w:tc>
          <w:tcPr>
            <w:tcW w:w="7114" w:type="dxa"/>
            <w:tcBorders/>
            <w:shd w:fill="CCEEFF" w:val="clear"/>
            <w:vAlign w:val="center"/>
          </w:tcPr>
          <w:p>
            <w:pPr>
              <w:pStyle w:val="TableContents"/>
              <w:bidi w:val="0"/>
              <w:spacing w:before="0" w:after="283"/>
              <w:jc w:val="left"/>
              <w:rPr/>
            </w:pPr>
            <w:r>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 </w:t>
            </w:r>
          </w:p>
        </w:tc>
        <w:tc>
          <w:tcPr>
            <w:tcW w:w="142"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239" w:name="xdx_405_eus-gaap--ProceedsFromSaleOfShor"/>
            <w:bookmarkEnd w:id="239"/>
          </w:p>
        </w:tc>
      </w:tr>
      <w:tr>
        <w:trPr/>
        <w:tc>
          <w:tcPr>
            <w:tcW w:w="7114" w:type="dxa"/>
            <w:tcBorders/>
            <w:shd w:fill="FFFFFF" w:val="clear"/>
            <w:vAlign w:val="center"/>
          </w:tcPr>
          <w:p>
            <w:pPr>
              <w:pStyle w:val="TableContents"/>
              <w:bidi w:val="0"/>
              <w:spacing w:before="0" w:after="283"/>
              <w:jc w:val="left"/>
              <w:rPr/>
            </w:pPr>
            <w:r>
              <w:rPr/>
              <w:t>Redemptions of short term investments</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31,625</w:t>
            </w:r>
          </w:p>
        </w:tc>
        <w:tc>
          <w:tcPr>
            <w:tcW w:w="142"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49,584</w:t>
            </w:r>
          </w:p>
        </w:tc>
        <w:tc>
          <w:tcPr>
            <w:tcW w:w="114" w:type="dxa"/>
            <w:tcBorders/>
            <w:shd w:fill="FFFFFF" w:val="clear"/>
            <w:vAlign w:val="center"/>
          </w:tcPr>
          <w:p>
            <w:pPr>
              <w:pStyle w:val="TableContents"/>
              <w:bidi w:val="0"/>
              <w:spacing w:before="0" w:after="283"/>
              <w:jc w:val="left"/>
              <w:rPr/>
            </w:pPr>
            <w:r>
              <w:rPr/>
              <w:t> </w:t>
            </w:r>
            <w:bookmarkStart w:id="240" w:name="xdx_404_eus-gaap--PaymentsToAcquireShort"/>
            <w:bookmarkEnd w:id="240"/>
          </w:p>
        </w:tc>
      </w:tr>
      <w:tr>
        <w:trPr/>
        <w:tc>
          <w:tcPr>
            <w:tcW w:w="7114" w:type="dxa"/>
            <w:tcBorders/>
            <w:shd w:fill="CCEEFF" w:val="clear"/>
            <w:vAlign w:val="center"/>
          </w:tcPr>
          <w:p>
            <w:pPr>
              <w:pStyle w:val="TableContents"/>
              <w:bidi w:val="0"/>
              <w:spacing w:before="0" w:after="283"/>
              <w:jc w:val="left"/>
              <w:rPr/>
            </w:pPr>
            <w:r>
              <w:rPr/>
              <w:t>Purchases of short term investments</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(7,935</w:t>
            </w:r>
          </w:p>
        </w:tc>
        <w:tc>
          <w:tcPr>
            <w:tcW w:w="142" w:type="dxa"/>
            <w:tcBorders/>
            <w:shd w:fill="CCEEFF" w:val="clear"/>
            <w:vAlign w:val="center"/>
          </w:tcPr>
          <w:p>
            <w:pPr>
              <w:pStyle w:val="TableContents"/>
              <w:bidi w:val="0"/>
              <w:spacing w:before="0" w:after="283"/>
              <w:jc w:val="left"/>
              <w:rPr/>
            </w:pPr>
            <w:r>
              <w:rPr/>
              <w:t>)</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(30,402</w:t>
            </w:r>
          </w:p>
        </w:tc>
        <w:tc>
          <w:tcPr>
            <w:tcW w:w="114" w:type="dxa"/>
            <w:tcBorders/>
            <w:shd w:fill="CCEEFF" w:val="clear"/>
            <w:vAlign w:val="center"/>
          </w:tcPr>
          <w:p>
            <w:pPr>
              <w:pStyle w:val="TableContents"/>
              <w:bidi w:val="0"/>
              <w:spacing w:before="0" w:after="283"/>
              <w:jc w:val="left"/>
              <w:rPr/>
            </w:pPr>
            <w:r>
              <w:rPr/>
              <w:t>)</w:t>
            </w:r>
            <w:bookmarkStart w:id="241" w:name="xdx_40C_eus-gaap--PaymentsToAcquirePrope"/>
            <w:bookmarkEnd w:id="241"/>
          </w:p>
        </w:tc>
      </w:tr>
      <w:tr>
        <w:trPr/>
        <w:tc>
          <w:tcPr>
            <w:tcW w:w="7114" w:type="dxa"/>
            <w:tcBorders/>
            <w:shd w:fill="FFFFFF" w:val="clear"/>
            <w:vAlign w:val="center"/>
          </w:tcPr>
          <w:p>
            <w:pPr>
              <w:pStyle w:val="TableContents"/>
              <w:bidi w:val="0"/>
              <w:spacing w:before="0" w:after="283"/>
              <w:jc w:val="left"/>
              <w:rPr/>
            </w:pPr>
            <w:r>
              <w:rPr/>
              <w:t>Purchases of property and equipment</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shd w:fill="FFFFFF" w:val="clear"/>
            <w:tcMar>
              <w:bottom w:w="28" w:type="dxa"/>
            </w:tcMar>
            <w:vAlign w:val="center"/>
          </w:tcPr>
          <w:p>
            <w:pPr>
              <w:pStyle w:val="TableContents"/>
              <w:bidi w:val="0"/>
              <w:spacing w:before="0" w:after="283"/>
              <w:jc w:val="right"/>
              <w:rPr/>
            </w:pPr>
            <w:r>
              <w:rPr/>
              <w:t>(1,224</w:t>
            </w:r>
          </w:p>
        </w:tc>
        <w:tc>
          <w:tcPr>
            <w:tcW w:w="142" w:type="dxa"/>
            <w:tcBorders/>
            <w:shd w:fill="FFFFFF" w:val="clear"/>
            <w:vAlign w:val="center"/>
          </w:tcPr>
          <w:p>
            <w:pPr>
              <w:pStyle w:val="TableContents"/>
              <w:bidi w:val="0"/>
              <w:spacing w:before="0" w:after="283"/>
              <w:jc w:val="left"/>
              <w:rPr/>
            </w:pPr>
            <w:r>
              <w:rPr/>
              <w:t>)</w:t>
            </w:r>
          </w:p>
        </w:tc>
        <w:tc>
          <w:tcPr>
            <w:tcW w:w="89" w:type="dxa"/>
            <w:tcBorders/>
            <w:shd w:fill="FFFFFF" w:val="clear"/>
            <w:vAlign w:val="center"/>
          </w:tcPr>
          <w:p>
            <w:pPr>
              <w:pStyle w:val="TableContents"/>
              <w:bidi w:val="0"/>
              <w:spacing w:before="0" w:after="283"/>
              <w:jc w:val="left"/>
              <w:rPr/>
            </w:pPr>
            <w:r>
              <w:rPr/>
              <w:t> </w:t>
            </w:r>
          </w:p>
        </w:tc>
        <w:tc>
          <w:tcPr>
            <w:tcW w:w="2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shd w:fill="FFFFFF" w:val="clear"/>
            <w:tcMar>
              <w:bottom w:w="28" w:type="dxa"/>
            </w:tcMar>
            <w:vAlign w:val="center"/>
          </w:tcPr>
          <w:p>
            <w:pPr>
              <w:pStyle w:val="TableContents"/>
              <w:bidi w:val="0"/>
              <w:spacing w:before="0" w:after="283"/>
              <w:jc w:val="right"/>
              <w:rPr/>
            </w:pPr>
            <w:r>
              <w:rPr/>
              <w:t>(302</w:t>
            </w:r>
          </w:p>
        </w:tc>
        <w:tc>
          <w:tcPr>
            <w:tcW w:w="114" w:type="dxa"/>
            <w:tcBorders/>
            <w:shd w:fill="FFFFFF" w:val="clear"/>
            <w:vAlign w:val="center"/>
          </w:tcPr>
          <w:p>
            <w:pPr>
              <w:pStyle w:val="TableContents"/>
              <w:bidi w:val="0"/>
              <w:spacing w:before="0" w:after="283"/>
              <w:jc w:val="left"/>
              <w:rPr/>
            </w:pPr>
            <w:r>
              <w:rPr/>
              <w:t>)</w:t>
            </w:r>
            <w:bookmarkStart w:id="242" w:name="xdx_406_eus-gaap--NetCashProvidedByUsedI"/>
            <w:bookmarkEnd w:id="242"/>
          </w:p>
        </w:tc>
      </w:tr>
      <w:tr>
        <w:trPr/>
        <w:tc>
          <w:tcPr>
            <w:tcW w:w="7114" w:type="dxa"/>
            <w:tcBorders/>
            <w:shd w:fill="CCEEFF" w:val="clear"/>
            <w:vAlign w:val="center"/>
          </w:tcPr>
          <w:p>
            <w:pPr>
              <w:pStyle w:val="TableContents"/>
              <w:bidi w:val="0"/>
              <w:spacing w:before="0" w:after="283"/>
              <w:jc w:val="left"/>
              <w:rPr/>
            </w:pPr>
            <w:r>
              <w:rPr/>
              <w:t>Net cash provided by investing activities</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34" w:type="dxa"/>
            <w:tcBorders>
              <w:bottom w:val="single" w:sz="12" w:space="0" w:color="000000"/>
            </w:tcBorders>
            <w:shd w:fill="CCEEFF" w:val="clear"/>
            <w:tcMar>
              <w:bottom w:w="28" w:type="dxa"/>
            </w:tcMar>
            <w:vAlign w:val="center"/>
          </w:tcPr>
          <w:p>
            <w:pPr>
              <w:pStyle w:val="TableContents"/>
              <w:bidi w:val="0"/>
              <w:spacing w:before="0" w:after="283"/>
              <w:jc w:val="right"/>
              <w:rPr/>
            </w:pPr>
            <w:r>
              <w:rPr/>
              <w:t>22,466</w:t>
            </w:r>
          </w:p>
        </w:tc>
        <w:tc>
          <w:tcPr>
            <w:tcW w:w="142"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34" w:type="dxa"/>
            <w:tcBorders>
              <w:bottom w:val="single" w:sz="12" w:space="0" w:color="000000"/>
            </w:tcBorders>
            <w:shd w:fill="CCEEFF" w:val="clear"/>
            <w:tcMar>
              <w:bottom w:w="28" w:type="dxa"/>
            </w:tcMar>
            <w:vAlign w:val="center"/>
          </w:tcPr>
          <w:p>
            <w:pPr>
              <w:pStyle w:val="TableContents"/>
              <w:bidi w:val="0"/>
              <w:spacing w:before="0" w:after="283"/>
              <w:jc w:val="right"/>
              <w:rPr/>
            </w:pPr>
            <w:r>
              <w:rPr/>
              <w:t>18,880</w:t>
            </w:r>
          </w:p>
        </w:tc>
        <w:tc>
          <w:tcPr>
            <w:tcW w:w="114" w:type="dxa"/>
            <w:tcBorders/>
            <w:shd w:fill="CCEEFF" w:val="clear"/>
            <w:vAlign w:val="center"/>
          </w:tcPr>
          <w:p>
            <w:pPr>
              <w:pStyle w:val="TableContents"/>
              <w:bidi w:val="0"/>
              <w:spacing w:before="0" w:after="283"/>
              <w:jc w:val="left"/>
              <w:rPr/>
            </w:pPr>
            <w:r>
              <w:rPr/>
              <w:t> </w:t>
            </w:r>
            <w:bookmarkStart w:id="243" w:name="xdx_401_eus-gaap--NetCashProvidedByUsedI"/>
            <w:bookmarkEnd w:id="243"/>
          </w:p>
        </w:tc>
      </w:tr>
      <w:tr>
        <w:trPr/>
        <w:tc>
          <w:tcPr>
            <w:tcW w:w="7114" w:type="dxa"/>
            <w:tcBorders/>
            <w:shd w:fill="FFFFFF" w:val="clear"/>
            <w:vAlign w:val="center"/>
          </w:tcPr>
          <w:p>
            <w:pPr>
              <w:pStyle w:val="TableContents"/>
              <w:bidi w:val="0"/>
              <w:spacing w:before="0" w:after="283"/>
              <w:jc w:val="left"/>
              <w:rPr/>
            </w:pPr>
            <w:r>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 </w:t>
            </w:r>
          </w:p>
        </w:tc>
        <w:tc>
          <w:tcPr>
            <w:tcW w:w="142"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244" w:name="xdx_407_eus-gaap--PaymentsRelatedToTaxWi"/>
            <w:bookmarkEnd w:id="244"/>
          </w:p>
        </w:tc>
      </w:tr>
      <w:tr>
        <w:trPr/>
        <w:tc>
          <w:tcPr>
            <w:tcW w:w="7114" w:type="dxa"/>
            <w:tcBorders/>
            <w:shd w:fill="CCEEFF" w:val="clear"/>
            <w:vAlign w:val="center"/>
          </w:tcPr>
          <w:p>
            <w:pPr>
              <w:pStyle w:val="TableContents"/>
              <w:bidi w:val="0"/>
              <w:spacing w:before="0" w:after="283"/>
              <w:jc w:val="left"/>
              <w:rPr/>
            </w:pPr>
            <w:r>
              <w:rPr/>
              <w:t>Cash paid for tax withholding related to shares withheld</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(13</w:t>
            </w:r>
          </w:p>
        </w:tc>
        <w:tc>
          <w:tcPr>
            <w:tcW w:w="142" w:type="dxa"/>
            <w:tcBorders/>
            <w:shd w:fill="CCEEFF" w:val="clear"/>
            <w:vAlign w:val="center"/>
          </w:tcPr>
          <w:p>
            <w:pPr>
              <w:pStyle w:val="TableContents"/>
              <w:bidi w:val="0"/>
              <w:spacing w:before="0" w:after="283"/>
              <w:jc w:val="left"/>
              <w:rPr/>
            </w:pPr>
            <w:r>
              <w:rPr/>
              <w:t>)</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(14</w:t>
            </w:r>
          </w:p>
        </w:tc>
        <w:tc>
          <w:tcPr>
            <w:tcW w:w="114" w:type="dxa"/>
            <w:tcBorders/>
            <w:shd w:fill="CCEEFF" w:val="clear"/>
            <w:vAlign w:val="center"/>
          </w:tcPr>
          <w:p>
            <w:pPr>
              <w:pStyle w:val="TableContents"/>
              <w:bidi w:val="0"/>
              <w:spacing w:before="0" w:after="283"/>
              <w:jc w:val="left"/>
              <w:rPr/>
            </w:pPr>
            <w:r>
              <w:rPr/>
              <w:t>)</w:t>
            </w:r>
            <w:bookmarkStart w:id="245" w:name="xdx_406_eus-gaap--ProceedsFromIssuanceIn"/>
            <w:bookmarkEnd w:id="245"/>
          </w:p>
        </w:tc>
      </w:tr>
      <w:tr>
        <w:trPr/>
        <w:tc>
          <w:tcPr>
            <w:tcW w:w="7114" w:type="dxa"/>
            <w:tcBorders/>
            <w:shd w:fill="FFFFFF" w:val="clear"/>
            <w:vAlign w:val="center"/>
          </w:tcPr>
          <w:p>
            <w:pPr>
              <w:pStyle w:val="TableContents"/>
              <w:bidi w:val="0"/>
              <w:spacing w:before="0" w:after="283"/>
              <w:jc w:val="left"/>
              <w:rPr/>
            </w:pPr>
            <w:r>
              <w:rPr/>
              <w:t>Proceeds from issuance of common stock - Cantor At The Market offering, net of issuance costs</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34" w:type="dxa"/>
            <w:tcBorders>
              <w:bottom w:val="single" w:sz="12" w:space="0" w:color="000000"/>
            </w:tcBorders>
            <w:shd w:fill="FFFFFF" w:val="clear"/>
            <w:tcMar>
              <w:bottom w:w="28" w:type="dxa"/>
            </w:tcMar>
            <w:vAlign w:val="center"/>
          </w:tcPr>
          <w:p>
            <w:pPr>
              <w:pStyle w:val="TableContents"/>
              <w:bidi w:val="0"/>
              <w:spacing w:before="0" w:after="283"/>
              <w:jc w:val="right"/>
              <w:rPr/>
            </w:pPr>
            <w:r>
              <w:rPr/>
              <w:t>29</w:t>
            </w:r>
          </w:p>
        </w:tc>
        <w:tc>
          <w:tcPr>
            <w:tcW w:w="142"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9"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3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bookmarkStart w:id="246" w:name="xdx_40D_eus-gaap--NetCashProvidedByUsedI"/>
            <w:bookmarkEnd w:id="246"/>
          </w:p>
        </w:tc>
      </w:tr>
      <w:tr>
        <w:trPr/>
        <w:tc>
          <w:tcPr>
            <w:tcW w:w="7114" w:type="dxa"/>
            <w:tcBorders/>
            <w:shd w:fill="CCEEFF" w:val="clear"/>
            <w:vAlign w:val="center"/>
          </w:tcPr>
          <w:p>
            <w:pPr>
              <w:pStyle w:val="TableContents"/>
              <w:bidi w:val="0"/>
              <w:spacing w:before="0" w:after="283"/>
              <w:jc w:val="left"/>
              <w:rPr/>
            </w:pPr>
            <w:r>
              <w:rPr/>
              <w:t>Net cash provided by/(used in) financing activities</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34" w:type="dxa"/>
            <w:tcBorders>
              <w:bottom w:val="single" w:sz="12" w:space="0" w:color="000000"/>
            </w:tcBorders>
            <w:shd w:fill="CCEEFF" w:val="clear"/>
            <w:tcMar>
              <w:bottom w:w="28" w:type="dxa"/>
            </w:tcMar>
            <w:vAlign w:val="center"/>
          </w:tcPr>
          <w:p>
            <w:pPr>
              <w:pStyle w:val="TableContents"/>
              <w:bidi w:val="0"/>
              <w:spacing w:before="0" w:after="283"/>
              <w:jc w:val="right"/>
              <w:rPr/>
            </w:pPr>
            <w:r>
              <w:rPr/>
              <w:t>16</w:t>
            </w:r>
          </w:p>
        </w:tc>
        <w:tc>
          <w:tcPr>
            <w:tcW w:w="142"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34" w:type="dxa"/>
            <w:tcBorders>
              <w:bottom w:val="single" w:sz="12" w:space="0" w:color="000000"/>
            </w:tcBorders>
            <w:shd w:fill="CCEEFF" w:val="clear"/>
            <w:tcMar>
              <w:bottom w:w="28" w:type="dxa"/>
            </w:tcMar>
            <w:vAlign w:val="center"/>
          </w:tcPr>
          <w:p>
            <w:pPr>
              <w:pStyle w:val="TableContents"/>
              <w:bidi w:val="0"/>
              <w:spacing w:before="0" w:after="283"/>
              <w:jc w:val="right"/>
              <w:rPr/>
            </w:pPr>
            <w:r>
              <w:rPr/>
              <w:t>(14</w:t>
            </w:r>
          </w:p>
        </w:tc>
        <w:tc>
          <w:tcPr>
            <w:tcW w:w="114" w:type="dxa"/>
            <w:tcBorders/>
            <w:shd w:fill="CCEEFF" w:val="clear"/>
            <w:vAlign w:val="center"/>
          </w:tcPr>
          <w:p>
            <w:pPr>
              <w:pStyle w:val="TableContents"/>
              <w:bidi w:val="0"/>
              <w:spacing w:before="0" w:after="283"/>
              <w:jc w:val="left"/>
              <w:rPr/>
            </w:pPr>
            <w:r>
              <w:rPr/>
              <w:t>)</w:t>
            </w:r>
            <w:bookmarkStart w:id="247" w:name="xdx_40D_eus-gaap--CashCashEquivalentsRes"/>
            <w:bookmarkEnd w:id="247"/>
          </w:p>
        </w:tc>
      </w:tr>
      <w:tr>
        <w:trPr/>
        <w:tc>
          <w:tcPr>
            <w:tcW w:w="7114" w:type="dxa"/>
            <w:tcBorders/>
            <w:shd w:fill="FFFFFF" w:val="clear"/>
            <w:vAlign w:val="center"/>
          </w:tcPr>
          <w:p>
            <w:pPr>
              <w:pStyle w:val="TableContents"/>
              <w:bidi w:val="0"/>
              <w:spacing w:before="0" w:after="283"/>
              <w:jc w:val="left"/>
              <w:rPr/>
            </w:pPr>
            <w:r>
              <w:rPr/>
              <w:t>Net (decrease) / increase in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34" w:type="dxa"/>
            <w:tcBorders>
              <w:bottom w:val="single" w:sz="12" w:space="0" w:color="000000"/>
            </w:tcBorders>
            <w:shd w:fill="FFFFFF" w:val="clear"/>
            <w:tcMar>
              <w:bottom w:w="28" w:type="dxa"/>
            </w:tcMar>
            <w:vAlign w:val="center"/>
          </w:tcPr>
          <w:p>
            <w:pPr>
              <w:pStyle w:val="TableContents"/>
              <w:bidi w:val="0"/>
              <w:spacing w:before="0" w:after="283"/>
              <w:jc w:val="right"/>
              <w:rPr/>
            </w:pPr>
            <w:r>
              <w:rPr/>
              <w:t>(2,229</w:t>
            </w:r>
          </w:p>
        </w:tc>
        <w:tc>
          <w:tcPr>
            <w:tcW w:w="142" w:type="dxa"/>
            <w:tcBorders/>
            <w:shd w:fill="FFFFFF" w:val="clear"/>
            <w:vAlign w:val="center"/>
          </w:tcPr>
          <w:p>
            <w:pPr>
              <w:pStyle w:val="TableContents"/>
              <w:bidi w:val="0"/>
              <w:spacing w:before="0" w:after="283"/>
              <w:jc w:val="left"/>
              <w:rPr/>
            </w:pPr>
            <w:r>
              <w:rPr/>
              <w:t>)</w:t>
            </w:r>
          </w:p>
        </w:tc>
        <w:tc>
          <w:tcPr>
            <w:tcW w:w="89" w:type="dxa"/>
            <w:tcBorders/>
            <w:shd w:fill="FFFFFF" w:val="clear"/>
            <w:vAlign w:val="center"/>
          </w:tcPr>
          <w:p>
            <w:pPr>
              <w:pStyle w:val="TableContents"/>
              <w:bidi w:val="0"/>
              <w:spacing w:before="0" w:after="283"/>
              <w:jc w:val="left"/>
              <w:rPr/>
            </w:pPr>
            <w:r>
              <w:rPr/>
              <w:t> </w:t>
            </w:r>
          </w:p>
        </w:tc>
        <w:tc>
          <w:tcPr>
            <w:tcW w:w="209"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34" w:type="dxa"/>
            <w:tcBorders>
              <w:bottom w:val="single" w:sz="12" w:space="0" w:color="000000"/>
            </w:tcBorders>
            <w:shd w:fill="FFFFFF" w:val="clear"/>
            <w:tcMar>
              <w:bottom w:w="28" w:type="dxa"/>
            </w:tcMar>
            <w:vAlign w:val="center"/>
          </w:tcPr>
          <w:p>
            <w:pPr>
              <w:pStyle w:val="TableContents"/>
              <w:bidi w:val="0"/>
              <w:spacing w:before="0" w:after="283"/>
              <w:jc w:val="right"/>
              <w:rPr/>
            </w:pPr>
            <w:r>
              <w:rPr/>
              <w:t>2,777</w:t>
            </w:r>
          </w:p>
        </w:tc>
        <w:tc>
          <w:tcPr>
            <w:tcW w:w="114" w:type="dxa"/>
            <w:tcBorders/>
            <w:shd w:fill="FFFFFF" w:val="clear"/>
            <w:vAlign w:val="center"/>
          </w:tcPr>
          <w:p>
            <w:pPr>
              <w:pStyle w:val="TableContents"/>
              <w:bidi w:val="0"/>
              <w:spacing w:before="0" w:after="283"/>
              <w:jc w:val="left"/>
              <w:rPr/>
            </w:pPr>
            <w:r>
              <w:rPr/>
              <w:t> </w:t>
            </w:r>
            <w:bookmarkStart w:id="248" w:name="xdx_40B_eus-gaap--CashCashEquivalentsRes"/>
            <w:bookmarkEnd w:id="248"/>
          </w:p>
        </w:tc>
      </w:tr>
      <w:tr>
        <w:trPr/>
        <w:tc>
          <w:tcPr>
            <w:tcW w:w="7114" w:type="dxa"/>
            <w:tcBorders/>
            <w:shd w:fill="CCEEFF" w:val="clear"/>
            <w:vAlign w:val="center"/>
          </w:tcPr>
          <w:p>
            <w:pPr>
              <w:pStyle w:val="TableContents"/>
              <w:bidi w:val="0"/>
              <w:spacing w:before="0" w:after="283"/>
              <w:jc w:val="left"/>
              <w:rPr/>
            </w:pPr>
            <w:r>
              <w:rPr/>
              <w:t>Cash, cash equivalents and restricted cash, beginning of period</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34" w:type="dxa"/>
            <w:tcBorders>
              <w:bottom w:val="single" w:sz="12" w:space="0" w:color="000000"/>
            </w:tcBorders>
            <w:shd w:fill="CCEEFF" w:val="clear"/>
            <w:tcMar>
              <w:bottom w:w="28" w:type="dxa"/>
            </w:tcMar>
            <w:vAlign w:val="center"/>
          </w:tcPr>
          <w:p>
            <w:pPr>
              <w:pStyle w:val="TableContents"/>
              <w:bidi w:val="0"/>
              <w:spacing w:before="0" w:after="283"/>
              <w:jc w:val="right"/>
              <w:rPr/>
            </w:pPr>
            <w:r>
              <w:rPr/>
              <w:t>7,103</w:t>
            </w:r>
          </w:p>
        </w:tc>
        <w:tc>
          <w:tcPr>
            <w:tcW w:w="142"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34" w:type="dxa"/>
            <w:tcBorders>
              <w:bottom w:val="single" w:sz="12" w:space="0" w:color="000000"/>
            </w:tcBorders>
            <w:shd w:fill="CCEEFF" w:val="clear"/>
            <w:tcMar>
              <w:bottom w:w="28" w:type="dxa"/>
            </w:tcMar>
            <w:vAlign w:val="center"/>
          </w:tcPr>
          <w:p>
            <w:pPr>
              <w:pStyle w:val="TableContents"/>
              <w:bidi w:val="0"/>
              <w:spacing w:before="0" w:after="283"/>
              <w:jc w:val="right"/>
              <w:rPr/>
            </w:pPr>
            <w:r>
              <w:rPr/>
              <w:t>8,362</w:t>
            </w:r>
          </w:p>
        </w:tc>
        <w:tc>
          <w:tcPr>
            <w:tcW w:w="114" w:type="dxa"/>
            <w:tcBorders/>
            <w:shd w:fill="CCEEFF" w:val="clear"/>
            <w:vAlign w:val="center"/>
          </w:tcPr>
          <w:p>
            <w:pPr>
              <w:pStyle w:val="TableContents"/>
              <w:bidi w:val="0"/>
              <w:spacing w:before="0" w:after="283"/>
              <w:jc w:val="left"/>
              <w:rPr/>
            </w:pPr>
            <w:r>
              <w:rPr/>
              <w:t> </w:t>
            </w:r>
            <w:bookmarkStart w:id="249" w:name="xdx_405_eus-gaap--CashCashEquivalentsRes"/>
            <w:bookmarkEnd w:id="249"/>
          </w:p>
        </w:tc>
      </w:tr>
      <w:tr>
        <w:trPr/>
        <w:tc>
          <w:tcPr>
            <w:tcW w:w="7114" w:type="dxa"/>
            <w:tcBorders/>
            <w:shd w:fill="FFFFFF" w:val="clear"/>
            <w:vAlign w:val="center"/>
          </w:tcPr>
          <w:p>
            <w:pPr>
              <w:pStyle w:val="TableContents"/>
              <w:bidi w:val="0"/>
              <w:spacing w:before="0" w:after="283"/>
              <w:jc w:val="left"/>
              <w:rPr/>
            </w:pPr>
            <w:r>
              <w:rPr/>
              <w:t>Cash, cash equivalents and restricted cash, end of period</w:t>
            </w:r>
          </w:p>
        </w:tc>
        <w:tc>
          <w:tcPr>
            <w:tcW w:w="60" w:type="dxa"/>
            <w:tcBorders/>
            <w:shd w:fill="FFFFFF" w:val="cle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4" w:type="dxa"/>
            <w:tcBorders>
              <w:bottom w:val="double" w:sz="6" w:space="0" w:color="000000"/>
            </w:tcBorders>
            <w:shd w:fill="FFFFFF" w:val="clear"/>
            <w:tcMar>
              <w:bottom w:w="28" w:type="dxa"/>
            </w:tcMar>
            <w:vAlign w:val="center"/>
          </w:tcPr>
          <w:p>
            <w:pPr>
              <w:pStyle w:val="TableContents"/>
              <w:bidi w:val="0"/>
              <w:spacing w:before="0" w:after="283"/>
              <w:jc w:val="right"/>
              <w:rPr/>
            </w:pPr>
            <w:r>
              <w:rPr/>
              <w:t>4,874</w:t>
            </w:r>
          </w:p>
        </w:tc>
        <w:tc>
          <w:tcPr>
            <w:tcW w:w="142"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4" w:type="dxa"/>
            <w:tcBorders>
              <w:bottom w:val="double" w:sz="6" w:space="0" w:color="000000"/>
            </w:tcBorders>
            <w:shd w:fill="FFFFFF" w:val="clear"/>
            <w:tcMar>
              <w:bottom w:w="28" w:type="dxa"/>
            </w:tcMar>
            <w:vAlign w:val="center"/>
          </w:tcPr>
          <w:p>
            <w:pPr>
              <w:pStyle w:val="TableContents"/>
              <w:bidi w:val="0"/>
              <w:spacing w:before="0" w:after="283"/>
              <w:jc w:val="right"/>
              <w:rPr/>
            </w:pPr>
            <w:r>
              <w:rPr/>
              <w:t>11,139</w:t>
            </w:r>
          </w:p>
        </w:tc>
        <w:tc>
          <w:tcPr>
            <w:tcW w:w="114" w:type="dxa"/>
            <w:tcBorders/>
            <w:shd w:fill="FFFFFF" w:val="clear"/>
            <w:vAlign w:val="center"/>
          </w:tcPr>
          <w:p>
            <w:pPr>
              <w:pStyle w:val="TableContents"/>
              <w:bidi w:val="0"/>
              <w:spacing w:before="0" w:after="283"/>
              <w:jc w:val="left"/>
              <w:rPr/>
            </w:pPr>
            <w:r>
              <w:rPr/>
              <w:t> </w:t>
            </w:r>
          </w:p>
        </w:tc>
      </w:tr>
      <w:tr>
        <w:trPr/>
        <w:tc>
          <w:tcPr>
            <w:tcW w:w="711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 </w:t>
            </w:r>
          </w:p>
        </w:tc>
        <w:tc>
          <w:tcPr>
            <w:tcW w:w="142"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250" w:name="xdx_403_eus-gaap--NoncashInvestingAndFin"/>
            <w:bookmarkEnd w:id="250"/>
          </w:p>
        </w:tc>
      </w:tr>
      <w:tr>
        <w:trPr/>
        <w:tc>
          <w:tcPr>
            <w:tcW w:w="7114" w:type="dxa"/>
            <w:tcBorders/>
            <w:shd w:fill="FFFFFF" w:val="clear"/>
            <w:vAlign w:val="center"/>
          </w:tcPr>
          <w:p>
            <w:pPr>
              <w:pStyle w:val="TableContents"/>
              <w:bidi w:val="0"/>
              <w:spacing w:before="0" w:after="283"/>
              <w:jc w:val="left"/>
              <w:rPr/>
            </w:pPr>
            <w:r>
              <w:rPr/>
              <w:t>Supplemental disclosure of 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 </w:t>
            </w:r>
          </w:p>
        </w:tc>
        <w:tc>
          <w:tcPr>
            <w:tcW w:w="142"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251" w:name="xdx_407_eus-gaap--StockIssued1_i01_z7FWT"/>
            <w:bookmarkEnd w:id="251"/>
          </w:p>
        </w:tc>
      </w:tr>
      <w:tr>
        <w:trPr/>
        <w:tc>
          <w:tcPr>
            <w:tcW w:w="7114" w:type="dxa"/>
            <w:tcBorders/>
            <w:shd w:fill="CCEEFF" w:val="clear"/>
            <w:vAlign w:val="center"/>
          </w:tcPr>
          <w:p>
            <w:pPr>
              <w:pStyle w:val="TableContents"/>
              <w:bidi w:val="0"/>
              <w:spacing w:before="0" w:after="283"/>
              <w:jc w:val="left"/>
              <w:rPr/>
            </w:pPr>
            <w:r>
              <w:rPr/>
              <w:t>Common stock issued related to bonus and earnout payments</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w:t>
            </w:r>
          </w:p>
        </w:tc>
        <w:tc>
          <w:tcPr>
            <w:tcW w:w="1134" w:type="dxa"/>
            <w:tcBorders/>
            <w:shd w:fill="CCEEFF" w:val="clear"/>
            <w:vAlign w:val="center"/>
          </w:tcPr>
          <w:p>
            <w:pPr>
              <w:pStyle w:val="TableContents"/>
              <w:bidi w:val="0"/>
              <w:spacing w:before="0" w:after="283"/>
              <w:jc w:val="right"/>
              <w:rPr/>
            </w:pPr>
            <w:r>
              <w:rPr/>
              <w:t>1,250</w:t>
            </w:r>
          </w:p>
        </w:tc>
        <w:tc>
          <w:tcPr>
            <w:tcW w:w="142"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w:t>
            </w:r>
          </w:p>
        </w:tc>
        <w:tc>
          <w:tcPr>
            <w:tcW w:w="1134"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bookmarkStart w:id="252" w:name="xdx_40C_eus-gaap--RightOfUseAssetObtaine"/>
            <w:bookmarkEnd w:id="252"/>
          </w:p>
        </w:tc>
      </w:tr>
      <w:tr>
        <w:trPr/>
        <w:tc>
          <w:tcPr>
            <w:tcW w:w="7114" w:type="dxa"/>
            <w:tcBorders/>
            <w:shd w:fill="FFFFFF" w:val="clear"/>
            <w:vAlign w:val="center"/>
          </w:tcPr>
          <w:p>
            <w:pPr>
              <w:pStyle w:val="TableContents"/>
              <w:bidi w:val="0"/>
              <w:spacing w:before="0" w:after="283"/>
              <w:jc w:val="left"/>
              <w:rPr/>
            </w:pPr>
            <w:r>
              <w:rPr/>
              <w:t>Operating right of use asset obtained in exchange for operating lease liability</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w:t>
            </w:r>
          </w:p>
        </w:tc>
        <w:tc>
          <w:tcPr>
            <w:tcW w:w="1134" w:type="dxa"/>
            <w:tcBorders/>
            <w:shd w:fill="FFFFFF" w:val="clear"/>
            <w:vAlign w:val="center"/>
          </w:tcPr>
          <w:p>
            <w:pPr>
              <w:pStyle w:val="TableContents"/>
              <w:bidi w:val="0"/>
              <w:spacing w:before="0" w:after="283"/>
              <w:jc w:val="right"/>
              <w:rPr/>
            </w:pPr>
            <w:r>
              <w:rPr/>
              <w:t>1,247</w:t>
            </w:r>
          </w:p>
        </w:tc>
        <w:tc>
          <w:tcPr>
            <w:tcW w:w="142"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w:t>
            </w:r>
          </w:p>
        </w:tc>
        <w:tc>
          <w:tcPr>
            <w:tcW w:w="1134"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Ocean Power Technologies, Inc. and Subsidiaries</w:t>
      </w:r>
    </w:p>
    <w:p>
      <w:pPr>
        <w:pStyle w:val="TextBody"/>
        <w:bidi w:val="0"/>
        <w:spacing w:before="0" w:after="0"/>
        <w:ind w:left="154" w:right="0" w:hanging="0"/>
        <w:jc w:val="center"/>
        <w:rPr>
          <w:rFonts w:ascii="Times New Roman;Times;Serif" w:hAnsi="Times New Roman;Times;Serif"/>
          <w:b/>
          <w:i w:val="false"/>
          <w:caps w:val="false"/>
          <w:smallCaps w:val="false"/>
          <w:sz w:val="20"/>
        </w:rPr>
      </w:pPr>
      <w:bookmarkStart w:id="253" w:name="hr_008"/>
      <w:bookmarkEnd w:id="253"/>
      <w:r>
        <w:rPr>
          <w:rFonts w:ascii="Times New Roman;Times;Serif" w:hAnsi="Times New Roman;Times;Serif"/>
          <w:b/>
          <w:i w:val="false"/>
          <w:caps w:val="false"/>
          <w:smallCaps w:val="false"/>
          <w:sz w:val="20"/>
        </w:rPr>
        <w:t>Notes to Unaudited Consolidated Financial Statements</w:t>
      </w:r>
    </w:p>
    <w:p>
      <w:pPr>
        <w:pStyle w:val="TextBody"/>
        <w:bidi w:val="0"/>
        <w:spacing w:before="0" w:after="0"/>
        <w:ind w:left="154"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54" w:name="xdx_805_eus-gaap--BusinessDescriptionAnd"/>
      <w:bookmarkEnd w:id="254"/>
      <w:r>
        <w:rPr>
          <w:rFonts w:ascii="Times New Roman;Times;Serif" w:hAnsi="Times New Roman;Times;Serif"/>
          <w:b/>
          <w:i w:val="false"/>
          <w:caps w:val="false"/>
          <w:smallCaps w:val="false"/>
          <w:sz w:val="20"/>
        </w:rPr>
        <w:t xml:space="preserve">(1) </w:t>
      </w:r>
      <w:bookmarkStart w:id="255" w:name="xdx_82F_z4XUIkmMztf5"/>
      <w:bookmarkEnd w:id="255"/>
      <w:r>
        <w:rPr>
          <w:rFonts w:ascii="Times New Roman;Times;Serif" w:hAnsi="Times New Roman;Times;Serif"/>
          <w:b/>
          <w:i w:val="false"/>
          <w:caps w:val="false"/>
          <w:smallCaps w:val="false"/>
          <w:sz w:val="20"/>
        </w:rPr>
        <w:t>Background, Basis of Presentation and Liquidity</w:t>
      </w:r>
    </w:p>
    <w:p>
      <w:pPr>
        <w:pStyle w:val="TextBody"/>
        <w:bidi w:val="0"/>
        <w:spacing w:before="0" w:after="0"/>
        <w:ind w:left="0" w:right="0" w:hanging="0"/>
        <w:jc w:val="both"/>
        <w:rPr>
          <w:caps w:val="false"/>
          <w:smallCaps w:val="false"/>
        </w:rPr>
      </w:pPr>
      <w:r>
        <w:rPr>
          <w:caps w:val="false"/>
          <w:smallCaps w:val="false"/>
        </w:rPr>
        <w:t> </w:t>
      </w:r>
    </w:p>
    <w:tbl>
      <w:tblPr>
        <w:tblW w:w="1330" w:type="dxa"/>
        <w:jc w:val="left"/>
        <w:tblInd w:w="0" w:type="dxa"/>
        <w:tblLayout w:type="fixed"/>
        <w:tblCellMar>
          <w:top w:w="0" w:type="dxa"/>
          <w:left w:w="0" w:type="dxa"/>
          <w:bottom w:w="0" w:type="dxa"/>
          <w:right w:w="0" w:type="dxa"/>
        </w:tblCellMar>
      </w:tblPr>
      <w:tblGrid>
        <w:gridCol w:w="260"/>
        <w:gridCol w:w="1070"/>
      </w:tblGrid>
      <w:tr>
        <w:trPr/>
        <w:tc>
          <w:tcPr>
            <w:tcW w:w="26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w:t>
            </w:r>
          </w:p>
        </w:tc>
        <w:tc>
          <w:tcPr>
            <w:tcW w:w="1070"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Background</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Ocean Power Technologies, Inc. (the “Company”) was founded in 1984 in New Jersey, commenced business operations in 1994 and re-incorporated in Delaware in 2007. The Company provides ocean data collection and reporting, marine power, offshore communications and Domain Awareness Systems (“MDA” or “MDAS”) products, integrated solutions, and consulting services. The Company’s solutions focus on three major service areas: Data as a Service (“DaaS”), which includes data collected by Wave Adaptive Modular Vessel (WAM-V®) autonomous vehicles or PowerBuoy® product lines; Robotics as a Service (“RaaS”), which provides a lower cost subscription model for customers to access use of WAM-V’s®; and Power as a Service (“PaaS”), which includes PowerBuoy® products. The Company offers products and services to a wide-range of customers, including those in government and offshore energy, oil and gas, construction, wind power and other industries. The Company is involved in the entire life cycle of product development, from product design through assembly, testing, deployment, maintenance and upgrades, while working closely with partners across the supply chain. The Company’s solutions are based on technologies that enable autonomous, zero or low carbon emitting, and cost effective data collection, analysis, transportation, cooperation with other assets such as aerial drones, and communication. The Company’s solutions are primarily suited to ocean and other offshore environments, and support generation of actionable intelligence on a standalone basis or working with other data sources. The Company then channels the information it collects, and other communications, through control equipment linked to edge computing and cloud hosting environments. The Company’s goal is to generate most revenue from the sale or lease of products and solutions. The Company expects to continue having cash outflows until it can generate positive cash flow from the commercialization of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 Basis of Presentation</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consolidated financial statements have been prepared in accordance with accounting principles generally accepted in the United States of America (“GAAP”) and for interim financial information in accordance with the Securities and Exchange Commission (“SEC”), instructions to Form 10-Q and Article 8 of Regulation S-X. Accordingly, they do not include all the information and footnotes required by GAAP for complete financial statements. In the opinion of management, all adjustments (consisting of normal recurring adjustments) considered necessary for a fair presentation have been included. The interim operating results are not necessarily indicative of the results for a full year or for any other interim period. Further information on potential factors that could affect the Company’s financial results can be found in the Company’s Annual Report on Form 10-K for the year ended April 30, 2023, as filed with the SEC and elsewhere in subsequent Exchange Act filings, including this Form 10-Q. Certain amounts have been reclassified to conform to current period presentation. This reclassification had no impact on the previously reported net loss or comprehensive loss.</w:t>
      </w:r>
    </w:p>
    <w:p>
      <w:pPr>
        <w:pStyle w:val="TextBody"/>
        <w:bidi w:val="0"/>
        <w:spacing w:before="0" w:after="0"/>
        <w:ind w:left="0" w:right="0" w:hanging="0"/>
        <w:jc w:val="both"/>
        <w:rPr>
          <w:caps w:val="false"/>
          <w:smallCaps w:val="false"/>
        </w:rPr>
      </w:pPr>
      <w:r>
        <w:rPr>
          <w:caps w:val="false"/>
          <w:smallCaps w:val="false"/>
        </w:rPr>
        <w:t> </w:t>
      </w:r>
    </w:p>
    <w:tbl>
      <w:tblPr>
        <w:tblW w:w="1045" w:type="dxa"/>
        <w:jc w:val="left"/>
        <w:tblInd w:w="0" w:type="dxa"/>
        <w:tblLayout w:type="fixed"/>
        <w:tblCellMar>
          <w:top w:w="0" w:type="dxa"/>
          <w:left w:w="0" w:type="dxa"/>
          <w:bottom w:w="0" w:type="dxa"/>
          <w:right w:w="0" w:type="dxa"/>
        </w:tblCellMar>
      </w:tblPr>
      <w:tblGrid>
        <w:gridCol w:w="245"/>
        <w:gridCol w:w="800"/>
      </w:tblGrid>
      <w:tr>
        <w:trPr/>
        <w:tc>
          <w:tcPr>
            <w:tcW w:w="24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w:t>
            </w:r>
          </w:p>
        </w:tc>
        <w:tc>
          <w:tcPr>
            <w:tcW w:w="80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January 31, 2024, the Company incurred net losses of approximately $</w:t>
      </w:r>
      <w:bookmarkStart w:id="256" w:name="xdx_90B_eus-gaap--NetIncomeLoss_iN_pn5n6"/>
      <w:bookmarkEnd w:id="256"/>
      <w:r>
        <w:rPr>
          <w:rFonts w:ascii="Times New Roman;Times;Serif" w:hAnsi="Times New Roman;Times;Serif"/>
          <w:b w:val="false"/>
          <w:i w:val="false"/>
          <w:caps w:val="false"/>
          <w:smallCaps w:val="false"/>
          <w:sz w:val="20"/>
        </w:rPr>
        <w:t>20.8 million, and used cash in operations of approximately $</w:t>
      </w:r>
      <w:bookmarkStart w:id="257" w:name="xdx_901_eus-gaap--NetCashProvidedByUsedI"/>
      <w:bookmarkEnd w:id="257"/>
      <w:r>
        <w:rPr>
          <w:rFonts w:ascii="Times New Roman;Times;Serif" w:hAnsi="Times New Roman;Times;Serif"/>
          <w:b w:val="false"/>
          <w:i w:val="false"/>
          <w:caps w:val="false"/>
          <w:smallCaps w:val="false"/>
          <w:sz w:val="20"/>
        </w:rPr>
        <w:t>24.7 million. Cash used in operations includes cash payments of the MAR earnout payable of $</w:t>
      </w:r>
      <w:bookmarkStart w:id="258" w:name="xdx_90F_eus-gaap--IncreaseDecreaseInOthe"/>
      <w:bookmarkEnd w:id="258"/>
      <w:r>
        <w:rPr>
          <w:rFonts w:ascii="Times New Roman;Times;Serif" w:hAnsi="Times New Roman;Times;Serif"/>
          <w:b w:val="false"/>
          <w:i w:val="false"/>
          <w:caps w:val="false"/>
          <w:smallCaps w:val="false"/>
          <w:sz w:val="20"/>
        </w:rPr>
        <w:t>0.5 million and payment of the fiscal 2023 bonus for all employees. In addition, the Company has continued to make investments to build inventory, support order backlog and future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incurred one-time expenses of approximately $</w:t>
      </w:r>
      <w:bookmarkStart w:id="259" w:name="xdx_904_ecustom--IncurredExpenses_pn5n6_"/>
      <w:bookmarkEnd w:id="259"/>
      <w:r>
        <w:rPr>
          <w:rFonts w:ascii="Times New Roman;Times;Serif" w:hAnsi="Times New Roman;Times;Serif"/>
          <w:b w:val="false"/>
          <w:i w:val="false"/>
          <w:caps w:val="false"/>
          <w:smallCaps w:val="false"/>
          <w:sz w:val="20"/>
        </w:rPr>
        <w:t>3.2 million for the nine months ended January 31, 2024, related to litigation with Paragon Technologies, Inc. (see Note 14) and preparation for its 2023 Annual Meeting of Stockholders which took place on February 28, 2024. These expenses are a direct result of the Paragon litigation and were not incurred in the prior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future results of operations involve significant risks and uncertainties. Factors that could affect the Company’s future operating results and could cause actual results to vary materially from expectations include, but are not limited to, performance of its products, its ability to market and commercialize its products and new products that it may develop, access to capital, technology development, scalability of technology and production, ability to attract and retain key personnel, concentration of customers and suppliers, pending or threatened litigation (including recent litigation noted above), and deployment risks and integration of acquisitions.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January 31, 2024 and through the date of filing of this Form 10-Q, management has not obtained any material additional capital financing. Management believes the Company’s current cash balance at January 31, 2024 of $</w:t>
      </w:r>
      <w:bookmarkStart w:id="260" w:name="xdx_90D_eus-gaap--Cash_iI_pn5n6_c2024013"/>
      <w:bookmarkEnd w:id="260"/>
      <w:r>
        <w:rPr>
          <w:rFonts w:ascii="Times New Roman;Times;Serif" w:hAnsi="Times New Roman;Times;Serif"/>
          <w:b w:val="false"/>
          <w:i w:val="false"/>
          <w:caps w:val="false"/>
          <w:smallCaps w:val="false"/>
          <w:sz w:val="20"/>
        </w:rPr>
        <w:t>4.9 million and short term investments balance of $</w:t>
      </w:r>
      <w:bookmarkStart w:id="261" w:name="xdx_90D_eus-gaap--ShortTermInvestments_i"/>
      <w:bookmarkEnd w:id="261"/>
      <w:r>
        <w:rPr>
          <w:rFonts w:ascii="Times New Roman;Times;Serif" w:hAnsi="Times New Roman;Times;Serif"/>
          <w:b w:val="false"/>
          <w:i w:val="false"/>
          <w:caps w:val="false"/>
          <w:smallCaps w:val="false"/>
          <w:sz w:val="20"/>
        </w:rPr>
        <w:t>4.4 million may not be sufficient to fund its planned expenditures through at least March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conditions raise substantial doubt about the Company’s ability to continue as a going concern. The ability to continue as a going concern is dependent upon the Company’s operations in the future and/or obtaining the necessary financing to meet its obligations and repay its liabilities arising from normal business operations when they become due. The accompanying consolidated financial statements have been prepared on a basis which assumes the Company is a going concern and do not include any adjustments to reflect the possible future effects on the recoverability and classification of assets or the amounts and classifications of liabilities that may result from any uncertainty related to the Company’s ability to continue as a going concern. Such adjustments could be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62" w:name="xdx_80F_eus-gaap--SignificantAccountingP"/>
      <w:bookmarkEnd w:id="262"/>
      <w:r>
        <w:rPr>
          <w:rFonts w:ascii="Times New Roman;Times;Serif" w:hAnsi="Times New Roman;Times;Serif"/>
          <w:b/>
          <w:i w:val="false"/>
          <w:caps w:val="false"/>
          <w:smallCaps w:val="false"/>
          <w:sz w:val="20"/>
        </w:rPr>
        <w:t xml:space="preserve">(2) </w:t>
      </w:r>
      <w:bookmarkStart w:id="263" w:name="xdx_82E_z0s4eLwXrhbh"/>
      <w:bookmarkEnd w:id="263"/>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64" w:name="xdx_849_eus-gaap--ConsolidationPolicyTex"/>
      <w:bookmarkEnd w:id="264"/>
      <w:r>
        <w:rPr>
          <w:rFonts w:ascii="Times New Roman;Times;Serif" w:hAnsi="Times New Roman;Times;Serif"/>
          <w:b/>
          <w:i/>
          <w:caps w:val="false"/>
          <w:smallCaps w:val="false"/>
          <w:sz w:val="20"/>
        </w:rPr>
        <w:t xml:space="preserve">(a) </w:t>
      </w:r>
      <w:bookmarkStart w:id="265" w:name="xdx_86F_z6yarBkPXTrk"/>
      <w:bookmarkEnd w:id="265"/>
      <w:r>
        <w:rPr>
          <w:rFonts w:ascii="Times New Roman;Times;Serif" w:hAnsi="Times New Roman;Times;Serif"/>
          <w:b/>
          <w:i/>
          <w:caps w:val="false"/>
          <w:smallCaps w:val="false"/>
          <w:sz w:val="20"/>
        </w:rPr>
        <w:t>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include the accounts of the Company and its majority-owned subsidiaries, Marine Advanced Robotics Inc. (CA), referred to herein as MAR, 3dent Technologies LLC (3Dent), Oregon Wave Energy Partners I LLC (DE), ReedSport OPT WavePark, LLC (OR) and Ocean Power Technologies Ltd. in the United Kingdom. ReedSport OPT WavePark, LLC (OR) and Oregon Wave Energy Partners I, LLC (DE) were dissolved during the first quarter of fiscal 2024. 3dent was sold in November 2023 and the consolidated financial statements include 3dent’s results of operations through the date of sale. All significant intercompany balances and transactions have been eliminated in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66" w:name="xdx_84E_eus-gaap--UseOfEstimates_zZgC0Dl"/>
      <w:bookmarkEnd w:id="266"/>
      <w:r>
        <w:rPr>
          <w:rFonts w:ascii="Times New Roman;Times;Serif" w:hAnsi="Times New Roman;Times;Serif"/>
          <w:b/>
          <w:i/>
          <w:caps w:val="false"/>
          <w:smallCaps w:val="false"/>
          <w:sz w:val="20"/>
        </w:rPr>
        <w:t xml:space="preserve">(b) </w:t>
      </w:r>
      <w:bookmarkStart w:id="267" w:name="xdx_861_z14rgBmSBu38"/>
      <w:bookmarkEnd w:id="267"/>
      <w:r>
        <w:rPr>
          <w:rFonts w:ascii="Times New Roman;Times;Serif" w:hAnsi="Times New Roman;Times;Serif"/>
          <w:b/>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consolidated financial statements requires management of the Company to make several estimates and assumptions relating to the reported amounts of assets and liabilities at the date of the consolidated financial statements and the reported amounts of revenues and expenses during the period. Significant items subject to such estimates and assumptions include, among other items, stock-based compensation, over time revenue recognition, valuation consideration related to business combinations, including contingent consideration, and other assumptions and estimates used to evaluate the recoverability of long-lived assets, goodwill and other intangible assets. Actual results could differ from those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68" w:name="xdx_844_eus-gaap--BusinessCombinationsPo"/>
      <w:bookmarkEnd w:id="268"/>
      <w:r>
        <w:rPr>
          <w:rFonts w:ascii="Times New Roman;Times;Serif" w:hAnsi="Times New Roman;Times;Serif"/>
          <w:b/>
          <w:i/>
          <w:caps w:val="false"/>
          <w:smallCaps w:val="false"/>
          <w:sz w:val="20"/>
        </w:rPr>
        <w:t xml:space="preserve">(c) </w:t>
      </w:r>
      <w:bookmarkStart w:id="269" w:name="xdx_864_zM0UHTgEl4c9"/>
      <w:bookmarkEnd w:id="269"/>
      <w:r>
        <w:rPr>
          <w:rFonts w:ascii="Times New Roman;Times;Serif" w:hAnsi="Times New Roman;Times;Serif"/>
          <w:b/>
          <w:i/>
          <w:caps w:val="false"/>
          <w:smallCaps w:val="false"/>
          <w:sz w:val="20"/>
        </w:rPr>
        <w:t>Business Combinations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business combinations in accordance with Financial Accounting and Standards Board (“FASB”) Business Combinations (Topic 805). The Company allocates the fair value of consideration transferred in a business combination to the estimated fair value at the acquisition date of the tangible and intangible assets acquired as well as the liabilities assumed. Acquisition costs are expensed as incurred. Any excess consideration transferred is recorded as goodwill and in instances where the fair value of consideration transferred is less than the estimated fair value of tangible and intangible assets acquired less liabilities assumed, such amounts are recorded as a gain on the bargain purchase.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70" w:name="xdx_84B_eus-gaap--CashAndCashEquivalents"/>
      <w:bookmarkEnd w:id="270"/>
      <w:r>
        <w:rPr>
          <w:rFonts w:ascii="Times New Roman;Times;Serif" w:hAnsi="Times New Roman;Times;Serif"/>
          <w:b/>
          <w:i/>
          <w:caps w:val="false"/>
          <w:smallCaps w:val="false"/>
          <w:sz w:val="20"/>
        </w:rPr>
        <w:t xml:space="preserve">(d) </w:t>
      </w:r>
      <w:bookmarkStart w:id="271" w:name="xdx_86F_zrG9pCjsoFW5"/>
      <w:bookmarkEnd w:id="271"/>
      <w:r>
        <w:rPr>
          <w:rFonts w:ascii="Times New Roman;Times;Serif" w:hAnsi="Times New Roman;Times;Serif"/>
          <w:b/>
          <w:i/>
          <w:caps w:val="false"/>
          <w:smallCaps w:val="false"/>
          <w:sz w:val="20"/>
        </w:rPr>
        <w:t>Cash, Cash Equivalents, Restricted Cash and Security Agreements and Short Term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all highly liquid investments with an original maturity of three months or less when purchased, to be cash equivalents. The Company invests excess cash in a money market account or in short term investments that are held-to-maturity. The Company had cash and cash equivalents of approximately $</w:t>
      </w:r>
      <w:bookmarkStart w:id="272" w:name="xdx_90D_eus-gaap--CashAndCashEquivalents"/>
      <w:bookmarkEnd w:id="272"/>
      <w:r>
        <w:rPr>
          <w:rFonts w:ascii="Times New Roman;Times;Serif" w:hAnsi="Times New Roman;Times;Serif"/>
          <w:b w:val="false"/>
          <w:i w:val="false"/>
          <w:caps w:val="false"/>
          <w:smallCaps w:val="false"/>
          <w:sz w:val="20"/>
        </w:rPr>
        <w:t>4.7 million as of January 31, 2024 and $</w:t>
      </w:r>
      <w:bookmarkStart w:id="273" w:name="xdx_900_eus-gaap--CashAndCashEquivalents"/>
      <w:bookmarkEnd w:id="273"/>
      <w:r>
        <w:rPr>
          <w:rFonts w:ascii="Times New Roman;Times;Serif" w:hAnsi="Times New Roman;Times;Serif"/>
          <w:b w:val="false"/>
          <w:i w:val="false"/>
          <w:caps w:val="false"/>
          <w:smallCaps w:val="false"/>
          <w:sz w:val="20"/>
        </w:rPr>
        <w:t>6.9 million as of April 30, 2023.</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Cash and Security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letter of credit agreement with Santander Bank, N.A. (“Santander”). Cash of $</w:t>
      </w:r>
      <w:bookmarkStart w:id="274" w:name="xdx_905_eus-gaap--Deposits_iI_c20240131_"/>
      <w:bookmarkEnd w:id="274"/>
      <w:r>
        <w:rPr>
          <w:rFonts w:ascii="Times New Roman;Times;Serif" w:hAnsi="Times New Roman;Times;Serif"/>
          <w:b w:val="false"/>
          <w:i w:val="false"/>
          <w:caps w:val="false"/>
          <w:smallCaps w:val="false"/>
          <w:sz w:val="20"/>
        </w:rPr>
        <w:t>154,000 is on deposit at Santander and serves as security for a letter of credit issued by Santander for the lease of warehouse/office space in Monroe Township, New Jersey.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75" w:name="xdx_898_eus-gaap--ScheduleOfRestrictedCa"/>
      <w:bookmarkEnd w:id="275"/>
      <w:r>
        <w:rPr>
          <w:rFonts w:ascii="Times New Roman;Times;Serif" w:hAnsi="Times New Roman;Times;Serif"/>
          <w:b w:val="false"/>
          <w:i w:val="false"/>
          <w:caps w:val="false"/>
          <w:smallCaps w:val="false"/>
          <w:sz w:val="20"/>
        </w:rPr>
        <w:t>The following table provides a reconciliation of cash, cash equivalents and restricted cash reported within the Consolidated Balance Sheets that total to the same amounts shown in the Consolidated Statements of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bookmarkStart w:id="276" w:name="xdx_8B2_zxInPwxtilY5"/>
      <w:bookmarkEnd w:id="276"/>
      <w:r>
        <w:rPr>
          <w:rFonts w:ascii="Times New Roman;Times;Serif" w:hAnsi="Times New Roman;Times;Serif"/>
          <w:b w:val="false"/>
          <w:i w:val="false"/>
          <w:caps w:val="false"/>
          <w:smallCaps w:val="false"/>
          <w:sz w:val="20"/>
        </w:rPr>
        <w:t>Schedule of Cash and Cash Equivalents and Restricted Cash</w:t>
      </w:r>
    </w:p>
    <w:tbl>
      <w:tblPr>
        <w:tblW w:w="9150" w:type="dxa"/>
        <w:jc w:val="left"/>
        <w:tblInd w:w="0" w:type="dxa"/>
        <w:tblLayout w:type="fixed"/>
        <w:tblCellMar>
          <w:top w:w="0" w:type="dxa"/>
          <w:left w:w="0" w:type="dxa"/>
          <w:bottom w:w="0" w:type="dxa"/>
          <w:right w:w="0" w:type="dxa"/>
        </w:tblCellMar>
      </w:tblPr>
      <w:tblGrid>
        <w:gridCol w:w="5660"/>
        <w:gridCol w:w="60"/>
        <w:gridCol w:w="355"/>
        <w:gridCol w:w="1420"/>
        <w:gridCol w:w="60"/>
        <w:gridCol w:w="60"/>
        <w:gridCol w:w="292"/>
        <w:gridCol w:w="1168"/>
        <w:gridCol w:w="75"/>
      </w:tblGrid>
      <w:tr>
        <w:trPr/>
        <w:tc>
          <w:tcPr>
            <w:tcW w:w="56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77" w:name="xdx_490_20240131_zBKdSIg67qI5"/>
            <w:bookmarkEnd w:id="277"/>
          </w:p>
        </w:tc>
        <w:tc>
          <w:tcPr>
            <w:tcW w:w="17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January 31, 2024</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78" w:name="xdx_499_20230430_zH4otNUSIup"/>
            <w:bookmarkEnd w:id="278"/>
          </w:p>
        </w:tc>
        <w:tc>
          <w:tcPr>
            <w:tcW w:w="14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April 30, 2023</w:t>
            </w:r>
          </w:p>
        </w:tc>
        <w:tc>
          <w:tcPr>
            <w:tcW w:w="75" w:type="dxa"/>
            <w:tcBorders/>
            <w:vAlign w:val="center"/>
          </w:tcPr>
          <w:p>
            <w:pPr>
              <w:pStyle w:val="TableContents"/>
              <w:bidi w:val="0"/>
              <w:spacing w:before="0" w:after="283"/>
              <w:jc w:val="center"/>
              <w:rPr/>
            </w:pPr>
            <w:r>
              <w:rPr/>
              <w:t> </w:t>
            </w:r>
          </w:p>
        </w:tc>
      </w:tr>
      <w:tr>
        <w:trPr/>
        <w:tc>
          <w:tcPr>
            <w:tcW w:w="5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55" w:type="dxa"/>
            <w:gridSpan w:val="6"/>
            <w:tcBorders/>
            <w:vAlign w:val="center"/>
          </w:tcPr>
          <w:p>
            <w:pPr>
              <w:pStyle w:val="TableContents"/>
              <w:bidi w:val="0"/>
              <w:spacing w:before="0" w:after="283"/>
              <w:jc w:val="center"/>
              <w:rPr/>
            </w:pPr>
            <w:r>
              <w:rPr/>
              <w:t>(in thousands)</w:t>
            </w:r>
          </w:p>
        </w:tc>
        <w:tc>
          <w:tcPr>
            <w:tcW w:w="75" w:type="dxa"/>
            <w:tcBorders/>
            <w:vAlign w:val="center"/>
          </w:tcPr>
          <w:p>
            <w:pPr>
              <w:pStyle w:val="TableContents"/>
              <w:bidi w:val="0"/>
              <w:spacing w:before="0" w:after="283"/>
              <w:jc w:val="left"/>
              <w:rPr/>
            </w:pPr>
            <w:r>
              <w:rPr/>
              <w:t> </w:t>
            </w:r>
            <w:bookmarkStart w:id="279" w:name="xdx_40D_eus-gaap--CashAndCashEquivalents"/>
            <w:bookmarkEnd w:id="279"/>
          </w:p>
        </w:tc>
      </w:tr>
      <w:tr>
        <w:trPr/>
        <w:tc>
          <w:tcPr>
            <w:tcW w:w="566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pPr>
            <w:r>
              <w:rPr/>
              <w:t>$</w:t>
            </w:r>
          </w:p>
        </w:tc>
        <w:tc>
          <w:tcPr>
            <w:tcW w:w="1420" w:type="dxa"/>
            <w:tcBorders/>
            <w:shd w:fill="CCEEFF" w:val="clear"/>
            <w:vAlign w:val="center"/>
          </w:tcPr>
          <w:p>
            <w:pPr>
              <w:pStyle w:val="TableContents"/>
              <w:bidi w:val="0"/>
              <w:spacing w:before="0" w:after="283"/>
              <w:jc w:val="right"/>
              <w:rPr/>
            </w:pPr>
            <w:r>
              <w:rPr/>
              <w:t>4,720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6,883</w:t>
            </w:r>
          </w:p>
        </w:tc>
        <w:tc>
          <w:tcPr>
            <w:tcW w:w="75" w:type="dxa"/>
            <w:tcBorders/>
            <w:shd w:fill="CCEEFF" w:val="clear"/>
            <w:vAlign w:val="center"/>
          </w:tcPr>
          <w:p>
            <w:pPr>
              <w:pStyle w:val="TableContents"/>
              <w:bidi w:val="0"/>
              <w:spacing w:before="0" w:after="283"/>
              <w:jc w:val="left"/>
              <w:rPr/>
            </w:pPr>
            <w:r>
              <w:rPr/>
              <w:t> </w:t>
            </w:r>
            <w:bookmarkStart w:id="280" w:name="xdx_402_eus-gaap--RestrictedCashCurrent_"/>
            <w:bookmarkEnd w:id="280"/>
          </w:p>
        </w:tc>
      </w:tr>
      <w:tr>
        <w:trPr/>
        <w:tc>
          <w:tcPr>
            <w:tcW w:w="5660" w:type="dxa"/>
            <w:tcBorders/>
            <w:shd w:fill="FFFFFF" w:val="clear"/>
            <w:vAlign w:val="center"/>
          </w:tcPr>
          <w:p>
            <w:pPr>
              <w:pStyle w:val="TableContents"/>
              <w:bidi w:val="0"/>
              <w:spacing w:before="0" w:after="283"/>
              <w:jc w:val="left"/>
              <w:rPr/>
            </w:pPr>
            <w:r>
              <w:rPr/>
              <w:t>Restricted cash- short term</w:t>
            </w:r>
          </w:p>
        </w:tc>
        <w:tc>
          <w:tcPr>
            <w:tcW w:w="60"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c>
          <w:tcPr>
            <w:tcW w:w="1420" w:type="dxa"/>
            <w:tcBorders/>
            <w:shd w:fill="FFFFFF" w:val="clear"/>
            <w:vAlign w:val="center"/>
          </w:tcPr>
          <w:p>
            <w:pPr>
              <w:pStyle w:val="TableContents"/>
              <w:bidi w:val="0"/>
              <w:spacing w:before="0" w:after="283"/>
              <w:jc w:val="right"/>
              <w:rPr/>
            </w:pPr>
            <w:r>
              <w:rPr/>
              <w:t>154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65</w:t>
            </w:r>
          </w:p>
        </w:tc>
        <w:tc>
          <w:tcPr>
            <w:tcW w:w="75" w:type="dxa"/>
            <w:tcBorders/>
            <w:shd w:fill="FFFFFF" w:val="clear"/>
            <w:vAlign w:val="center"/>
          </w:tcPr>
          <w:p>
            <w:pPr>
              <w:pStyle w:val="TableContents"/>
              <w:bidi w:val="0"/>
              <w:spacing w:before="0" w:after="283"/>
              <w:jc w:val="left"/>
              <w:rPr/>
            </w:pPr>
            <w:r>
              <w:rPr/>
              <w:t> </w:t>
            </w:r>
            <w:bookmarkStart w:id="281" w:name="xdx_40B_eus-gaap--RestrictedCashNoncurre"/>
            <w:bookmarkEnd w:id="281"/>
          </w:p>
        </w:tc>
      </w:tr>
      <w:tr>
        <w:trPr/>
        <w:tc>
          <w:tcPr>
            <w:tcW w:w="5660" w:type="dxa"/>
            <w:tcBorders/>
            <w:shd w:fill="CCEEFF" w:val="clear"/>
            <w:vAlign w:val="center"/>
          </w:tcPr>
          <w:p>
            <w:pPr>
              <w:pStyle w:val="TableContents"/>
              <w:bidi w:val="0"/>
              <w:spacing w:before="0" w:after="283"/>
              <w:jc w:val="left"/>
              <w:rPr/>
            </w:pPr>
            <w:r>
              <w:rPr/>
              <w:t>Restricted cash- long term</w:t>
            </w:r>
          </w:p>
        </w:tc>
        <w:tc>
          <w:tcPr>
            <w:tcW w:w="60" w:type="dxa"/>
            <w:tcBorders/>
            <w:shd w:fill="CCEEFF" w:val="clear"/>
            <w:vAlign w:val="center"/>
          </w:tcPr>
          <w:p>
            <w:pPr>
              <w:pStyle w:val="TableContents"/>
              <w:bidi w:val="0"/>
              <w:spacing w:before="0" w:after="283"/>
              <w:jc w:val="left"/>
              <w:rPr/>
            </w:pPr>
            <w:r>
              <w:rPr/>
              <w:t> </w:t>
            </w:r>
          </w:p>
        </w:tc>
        <w:tc>
          <w:tcPr>
            <w:tcW w:w="3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8" w:type="dxa"/>
            <w:tcBorders>
              <w:bottom w:val="single" w:sz="12" w:space="0" w:color="000000"/>
            </w:tcBorders>
            <w:shd w:fill="CCEEFF" w:val="clear"/>
            <w:tcMar>
              <w:bottom w:w="28" w:type="dxa"/>
            </w:tcMar>
            <w:vAlign w:val="center"/>
          </w:tcPr>
          <w:p>
            <w:pPr>
              <w:pStyle w:val="TableContents"/>
              <w:bidi w:val="0"/>
              <w:spacing w:before="0" w:after="283"/>
              <w:jc w:val="right"/>
              <w:rPr/>
            </w:pPr>
            <w:r>
              <w:rPr/>
              <w:t>155</w:t>
            </w:r>
          </w:p>
        </w:tc>
        <w:tc>
          <w:tcPr>
            <w:tcW w:w="75" w:type="dxa"/>
            <w:tcBorders/>
            <w:shd w:fill="CCEEFF" w:val="clear"/>
            <w:vAlign w:val="center"/>
          </w:tcPr>
          <w:p>
            <w:pPr>
              <w:pStyle w:val="TableContents"/>
              <w:bidi w:val="0"/>
              <w:spacing w:before="0" w:after="283"/>
              <w:jc w:val="left"/>
              <w:rPr/>
            </w:pPr>
            <w:r>
              <w:rPr/>
              <w:t> </w:t>
            </w:r>
            <w:bookmarkStart w:id="282" w:name="xdx_40F_eus-gaap--CashCashEquivalentsRes"/>
            <w:bookmarkEnd w:id="282"/>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cash equivalents, restricted cash and restricted cash equivalents</w:t>
            </w:r>
          </w:p>
        </w:tc>
        <w:tc>
          <w:tcPr>
            <w:tcW w:w="60" w:type="dxa"/>
            <w:tcBorders/>
            <w:shd w:fill="FFFFFF" w:val="clear"/>
            <w:vAlign w:val="center"/>
          </w:tcPr>
          <w:p>
            <w:pPr>
              <w:pStyle w:val="TableContents"/>
              <w:bidi w:val="0"/>
              <w:spacing w:before="0" w:after="283"/>
              <w:jc w:val="left"/>
              <w:rPr/>
            </w:pPr>
            <w:r>
              <w:rPr/>
              <w:t> </w:t>
            </w:r>
          </w:p>
        </w:tc>
        <w:tc>
          <w:tcPr>
            <w:tcW w:w="35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20" w:type="dxa"/>
            <w:tcBorders>
              <w:bottom w:val="double" w:sz="6" w:space="0" w:color="000000"/>
            </w:tcBorders>
            <w:shd w:fill="FFFFFF" w:val="clear"/>
            <w:tcMar>
              <w:bottom w:w="28" w:type="dxa"/>
            </w:tcMar>
            <w:vAlign w:val="center"/>
          </w:tcPr>
          <w:p>
            <w:pPr>
              <w:pStyle w:val="TableContents"/>
              <w:bidi w:val="0"/>
              <w:spacing w:before="0" w:after="283"/>
              <w:jc w:val="right"/>
              <w:rPr/>
            </w:pPr>
            <w:r>
              <w:rPr/>
              <w:t>4,874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68" w:type="dxa"/>
            <w:tcBorders>
              <w:bottom w:val="double" w:sz="6" w:space="0" w:color="000000"/>
            </w:tcBorders>
            <w:shd w:fill="FFFFFF" w:val="clear"/>
            <w:tcMar>
              <w:bottom w:w="28" w:type="dxa"/>
            </w:tcMar>
            <w:vAlign w:val="center"/>
          </w:tcPr>
          <w:p>
            <w:pPr>
              <w:pStyle w:val="TableContents"/>
              <w:bidi w:val="0"/>
              <w:spacing w:before="0" w:after="283"/>
              <w:jc w:val="right"/>
              <w:rPr/>
            </w:pPr>
            <w:r>
              <w:rPr/>
              <w:t>7,103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bookmarkStart w:id="283" w:name="xdx_8AA_zT6bZqBLzUC3"/>
      <w:bookmarkEnd w:id="283"/>
      <w:r>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Short Term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January 31, 2024 and April 30, 2023, the carrying value of short term investments was approximately $</w:t>
      </w:r>
      <w:bookmarkStart w:id="284" w:name="xdx_907_eus-gaap--ShortTermInvestments_i"/>
      <w:bookmarkEnd w:id="284"/>
      <w:r>
        <w:rPr>
          <w:rFonts w:ascii="Times New Roman;Times;Serif" w:hAnsi="Times New Roman;Times;Serif"/>
          <w:b w:val="false"/>
          <w:i w:val="false"/>
          <w:caps w:val="false"/>
          <w:smallCaps w:val="false"/>
          <w:sz w:val="20"/>
        </w:rPr>
        <w:t>4.4 million and $</w:t>
      </w:r>
      <w:bookmarkStart w:id="285" w:name="xdx_906_eus-gaap--ShortTermInvestments_i"/>
      <w:bookmarkEnd w:id="285"/>
      <w:r>
        <w:rPr>
          <w:rFonts w:ascii="Times New Roman;Times;Serif" w:hAnsi="Times New Roman;Times;Serif"/>
          <w:b w:val="false"/>
          <w:i w:val="false"/>
          <w:caps w:val="false"/>
          <w:smallCaps w:val="false"/>
          <w:sz w:val="20"/>
        </w:rPr>
        <w:t>27.8 million, respectively. All short term investments consist of corporate bonds, government agency bonds, or U.S. Treasury Notes and Bonds, are investment grade rated or better, and mature within 12 months of the balance sheet date. The Company has the ability and the intention to hold all investments to maturity, and as such are classified as held-to-maturity investments and carried at amortized cost.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accretion of discounts (amortization of premium) recognized for the nine month period ended January 31, 2024 and 2023 is approximately $</w:t>
      </w:r>
      <w:bookmarkStart w:id="286" w:name="xdx_909_ecustom--AccretionOfDiscountAmor"/>
      <w:bookmarkEnd w:id="286"/>
      <w:r>
        <w:rPr>
          <w:rFonts w:ascii="Times New Roman;Times;Serif" w:hAnsi="Times New Roman;Times;Serif"/>
          <w:b w:val="false"/>
          <w:i w:val="false"/>
          <w:caps w:val="false"/>
          <w:smallCaps w:val="false"/>
          <w:sz w:val="20"/>
        </w:rPr>
        <w:t>0.3 million and $</w:t>
      </w:r>
      <w:bookmarkStart w:id="287" w:name="xdx_903_ecustom--AccretionOfDiscountAmor"/>
      <w:bookmarkEnd w:id="287"/>
      <w:r>
        <w:rPr>
          <w:rFonts w:ascii="Times New Roman;Times;Serif" w:hAnsi="Times New Roman;Times;Serif"/>
          <w:b w:val="false"/>
          <w:i w:val="false"/>
          <w:caps w:val="false"/>
          <w:smallCaps w:val="false"/>
          <w:sz w:val="20"/>
        </w:rPr>
        <w:t>(0.2) million, respectively. The total accretion of discounts on investments for the three month period ended January 31, 2024 and 2023 was $</w:t>
      </w:r>
      <w:bookmarkStart w:id="288" w:name="xdx_90D_ecustom--AccretionOfDiscountAmor"/>
      <w:bookmarkEnd w:id="288"/>
      <w:r>
        <w:rPr>
          <w:rFonts w:ascii="Times New Roman;Times;Serif" w:hAnsi="Times New Roman;Times;Serif"/>
          <w:b w:val="false"/>
          <w:i w:val="false"/>
          <w:caps w:val="false"/>
          <w:smallCaps w:val="false"/>
          <w:sz w:val="20"/>
        </w:rPr>
        <w:t>0.1 million and less than $</w:t>
      </w:r>
      <w:bookmarkStart w:id="289" w:name="xdx_90D_ecustom--AccretionOfDiscountAmor"/>
      <w:bookmarkEnd w:id="289"/>
      <w:r>
        <w:rPr>
          <w:rFonts w:ascii="Times New Roman;Times;Serif" w:hAnsi="Times New Roman;Times;Serif"/>
          <w:b w:val="false"/>
          <w:i w:val="false"/>
          <w:caps w:val="false"/>
          <w:smallCaps w:val="false"/>
          <w:sz w:val="20"/>
        </w:rPr>
        <w:t>0.1 million, respectively. Additionally, there has been no impairment on these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90" w:name="xdx_89B_eus-gaap--UnrealizedGainLossOnIn"/>
      <w:bookmarkEnd w:id="290"/>
      <w:r>
        <w:rPr>
          <w:rFonts w:ascii="Times New Roman;Times;Serif" w:hAnsi="Times New Roman;Times;Serif"/>
          <w:b w:val="false"/>
          <w:i w:val="false"/>
          <w:caps w:val="false"/>
          <w:smallCaps w:val="false"/>
          <w:sz w:val="20"/>
        </w:rPr>
        <w:t>The following table summarizes the Company’s short term investments as of January 31, 2024 and April 30, 2023:</w:t>
      </w:r>
    </w:p>
    <w:p>
      <w:pPr>
        <w:pStyle w:val="TextBody"/>
        <w:bidi w:val="0"/>
        <w:spacing w:before="0" w:after="0"/>
        <w:ind w:left="0" w:right="0" w:hanging="0"/>
        <w:jc w:val="both"/>
        <w:rPr>
          <w:caps w:val="false"/>
          <w:smallCaps w:val="false"/>
        </w:rPr>
      </w:pPr>
      <w:r>
        <w:rPr>
          <w:caps w:val="false"/>
          <w:smallCaps w:val="false"/>
        </w:rPr>
        <w:t> </w:t>
      </w:r>
      <w:bookmarkStart w:id="291" w:name="xdx_8BD_zfYfvgnIRpbe"/>
      <w:bookmarkEnd w:id="291"/>
      <w:r>
        <w:rPr>
          <w:rFonts w:ascii="Times New Roman;Times;Serif" w:hAnsi="Times New Roman;Times;Serif"/>
          <w:b w:val="false"/>
          <w:i w:val="false"/>
          <w:caps w:val="false"/>
          <w:smallCaps w:val="false"/>
          <w:sz w:val="20"/>
        </w:rPr>
        <w:t>Schedule of Investments and Unrealized Gains/Losses</w:t>
      </w:r>
    </w:p>
    <w:tbl>
      <w:tblPr>
        <w:tblW w:w="10205" w:type="dxa"/>
        <w:jc w:val="left"/>
        <w:tblInd w:w="0" w:type="dxa"/>
        <w:tblLayout w:type="fixed"/>
        <w:tblCellMar>
          <w:top w:w="0" w:type="dxa"/>
          <w:left w:w="0" w:type="dxa"/>
          <w:bottom w:w="0" w:type="dxa"/>
          <w:right w:w="0" w:type="dxa"/>
        </w:tblCellMar>
      </w:tblPr>
      <w:tblGrid>
        <w:gridCol w:w="1899"/>
        <w:gridCol w:w="60"/>
        <w:gridCol w:w="263"/>
        <w:gridCol w:w="1054"/>
        <w:gridCol w:w="60"/>
        <w:gridCol w:w="60"/>
        <w:gridCol w:w="488"/>
        <w:gridCol w:w="909"/>
        <w:gridCol w:w="60"/>
        <w:gridCol w:w="60"/>
        <w:gridCol w:w="211"/>
        <w:gridCol w:w="847"/>
        <w:gridCol w:w="60"/>
        <w:gridCol w:w="60"/>
        <w:gridCol w:w="223"/>
        <w:gridCol w:w="1093"/>
        <w:gridCol w:w="60"/>
        <w:gridCol w:w="60"/>
        <w:gridCol w:w="375"/>
        <w:gridCol w:w="1021"/>
        <w:gridCol w:w="60"/>
        <w:gridCol w:w="60"/>
        <w:gridCol w:w="184"/>
        <w:gridCol w:w="895"/>
        <w:gridCol w:w="83"/>
      </w:tblGrid>
      <w:tr>
        <w:trPr/>
        <w:tc>
          <w:tcPr>
            <w:tcW w:w="189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012"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January 31, 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31"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April 30, 2023</w:t>
            </w:r>
          </w:p>
        </w:tc>
        <w:tc>
          <w:tcPr>
            <w:tcW w:w="83" w:type="dxa"/>
            <w:tcBorders/>
            <w:vAlign w:val="center"/>
          </w:tcPr>
          <w:p>
            <w:pPr>
              <w:pStyle w:val="TableContents"/>
              <w:bidi w:val="0"/>
              <w:spacing w:before="0" w:after="283"/>
              <w:jc w:val="left"/>
              <w:rPr/>
            </w:pPr>
            <w:r>
              <w:rPr/>
              <w:t> </w:t>
            </w:r>
          </w:p>
        </w:tc>
      </w:tr>
      <w:tr>
        <w:trPr/>
        <w:tc>
          <w:tcPr>
            <w:tcW w:w="1899" w:type="dxa"/>
            <w:tcBorders>
              <w:bottom w:val="single" w:sz="12" w:space="0" w:color="000000"/>
            </w:tcBorders>
            <w:tcMar>
              <w:bottom w:w="28" w:type="dxa"/>
            </w:tcMar>
            <w:vAlign w:val="center"/>
          </w:tcPr>
          <w:p>
            <w:pPr>
              <w:pStyle w:val="TableContents"/>
              <w:bidi w:val="0"/>
              <w:spacing w:before="0" w:after="283"/>
              <w:jc w:val="left"/>
              <w:rPr>
                <w:b/>
              </w:rPr>
            </w:pPr>
            <w:r>
              <w:rPr>
                <w:b/>
              </w:rPr>
              <w:t>Category</w:t>
            </w:r>
          </w:p>
        </w:tc>
        <w:tc>
          <w:tcPr>
            <w:tcW w:w="60" w:type="dxa"/>
            <w:tcBorders/>
            <w:vAlign w:val="center"/>
          </w:tcPr>
          <w:p>
            <w:pPr>
              <w:pStyle w:val="TableContents"/>
              <w:bidi w:val="0"/>
              <w:spacing w:before="0" w:after="283"/>
              <w:jc w:val="left"/>
              <w:rPr/>
            </w:pPr>
            <w:r>
              <w:rPr/>
              <w:t> </w:t>
            </w:r>
          </w:p>
        </w:tc>
        <w:tc>
          <w:tcPr>
            <w:tcW w:w="131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Amortized 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Unrealized Gains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Market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Amortized 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Unrealized Gains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Market Value</w:t>
            </w:r>
          </w:p>
        </w:tc>
        <w:tc>
          <w:tcPr>
            <w:tcW w:w="83" w:type="dxa"/>
            <w:tcBorders/>
            <w:vAlign w:val="center"/>
          </w:tcPr>
          <w:p>
            <w:pPr>
              <w:pStyle w:val="TableContents"/>
              <w:bidi w:val="0"/>
              <w:spacing w:before="0" w:after="283"/>
              <w:jc w:val="left"/>
              <w:rPr/>
            </w:pPr>
            <w:r>
              <w:rPr/>
              <w:t> </w:t>
            </w:r>
          </w:p>
        </w:tc>
      </w:tr>
      <w:tr>
        <w:trPr/>
        <w:tc>
          <w:tcPr>
            <w:tcW w:w="189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012" w:type="dxa"/>
            <w:gridSpan w:val="10"/>
            <w:tcBorders/>
            <w:vAlign w:val="center"/>
          </w:tcPr>
          <w:p>
            <w:pPr>
              <w:pStyle w:val="TableContents"/>
              <w:bidi w:val="0"/>
              <w:spacing w:before="0" w:after="283"/>
              <w:jc w:val="center"/>
              <w:rPr/>
            </w:pPr>
            <w:r>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31" w:type="dxa"/>
            <w:gridSpan w:val="10"/>
            <w:tcBorders/>
            <w:vAlign w:val="center"/>
          </w:tcPr>
          <w:p>
            <w:pPr>
              <w:pStyle w:val="TableContents"/>
              <w:bidi w:val="0"/>
              <w:spacing w:before="0" w:after="283"/>
              <w:jc w:val="center"/>
              <w:rPr/>
            </w:pPr>
            <w:r>
              <w:rPr/>
              <w:t>(in thousands)</w:t>
            </w:r>
          </w:p>
        </w:tc>
        <w:tc>
          <w:tcPr>
            <w:tcW w:w="83" w:type="dxa"/>
            <w:tcBorders/>
            <w:vAlign w:val="center"/>
          </w:tcPr>
          <w:p>
            <w:pPr>
              <w:pStyle w:val="TableContents"/>
              <w:bidi w:val="0"/>
              <w:spacing w:before="0" w:after="283"/>
              <w:jc w:val="left"/>
              <w:rPr/>
            </w:pPr>
            <w:r>
              <w:rPr/>
              <w:t> </w:t>
            </w:r>
          </w:p>
        </w:tc>
      </w:tr>
      <w:tr>
        <w:trPr/>
        <w:tc>
          <w:tcPr>
            <w:tcW w:w="1899" w:type="dxa"/>
            <w:tcBorders/>
            <w:shd w:fill="CCEEFF" w:val="clear"/>
            <w:vAlign w:val="center"/>
          </w:tcPr>
          <w:p>
            <w:pPr>
              <w:pStyle w:val="TableContents"/>
              <w:bidi w:val="0"/>
              <w:spacing w:before="0" w:after="283"/>
              <w:jc w:val="left"/>
              <w:rPr/>
            </w:pPr>
            <w:r>
              <w:rPr/>
              <w:t>Corporate Bonds</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w:t>
            </w:r>
            <w:bookmarkStart w:id="292" w:name="xdx_98C_eus-gaap--InvestmentOwnedAtCost_"/>
            <w:bookmarkEnd w:id="292"/>
          </w:p>
        </w:tc>
        <w:tc>
          <w:tcPr>
            <w:tcW w:w="1054" w:type="dxa"/>
            <w:tcBorders/>
            <w:shd w:fill="CCEEFF" w:val="clear"/>
            <w:vAlign w:val="center"/>
          </w:tcPr>
          <w:p>
            <w:pPr>
              <w:pStyle w:val="TableContents"/>
              <w:bidi w:val="0"/>
              <w:spacing w:before="0" w:after="283"/>
              <w:jc w:val="right"/>
              <w:rPr/>
            </w:pPr>
            <w:r>
              <w:rPr/>
              <w:t>1,767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8" w:type="dxa"/>
            <w:tcBorders/>
            <w:shd w:fill="CCEEFF" w:val="clear"/>
            <w:vAlign w:val="center"/>
          </w:tcPr>
          <w:p>
            <w:pPr>
              <w:pStyle w:val="TableContents"/>
              <w:bidi w:val="0"/>
              <w:spacing w:before="0" w:after="283"/>
              <w:jc w:val="left"/>
              <w:rPr/>
            </w:pPr>
            <w:r>
              <w:rPr/>
              <w:t>$</w:t>
            </w:r>
            <w:bookmarkStart w:id="293" w:name="xdx_987_eus-gaap--UnrealizedGainLossOnIn"/>
            <w:bookmarkEnd w:id="293"/>
          </w:p>
        </w:tc>
        <w:tc>
          <w:tcPr>
            <w:tcW w:w="909" w:type="dxa"/>
            <w:tcBorders/>
            <w:shd w:fill="CCEEFF" w:val="clear"/>
            <w:vAlign w:val="center"/>
          </w:tcPr>
          <w:p>
            <w:pPr>
              <w:pStyle w:val="TableContents"/>
              <w:bidi w:val="0"/>
              <w:spacing w:before="0" w:after="283"/>
              <w:jc w:val="right"/>
              <w:rPr/>
            </w:pPr>
            <w:r>
              <w:rPr/>
              <w:t>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bookmarkStart w:id="294" w:name="xdx_98D_eus-gaap--MoneyMarketFundsAtCarr"/>
            <w:bookmarkEnd w:id="294"/>
          </w:p>
        </w:tc>
        <w:tc>
          <w:tcPr>
            <w:tcW w:w="847" w:type="dxa"/>
            <w:tcBorders/>
            <w:shd w:fill="CCEEFF" w:val="clear"/>
            <w:vAlign w:val="center"/>
          </w:tcPr>
          <w:p>
            <w:pPr>
              <w:pStyle w:val="TableContents"/>
              <w:bidi w:val="0"/>
              <w:spacing w:before="0" w:after="283"/>
              <w:jc w:val="right"/>
              <w:rPr/>
            </w:pPr>
            <w:r>
              <w:rPr/>
              <w:t>1,787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bookmarkStart w:id="295" w:name="xdx_98C_eus-gaap--InvestmentOwnedAtCost_"/>
            <w:bookmarkEnd w:id="295"/>
          </w:p>
        </w:tc>
        <w:tc>
          <w:tcPr>
            <w:tcW w:w="1093" w:type="dxa"/>
            <w:tcBorders/>
            <w:shd w:fill="CCEEFF" w:val="clear"/>
            <w:vAlign w:val="center"/>
          </w:tcPr>
          <w:p>
            <w:pPr>
              <w:pStyle w:val="TableContents"/>
              <w:bidi w:val="0"/>
              <w:spacing w:before="0" w:after="283"/>
              <w:jc w:val="right"/>
              <w:rPr/>
            </w:pPr>
            <w:r>
              <w:rPr/>
              <w:t>14,776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left"/>
              <w:rPr/>
            </w:pPr>
            <w:r>
              <w:rPr/>
              <w:t>$</w:t>
            </w:r>
            <w:bookmarkStart w:id="296" w:name="xdx_980_eus-gaap--UnrealizedGainLossOnIn"/>
            <w:bookmarkEnd w:id="296"/>
          </w:p>
        </w:tc>
        <w:tc>
          <w:tcPr>
            <w:tcW w:w="1021" w:type="dxa"/>
            <w:tcBorders/>
            <w:shd w:fill="CCEEFF" w:val="clear"/>
            <w:vAlign w:val="center"/>
          </w:tcPr>
          <w:p>
            <w:pPr>
              <w:pStyle w:val="TableContents"/>
              <w:bidi w:val="0"/>
              <w:spacing w:before="0" w:after="283"/>
              <w:jc w:val="right"/>
              <w:rPr/>
            </w:pPr>
            <w:r>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bookmarkStart w:id="297" w:name="xdx_98E_eus-gaap--MoneyMarketFundsAtCarr"/>
            <w:bookmarkEnd w:id="297"/>
          </w:p>
        </w:tc>
        <w:tc>
          <w:tcPr>
            <w:tcW w:w="895" w:type="dxa"/>
            <w:tcBorders/>
            <w:shd w:fill="CCEEFF" w:val="clear"/>
            <w:vAlign w:val="center"/>
          </w:tcPr>
          <w:p>
            <w:pPr>
              <w:pStyle w:val="TableContents"/>
              <w:bidi w:val="0"/>
              <w:spacing w:before="0" w:after="283"/>
              <w:jc w:val="right"/>
              <w:rPr/>
            </w:pPr>
            <w:r>
              <w:rPr/>
              <w:t>14,876</w:t>
            </w:r>
          </w:p>
        </w:tc>
        <w:tc>
          <w:tcPr>
            <w:tcW w:w="83" w:type="dxa"/>
            <w:tcBorders/>
            <w:shd w:fill="CCEEFF" w:val="clear"/>
            <w:vAlign w:val="center"/>
          </w:tcPr>
          <w:p>
            <w:pPr>
              <w:pStyle w:val="TableContents"/>
              <w:bidi w:val="0"/>
              <w:spacing w:before="0" w:after="283"/>
              <w:jc w:val="left"/>
              <w:rPr/>
            </w:pPr>
            <w:r>
              <w:rPr/>
              <w:t> </w:t>
            </w:r>
          </w:p>
        </w:tc>
      </w:tr>
      <w:tr>
        <w:trPr/>
        <w:tc>
          <w:tcPr>
            <w:tcW w:w="1899" w:type="dxa"/>
            <w:tcBorders/>
            <w:shd w:fill="FFFFFF" w:val="clear"/>
            <w:vAlign w:val="center"/>
          </w:tcPr>
          <w:p>
            <w:pPr>
              <w:pStyle w:val="TableContents"/>
              <w:bidi w:val="0"/>
              <w:spacing w:before="0" w:after="283"/>
              <w:jc w:val="left"/>
              <w:rPr/>
            </w:pPr>
            <w:r>
              <w:rPr/>
              <w:t>Government Bonds &amp; Notes</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bookmarkStart w:id="298" w:name="xdx_98E_eus-gaap--InvestmentOwnedAtCost_"/>
            <w:bookmarkEnd w:id="298"/>
          </w:p>
        </w:tc>
        <w:tc>
          <w:tcPr>
            <w:tcW w:w="1054" w:type="dxa"/>
            <w:tcBorders/>
            <w:shd w:fill="FFFFFF" w:val="clear"/>
            <w:vAlign w:val="center"/>
          </w:tcPr>
          <w:p>
            <w:pPr>
              <w:pStyle w:val="TableContents"/>
              <w:bidi w:val="0"/>
              <w:spacing w:before="0" w:after="283"/>
              <w:jc w:val="right"/>
              <w:rPr/>
            </w:pPr>
            <w:r>
              <w:rPr/>
              <w:t>2,610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8" w:type="dxa"/>
            <w:tcBorders/>
            <w:shd w:fill="FFFFFF" w:val="clear"/>
            <w:vAlign w:val="center"/>
          </w:tcPr>
          <w:p>
            <w:pPr>
              <w:pStyle w:val="TableContents"/>
              <w:bidi w:val="0"/>
              <w:spacing w:before="0" w:after="283"/>
              <w:jc w:val="left"/>
              <w:rPr/>
            </w:pPr>
            <w:r>
              <w:rPr/>
              <w:t>$</w:t>
            </w:r>
            <w:bookmarkStart w:id="299" w:name="xdx_989_eus-gaap--UnrealizedGainLossOnIn"/>
            <w:bookmarkEnd w:id="299"/>
          </w:p>
        </w:tc>
        <w:tc>
          <w:tcPr>
            <w:tcW w:w="909" w:type="dxa"/>
            <w:tcBorders/>
            <w:shd w:fill="FFFFFF" w:val="clear"/>
            <w:vAlign w:val="center"/>
          </w:tcPr>
          <w:p>
            <w:pPr>
              <w:pStyle w:val="TableContents"/>
              <w:bidi w:val="0"/>
              <w:spacing w:before="0" w:after="283"/>
              <w:jc w:val="right"/>
              <w:rPr/>
            </w:pPr>
            <w:r>
              <w:rPr/>
              <w:t>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bookmarkStart w:id="300" w:name="xdx_980_eus-gaap--MoneyMarketFundsAtCarr"/>
            <w:bookmarkEnd w:id="300"/>
          </w:p>
        </w:tc>
        <w:tc>
          <w:tcPr>
            <w:tcW w:w="847" w:type="dxa"/>
            <w:tcBorders/>
            <w:shd w:fill="FFFFFF" w:val="clear"/>
            <w:vAlign w:val="center"/>
          </w:tcPr>
          <w:p>
            <w:pPr>
              <w:pStyle w:val="TableContents"/>
              <w:bidi w:val="0"/>
              <w:spacing w:before="0" w:after="283"/>
              <w:jc w:val="right"/>
              <w:rPr/>
            </w:pPr>
            <w:r>
              <w:rPr/>
              <w:t>2,631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bookmarkStart w:id="301" w:name="xdx_98E_eus-gaap--InvestmentOwnedAtCost_"/>
            <w:bookmarkEnd w:id="301"/>
          </w:p>
        </w:tc>
        <w:tc>
          <w:tcPr>
            <w:tcW w:w="1093" w:type="dxa"/>
            <w:tcBorders/>
            <w:shd w:fill="FFFFFF" w:val="clear"/>
            <w:vAlign w:val="center"/>
          </w:tcPr>
          <w:p>
            <w:pPr>
              <w:pStyle w:val="TableContents"/>
              <w:bidi w:val="0"/>
              <w:spacing w:before="0" w:after="283"/>
              <w:jc w:val="right"/>
              <w:rPr/>
            </w:pPr>
            <w:r>
              <w:rPr/>
              <w:t>9,188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pPr>
            <w:r>
              <w:rPr/>
              <w:t>$</w:t>
            </w:r>
            <w:bookmarkStart w:id="302" w:name="xdx_986_eus-gaap--UnrealizedGainLossOnIn"/>
            <w:bookmarkEnd w:id="302"/>
          </w:p>
        </w:tc>
        <w:tc>
          <w:tcPr>
            <w:tcW w:w="1021" w:type="dxa"/>
            <w:tcBorders/>
            <w:shd w:fill="FFFFFF" w:val="clear"/>
            <w:vAlign w:val="center"/>
          </w:tcPr>
          <w:p>
            <w:pPr>
              <w:pStyle w:val="TableContents"/>
              <w:bidi w:val="0"/>
              <w:spacing w:before="0" w:after="283"/>
              <w:jc w:val="right"/>
              <w:rPr/>
            </w:pPr>
            <w:r>
              <w:rPr/>
              <w:t>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bookmarkStart w:id="303" w:name="xdx_984_eus-gaap--MoneyMarketFundsAtCarr"/>
            <w:bookmarkEnd w:id="303"/>
          </w:p>
        </w:tc>
        <w:tc>
          <w:tcPr>
            <w:tcW w:w="895" w:type="dxa"/>
            <w:tcBorders/>
            <w:shd w:fill="FFFFFF" w:val="clear"/>
            <w:vAlign w:val="center"/>
          </w:tcPr>
          <w:p>
            <w:pPr>
              <w:pStyle w:val="TableContents"/>
              <w:bidi w:val="0"/>
              <w:spacing w:before="0" w:after="283"/>
              <w:jc w:val="right"/>
              <w:rPr/>
            </w:pPr>
            <w:r>
              <w:rPr/>
              <w:t>9,221</w:t>
            </w:r>
          </w:p>
        </w:tc>
        <w:tc>
          <w:tcPr>
            <w:tcW w:w="83" w:type="dxa"/>
            <w:tcBorders/>
            <w:shd w:fill="FFFFFF" w:val="clear"/>
            <w:vAlign w:val="center"/>
          </w:tcPr>
          <w:p>
            <w:pPr>
              <w:pStyle w:val="TableContents"/>
              <w:bidi w:val="0"/>
              <w:spacing w:before="0" w:after="283"/>
              <w:jc w:val="left"/>
              <w:rPr/>
            </w:pPr>
            <w:r>
              <w:rPr/>
              <w:t> </w:t>
            </w:r>
          </w:p>
        </w:tc>
      </w:tr>
      <w:tr>
        <w:trPr/>
        <w:tc>
          <w:tcPr>
            <w:tcW w:w="1899" w:type="dxa"/>
            <w:tcBorders/>
            <w:shd w:fill="CCEEFF" w:val="clear"/>
            <w:vAlign w:val="center"/>
          </w:tcPr>
          <w:p>
            <w:pPr>
              <w:pStyle w:val="TableContents"/>
              <w:bidi w:val="0"/>
              <w:spacing w:before="0" w:after="283"/>
              <w:jc w:val="left"/>
              <w:rPr/>
            </w:pPr>
            <w:r>
              <w:rPr/>
              <w:t>Government Agency Bonds</w:t>
            </w:r>
          </w:p>
        </w:tc>
        <w:tc>
          <w:tcPr>
            <w:tcW w:w="60" w:type="dxa"/>
            <w:tcBorders/>
            <w:shd w:fill="CCEEFF" w:val="clear"/>
            <w:vAlign w:val="center"/>
          </w:tcPr>
          <w:p>
            <w:pPr>
              <w:pStyle w:val="TableContents"/>
              <w:bidi w:val="0"/>
              <w:spacing w:before="0" w:after="283"/>
              <w:jc w:val="left"/>
              <w:rPr/>
            </w:pPr>
            <w:r>
              <w:rPr/>
              <w:t> </w:t>
            </w:r>
          </w:p>
        </w:tc>
        <w:tc>
          <w:tcPr>
            <w:tcW w:w="2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304" w:name="xdx_98B_eus-gaap--InvestmentOwnedAtCost_"/>
            <w:bookmarkEnd w:id="304"/>
          </w:p>
        </w:tc>
        <w:tc>
          <w:tcPr>
            <w:tcW w:w="105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8"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bookmarkStart w:id="305" w:name="xdx_98D_eus-gaap--UnrealizedGainLossOnIn"/>
            <w:bookmarkEnd w:id="305"/>
          </w:p>
        </w:tc>
        <w:tc>
          <w:tcPr>
            <w:tcW w:w="90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306" w:name="xdx_984_eus-gaap--MoneyMarketFundsAtCarr"/>
            <w:bookmarkEnd w:id="306"/>
          </w:p>
        </w:tc>
        <w:tc>
          <w:tcPr>
            <w:tcW w:w="84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307" w:name="xdx_98F_eus-gaap--InvestmentOwnedAtCost_"/>
            <w:bookmarkEnd w:id="307"/>
          </w:p>
        </w:tc>
        <w:tc>
          <w:tcPr>
            <w:tcW w:w="1093" w:type="dxa"/>
            <w:tcBorders>
              <w:bottom w:val="single" w:sz="12" w:space="0" w:color="000000"/>
            </w:tcBorders>
            <w:shd w:fill="CCEEFF" w:val="clear"/>
            <w:tcMar>
              <w:bottom w:w="28" w:type="dxa"/>
            </w:tcMar>
            <w:vAlign w:val="center"/>
          </w:tcPr>
          <w:p>
            <w:pPr>
              <w:pStyle w:val="TableContents"/>
              <w:bidi w:val="0"/>
              <w:spacing w:before="0" w:after="283"/>
              <w:jc w:val="right"/>
              <w:rPr/>
            </w:pPr>
            <w:r>
              <w:rPr/>
              <w:t>3,826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308" w:name="xdx_981_eus-gaap--UnrealizedGainLossOnIn"/>
            <w:bookmarkEnd w:id="308"/>
          </w:p>
        </w:tc>
        <w:tc>
          <w:tcPr>
            <w:tcW w:w="1021" w:type="dxa"/>
            <w:tcBorders>
              <w:bottom w:val="single" w:sz="12" w:space="0" w:color="000000"/>
            </w:tcBorders>
            <w:shd w:fill="CCEEFF" w:val="clear"/>
            <w:tcMar>
              <w:bottom w:w="28" w:type="dxa"/>
            </w:tcMar>
            <w:vAlign w:val="center"/>
          </w:tcPr>
          <w:p>
            <w:pPr>
              <w:pStyle w:val="TableContents"/>
              <w:bidi w:val="0"/>
              <w:spacing w:before="0" w:after="283"/>
              <w:jc w:val="right"/>
              <w:rPr/>
            </w:pPr>
            <w:r>
              <w:rPr/>
              <w:t>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309" w:name="xdx_987_eus-gaap--MoneyMarketFundsAtCarr"/>
            <w:bookmarkEnd w:id="309"/>
          </w:p>
        </w:tc>
        <w:tc>
          <w:tcPr>
            <w:tcW w:w="895" w:type="dxa"/>
            <w:tcBorders>
              <w:bottom w:val="single" w:sz="12" w:space="0" w:color="000000"/>
            </w:tcBorders>
            <w:shd w:fill="CCEEFF" w:val="clear"/>
            <w:tcMar>
              <w:bottom w:w="28" w:type="dxa"/>
            </w:tcMar>
            <w:vAlign w:val="center"/>
          </w:tcPr>
          <w:p>
            <w:pPr>
              <w:pStyle w:val="TableContents"/>
              <w:bidi w:val="0"/>
              <w:spacing w:before="0" w:after="283"/>
              <w:jc w:val="right"/>
              <w:rPr/>
            </w:pPr>
            <w:r>
              <w:rPr/>
              <w:t>3,851</w:t>
            </w:r>
          </w:p>
        </w:tc>
        <w:tc>
          <w:tcPr>
            <w:tcW w:w="83" w:type="dxa"/>
            <w:tcBorders/>
            <w:shd w:fill="CCEEFF" w:val="clear"/>
            <w:vAlign w:val="center"/>
          </w:tcPr>
          <w:p>
            <w:pPr>
              <w:pStyle w:val="TableContents"/>
              <w:bidi w:val="0"/>
              <w:spacing w:before="0" w:after="283"/>
              <w:jc w:val="left"/>
              <w:rPr/>
            </w:pPr>
            <w:r>
              <w:rPr/>
              <w:t> </w:t>
            </w:r>
          </w:p>
        </w:tc>
      </w:tr>
      <w:tr>
        <w:trPr/>
        <w:tc>
          <w:tcPr>
            <w:tcW w:w="1899" w:type="dxa"/>
            <w:tcBorders/>
            <w:shd w:fill="FFFFFF" w:val="clear"/>
            <w:vAlign w:val="center"/>
          </w:tcPr>
          <w:p>
            <w:pPr>
              <w:pStyle w:val="TableContents"/>
              <w:bidi w:val="0"/>
              <w:spacing w:before="0" w:after="283"/>
              <w:jc w:val="left"/>
              <w:rPr/>
            </w:pPr>
            <w:r>
              <w:rPr/>
              <w:t>Total Short Term Investments</w:t>
            </w:r>
          </w:p>
        </w:tc>
        <w:tc>
          <w:tcPr>
            <w:tcW w:w="60" w:type="dxa"/>
            <w:tcBorders/>
            <w:shd w:fill="FFFFFF" w:val="cle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310" w:name="xdx_985_eus-gaap--InvestmentOwnedAtCost_"/>
            <w:bookmarkEnd w:id="310"/>
          </w:p>
        </w:tc>
        <w:tc>
          <w:tcPr>
            <w:tcW w:w="1054" w:type="dxa"/>
            <w:tcBorders>
              <w:bottom w:val="double" w:sz="6" w:space="0" w:color="000000"/>
            </w:tcBorders>
            <w:shd w:fill="FFFFFF" w:val="clear"/>
            <w:tcMar>
              <w:bottom w:w="28" w:type="dxa"/>
            </w:tcMar>
            <w:vAlign w:val="center"/>
          </w:tcPr>
          <w:p>
            <w:pPr>
              <w:pStyle w:val="TableContents"/>
              <w:bidi w:val="0"/>
              <w:spacing w:before="0" w:after="283"/>
              <w:jc w:val="right"/>
              <w:rPr/>
            </w:pPr>
            <w:r>
              <w:rPr/>
              <w:t>4,377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311" w:name="xdx_98D_eus-gaap--UnrealizedGainLossOnIn"/>
            <w:bookmarkEnd w:id="311"/>
          </w:p>
        </w:tc>
        <w:tc>
          <w:tcPr>
            <w:tcW w:w="909" w:type="dxa"/>
            <w:tcBorders>
              <w:bottom w:val="double" w:sz="6" w:space="0" w:color="000000"/>
            </w:tcBorders>
            <w:shd w:fill="FFFFFF" w:val="clear"/>
            <w:tcMar>
              <w:bottom w:w="28" w:type="dxa"/>
            </w:tcMar>
            <w:vAlign w:val="center"/>
          </w:tcPr>
          <w:p>
            <w:pPr>
              <w:pStyle w:val="TableContents"/>
              <w:bidi w:val="0"/>
              <w:spacing w:before="0" w:after="283"/>
              <w:jc w:val="right"/>
              <w:rPr/>
            </w:pPr>
            <w:r>
              <w:rPr/>
              <w:t>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312" w:name="xdx_98B_eus-gaap--MoneyMarketFundsAtCarr"/>
            <w:bookmarkEnd w:id="312"/>
          </w:p>
        </w:tc>
        <w:tc>
          <w:tcPr>
            <w:tcW w:w="847" w:type="dxa"/>
            <w:tcBorders>
              <w:bottom w:val="double" w:sz="6" w:space="0" w:color="000000"/>
            </w:tcBorders>
            <w:shd w:fill="FFFFFF" w:val="clear"/>
            <w:tcMar>
              <w:bottom w:w="28" w:type="dxa"/>
            </w:tcMar>
            <w:vAlign w:val="center"/>
          </w:tcPr>
          <w:p>
            <w:pPr>
              <w:pStyle w:val="TableContents"/>
              <w:bidi w:val="0"/>
              <w:spacing w:before="0" w:after="283"/>
              <w:jc w:val="right"/>
              <w:rPr/>
            </w:pPr>
            <w:r>
              <w:rPr/>
              <w:t>4,418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313" w:name="xdx_98A_eus-gaap--InvestmentOwnedAtCost_"/>
            <w:bookmarkEnd w:id="313"/>
          </w:p>
        </w:tc>
        <w:tc>
          <w:tcPr>
            <w:tcW w:w="1093" w:type="dxa"/>
            <w:tcBorders>
              <w:bottom w:val="double" w:sz="6" w:space="0" w:color="000000"/>
            </w:tcBorders>
            <w:shd w:fill="FFFFFF" w:val="clear"/>
            <w:tcMar>
              <w:bottom w:w="28" w:type="dxa"/>
            </w:tcMar>
            <w:vAlign w:val="center"/>
          </w:tcPr>
          <w:p>
            <w:pPr>
              <w:pStyle w:val="TableContents"/>
              <w:bidi w:val="0"/>
              <w:spacing w:before="0" w:after="283"/>
              <w:jc w:val="right"/>
              <w:rPr/>
            </w:pPr>
            <w:r>
              <w:rPr/>
              <w:t>27,790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314" w:name="xdx_989_eus-gaap--UnrealizedGainLossOnIn"/>
            <w:bookmarkEnd w:id="314"/>
          </w:p>
        </w:tc>
        <w:tc>
          <w:tcPr>
            <w:tcW w:w="1021" w:type="dxa"/>
            <w:tcBorders>
              <w:bottom w:val="double" w:sz="6" w:space="0" w:color="000000"/>
            </w:tcBorders>
            <w:shd w:fill="FFFFFF" w:val="clear"/>
            <w:tcMar>
              <w:bottom w:w="28" w:type="dxa"/>
            </w:tcMar>
            <w:vAlign w:val="center"/>
          </w:tcPr>
          <w:p>
            <w:pPr>
              <w:pStyle w:val="TableContents"/>
              <w:bidi w:val="0"/>
              <w:spacing w:before="0" w:after="283"/>
              <w:jc w:val="right"/>
              <w:rPr/>
            </w:pPr>
            <w:r>
              <w:rPr/>
              <w:t>158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315" w:name="xdx_984_eus-gaap--MoneyMarketFundsAtCarr"/>
            <w:bookmarkEnd w:id="315"/>
          </w:p>
        </w:tc>
        <w:tc>
          <w:tcPr>
            <w:tcW w:w="895" w:type="dxa"/>
            <w:tcBorders>
              <w:bottom w:val="double" w:sz="6" w:space="0" w:color="000000"/>
            </w:tcBorders>
            <w:shd w:fill="FFFFFF" w:val="clear"/>
            <w:tcMar>
              <w:bottom w:w="28" w:type="dxa"/>
            </w:tcMar>
            <w:vAlign w:val="center"/>
          </w:tcPr>
          <w:p>
            <w:pPr>
              <w:pStyle w:val="TableContents"/>
              <w:bidi w:val="0"/>
              <w:spacing w:before="0" w:after="283"/>
              <w:jc w:val="right"/>
              <w:rPr/>
            </w:pPr>
            <w:r>
              <w:rPr/>
              <w:t>27,948</w:t>
            </w:r>
          </w:p>
        </w:tc>
        <w:tc>
          <w:tcPr>
            <w:tcW w:w="8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16" w:name="xdx_8A3_zuSZNKQuTuVi"/>
      <w:bookmarkEnd w:id="316"/>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17" w:name="xdx_843_eus-gaap--InventoryPolicyTextBlo"/>
      <w:bookmarkEnd w:id="317"/>
      <w:r>
        <w:rPr>
          <w:rFonts w:ascii="Times New Roman;Times;Serif" w:hAnsi="Times New Roman;Times;Serif"/>
          <w:b/>
          <w:i/>
          <w:caps w:val="false"/>
          <w:smallCaps w:val="false"/>
          <w:sz w:val="20"/>
        </w:rPr>
        <w:t xml:space="preserve">(e) </w:t>
      </w:r>
      <w:bookmarkStart w:id="318" w:name="xdx_866_zfLo5cOWVG72"/>
      <w:bookmarkEnd w:id="318"/>
      <w:r>
        <w:rPr>
          <w:rFonts w:ascii="Times New Roman;Times;Serif" w:hAnsi="Times New Roman;Times;Serif"/>
          <w:b/>
          <w:i/>
          <w:caps w:val="false"/>
          <w:smallCaps w:val="false"/>
          <w:sz w:val="20"/>
        </w:rPr>
        <w:t>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Accounting Standards Codification 330 (ASC 330), inventory is stated at the lower of costs or net realizable value applicable to goods on hand. Items remain in inventory until they are shipped to the customer, at which time the costs are transferred on a FIFO basis to cost of revenue, or moved to leased assets as applicable, following the matching principle where costs and revenue are recognized in the same period. The Company has three classes of inventory; raw materials, work in process, and finished goods.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19" w:name="xdx_844_eus-gaap--TradeAndOtherAccountsR"/>
      <w:bookmarkEnd w:id="319"/>
      <w:r>
        <w:rPr>
          <w:rFonts w:ascii="Times New Roman;Times;Serif" w:hAnsi="Times New Roman;Times;Serif"/>
          <w:b/>
          <w:i/>
          <w:caps w:val="false"/>
          <w:smallCaps w:val="false"/>
          <w:sz w:val="20"/>
        </w:rPr>
        <w:t xml:space="preserve">(f) </w:t>
      </w:r>
      <w:bookmarkStart w:id="320" w:name="xdx_868_z14iZ9y6QZZ5"/>
      <w:bookmarkEnd w:id="320"/>
      <w:r>
        <w:rPr>
          <w:rFonts w:ascii="Times New Roman;Times;Serif" w:hAnsi="Times New Roman;Times;Serif"/>
          <w:b/>
          <w:i/>
          <w:caps w:val="false"/>
          <w:smallCaps w:val="false"/>
          <w:sz w:val="20"/>
        </w:rPr>
        <w:t>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stated at the net amount expected to be collected. Amounts are ordinarily due between 30 and 90 days after the issuance of the invoice. The Company is exposed to credit losses primarily on accounts receivable and contract assets related to sales to customers. If applicable, an allowance for credit losses is established to provide for the expected lifetime credit losses by evaluating factors such as customer creditworthiness, historical payment and loss experiences, current economic conditions (including geographic and political risk), and the age and status of outstanding receivables. Based on these factors, management has determined the allowance for credit losses was immaterial. Expected credit losses are written off in the period in which the financial asset is no longer collectible.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grants credit to its customers, generally, without collateral, under normal payment terms (typically 30 to 90 days after invoicing). Generally, invoicing occurs after the services are performed or control of the product has transferred to the customer. Accounts receivable represent an unconditional right to consideration arising from the Company’s performance under contracts with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21" w:name="xdx_84E_eus-gaap--PropertyPlantAndEquipm"/>
      <w:bookmarkEnd w:id="321"/>
      <w:r>
        <w:rPr>
          <w:rFonts w:ascii="Times New Roman;Times;Serif" w:hAnsi="Times New Roman;Times;Serif"/>
          <w:b/>
          <w:i/>
          <w:caps w:val="false"/>
          <w:smallCaps w:val="false"/>
          <w:sz w:val="20"/>
        </w:rPr>
        <w:t xml:space="preserve">(g) </w:t>
      </w:r>
      <w:bookmarkStart w:id="322" w:name="xdx_861_z43wGDmIPi2g"/>
      <w:bookmarkEnd w:id="322"/>
      <w:r>
        <w:rPr>
          <w:rFonts w:ascii="Times New Roman;Times;Serif" w:hAnsi="Times New Roman;Times;Serif"/>
          <w:b/>
          <w:i/>
          <w:caps w:val="false"/>
          <w:smallCaps w:val="false"/>
          <w:sz w:val="20"/>
        </w:rPr>
        <w:t>Property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is stated at cost, less accumulated depreciation and amortization. Depreciation and amortization is calculated using the straight-line method over the estimated useful lives (three to ten years) of the assets. Leasehold improvements are amortized using the straight-line method over the shorter of the estimated useful life of the asset or the remaining lease term. Expenses for maintenance and repairs are charged to operations as incurred. Property and equipment is also reviewed for impairment whenever events or changes in circumstances indicate that the carrying amount of the asset may not be recoverable. Recoverability of assets to be held and used is measured by a comparison of the carrying amount of the asset to estimated undiscounted future cash flows expected to be generated by the asset. If the carrying amount of the asset exceeds its estimated future cash flows, then an impairment charge is recognized in the amount by which the carrying amount of the asset exceeds the fair value of the asset.</w:t>
      </w:r>
    </w:p>
    <w:p>
      <w:pPr>
        <w:pStyle w:val="TextBody"/>
        <w:bidi w:val="0"/>
        <w:spacing w:before="0" w:after="0"/>
        <w:ind w:left="0" w:right="0" w:firstLine="540"/>
        <w:jc w:val="both"/>
        <w:rPr>
          <w:caps w:val="false"/>
          <w:smallCaps w:val="false"/>
        </w:rPr>
      </w:pPr>
      <w:bookmarkStart w:id="323" w:name="xdx_89F_ecustom--PropertyPlantAndEquipme"/>
      <w:bookmarkEnd w:id="323"/>
      <w:r>
        <w:rPr>
          <w:caps w:val="false"/>
          <w:smallCaps w:val="false"/>
        </w:rPr>
        <w:t> </w:t>
      </w:r>
      <w:bookmarkStart w:id="324" w:name="xdx_8BD_zGpVUcKf6DFa"/>
      <w:bookmarkEnd w:id="324"/>
      <w:r>
        <w:rPr>
          <w:rFonts w:ascii="Times New Roman;Times;Serif" w:hAnsi="Times New Roman;Times;Serif"/>
          <w:b w:val="false"/>
          <w:i w:val="false"/>
          <w:caps w:val="false"/>
          <w:smallCaps w:val="false"/>
          <w:sz w:val="20"/>
        </w:rPr>
        <w:t>Schedule of Property, Plant and Equipment, Useful Life</w:t>
      </w:r>
    </w:p>
    <w:tbl>
      <w:tblPr>
        <w:tblW w:w="6610" w:type="dxa"/>
        <w:jc w:val="left"/>
        <w:tblInd w:w="0" w:type="dxa"/>
        <w:tblLayout w:type="fixed"/>
        <w:tblCellMar>
          <w:top w:w="0" w:type="dxa"/>
          <w:left w:w="0" w:type="dxa"/>
          <w:bottom w:w="28" w:type="dxa"/>
          <w:right w:w="0" w:type="dxa"/>
        </w:tblCellMar>
      </w:tblPr>
      <w:tblGrid>
        <w:gridCol w:w="2675"/>
        <w:gridCol w:w="60"/>
        <w:gridCol w:w="3875"/>
      </w:tblGrid>
      <w:tr>
        <w:trPr/>
        <w:tc>
          <w:tcPr>
            <w:tcW w:w="2675" w:type="dxa"/>
            <w:tcBorders>
              <w:bottom w:val="single" w:sz="12"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75" w:type="dxa"/>
            <w:tcBorders>
              <w:bottom w:val="single" w:sz="12"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Estimated depreciable life</w:t>
            </w:r>
          </w:p>
        </w:tc>
      </w:tr>
      <w:tr>
        <w:trPr/>
        <w:tc>
          <w:tcPr>
            <w:tcW w:w="26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325" w:name="xdx_908_eus-gaap--PropertyPlantAndEquipm"/>
            <w:bookmarkEnd w:id="325"/>
            <w:r>
              <w:rPr>
                <w:rFonts w:ascii="Times New Roman;Times;Serif" w:hAnsi="Times New Roman;Times;Serif"/>
                <w:b w:val="false"/>
                <w:i w:val="false"/>
                <w:caps w:val="false"/>
                <w:smallCaps w:val="false"/>
                <w:sz w:val="20"/>
              </w:rPr>
              <w:t>5-</w:t>
            </w:r>
            <w:bookmarkStart w:id="326" w:name="xdx_903_eus-gaap--PropertyPlantAndEquipm"/>
            <w:bookmarkEnd w:id="326"/>
            <w:r>
              <w:rPr>
                <w:rFonts w:ascii="Times New Roman;Times;Serif" w:hAnsi="Times New Roman;Times;Serif"/>
                <w:b w:val="false"/>
                <w:i w:val="false"/>
                <w:caps w:val="false"/>
                <w:smallCaps w:val="false"/>
                <w:sz w:val="20"/>
              </w:rPr>
              <w:t>7 years</w:t>
            </w:r>
          </w:p>
        </w:tc>
      </w:tr>
      <w:tr>
        <w:trPr/>
        <w:tc>
          <w:tcPr>
            <w:tcW w:w="26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Computer equipment &amp; software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327" w:name="xdx_906_eus-gaap--PropertyPlantAndEquipm"/>
            <w:bookmarkEnd w:id="327"/>
            <w:r>
              <w:rPr>
                <w:rFonts w:ascii="Times New Roman;Times;Serif" w:hAnsi="Times New Roman;Times;Serif"/>
                <w:b w:val="false"/>
                <w:i w:val="false"/>
                <w:caps w:val="false"/>
                <w:smallCaps w:val="false"/>
                <w:sz w:val="20"/>
              </w:rPr>
              <w:t>3 years</w:t>
            </w:r>
          </w:p>
        </w:tc>
      </w:tr>
      <w:tr>
        <w:trPr/>
        <w:tc>
          <w:tcPr>
            <w:tcW w:w="26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 furniture &amp; fixtures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328" w:name="xdx_906_eus-gaap--PropertyPlantAndEquipm"/>
            <w:bookmarkEnd w:id="328"/>
            <w:r>
              <w:rPr>
                <w:rFonts w:ascii="Times New Roman;Times;Serif" w:hAnsi="Times New Roman;Times;Serif"/>
                <w:b w:val="false"/>
                <w:i w:val="false"/>
                <w:caps w:val="false"/>
                <w:smallCaps w:val="false"/>
                <w:sz w:val="20"/>
              </w:rPr>
              <w:t>3-</w:t>
            </w:r>
            <w:bookmarkStart w:id="329" w:name="xdx_90B_eus-gaap--PropertyPlantAndEquipm"/>
            <w:bookmarkEnd w:id="329"/>
            <w:r>
              <w:rPr>
                <w:rFonts w:ascii="Times New Roman;Times;Serif" w:hAnsi="Times New Roman;Times;Serif"/>
                <w:b w:val="false"/>
                <w:i w:val="false"/>
                <w:caps w:val="false"/>
                <w:smallCaps w:val="false"/>
                <w:sz w:val="20"/>
              </w:rPr>
              <w:t>7 years</w:t>
            </w:r>
          </w:p>
        </w:tc>
      </w:tr>
      <w:tr>
        <w:trPr/>
        <w:tc>
          <w:tcPr>
            <w:tcW w:w="26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Leasehold improvements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330" w:name="xdx_90E_eus-gaap--PropertyPlantAndEquipm"/>
            <w:bookmarkEnd w:id="330"/>
            <w:r>
              <w:rPr>
                <w:rFonts w:ascii="Times New Roman;Times;Serif" w:hAnsi="Times New Roman;Times;Serif"/>
                <w:b w:val="false"/>
                <w:i w:val="false"/>
                <w:caps w:val="false"/>
                <w:smallCaps w:val="false"/>
                <w:sz w:val="20"/>
              </w:rPr>
              <w:t>Shorter of the estimated useful life or lease term</w:t>
            </w:r>
          </w:p>
        </w:tc>
      </w:tr>
      <w:tr>
        <w:trPr/>
        <w:tc>
          <w:tcPr>
            <w:tcW w:w="26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Leased Power Buoys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331" w:name="xdx_90D_eus-gaap--PropertyPlantAndEquipm"/>
            <w:bookmarkEnd w:id="331"/>
            <w:r>
              <w:rPr>
                <w:rFonts w:ascii="Times New Roman;Times;Serif" w:hAnsi="Times New Roman;Times;Serif"/>
                <w:b w:val="false"/>
                <w:i w:val="false"/>
                <w:caps w:val="false"/>
                <w:smallCaps w:val="false"/>
                <w:sz w:val="20"/>
              </w:rPr>
              <w:t>10 years</w:t>
            </w:r>
          </w:p>
        </w:tc>
      </w:tr>
      <w:tr>
        <w:trPr/>
        <w:tc>
          <w:tcPr>
            <w:tcW w:w="26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Leased WAM-V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332" w:name="xdx_90F_eus-gaap--PropertyPlantAndEquipm"/>
            <w:bookmarkEnd w:id="332"/>
            <w:r>
              <w:rPr>
                <w:rFonts w:ascii="Times New Roman;Times;Serif" w:hAnsi="Times New Roman;Times;Serif"/>
                <w:b w:val="false"/>
                <w:i w:val="false"/>
                <w:caps w:val="false"/>
                <w:smallCaps w:val="false"/>
                <w:sz w:val="20"/>
              </w:rPr>
              <w:t>10 years</w:t>
            </w:r>
          </w:p>
        </w:tc>
      </w:tr>
    </w:tbl>
    <w:p>
      <w:pPr>
        <w:pStyle w:val="TextBody"/>
        <w:bidi w:val="0"/>
        <w:spacing w:before="0" w:after="0"/>
        <w:ind w:left="0" w:right="0" w:hanging="0"/>
        <w:jc w:val="both"/>
        <w:rPr>
          <w:caps w:val="false"/>
          <w:smallCaps w:val="false"/>
        </w:rPr>
      </w:pPr>
      <w:bookmarkStart w:id="333" w:name="xdx_8AC_zoMXR9mGo4nh"/>
      <w:bookmarkEnd w:id="333"/>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34" w:name="xdx_846_eus-gaap--ForeignCurrencyTransac"/>
      <w:bookmarkEnd w:id="334"/>
      <w:r>
        <w:rPr>
          <w:rFonts w:ascii="Times New Roman;Times;Serif" w:hAnsi="Times New Roman;Times;Serif"/>
          <w:b/>
          <w:i/>
          <w:caps w:val="false"/>
          <w:smallCaps w:val="false"/>
          <w:sz w:val="20"/>
        </w:rPr>
        <w:t xml:space="preserve">(h) </w:t>
      </w:r>
      <w:bookmarkStart w:id="335" w:name="xdx_86D_z0njy452l9w5"/>
      <w:bookmarkEnd w:id="335"/>
      <w:r>
        <w:rPr>
          <w:rFonts w:ascii="Times New Roman;Times;Serif" w:hAnsi="Times New Roman;Times;Serif"/>
          <w:b/>
          <w:i/>
          <w:caps w:val="false"/>
          <w:smallCaps w:val="false"/>
          <w:sz w:val="20"/>
        </w:rPr>
        <w:t>Foreign Exchange Gains and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cash accounts that are denominated in British pound sterling. These amounts are included in cash, cash equivalents and restricted cash on the accompanying Consolidated Balance Sheets. Transactions denominated in a foreign currency may result in realized and unrealized foreign exchange gains or losses from exchange rate fluctuations, which are included in “Foreign exchange (loss)/gain” in the accompanying Consolidated Statements of Operations.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36" w:name="xdx_841_eus-gaap--ConcentrationRiskCredi"/>
      <w:bookmarkEnd w:id="336"/>
      <w:r>
        <w:rPr>
          <w:rFonts w:ascii="Times New Roman;Times;Serif" w:hAnsi="Times New Roman;Times;Serif"/>
          <w:b/>
          <w:i/>
          <w:caps w:val="false"/>
          <w:smallCaps w:val="false"/>
          <w:sz w:val="20"/>
        </w:rPr>
        <w:t xml:space="preserve">(i) </w:t>
      </w:r>
      <w:bookmarkStart w:id="337" w:name="xdx_861_zNSBu4eYosg7"/>
      <w:bookmarkEnd w:id="337"/>
      <w:r>
        <w:rPr>
          <w:rFonts w:ascii="Times New Roman;Times;Serif" w:hAnsi="Times New Roman;Times;Serif"/>
          <w:b/>
          <w:i/>
          <w:caps w:val="false"/>
          <w:smallCaps w:val="false"/>
          <w:sz w:val="20"/>
        </w:rPr>
        <w:t>Concentration of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Company to credit risk consist principally of trade accounts receivable, short term investments and cash equivalents. The Company believes that its credit risk is limited because the Company’s current contracts are with entities with a reliable payment history. The Company invests its excess cash in a money market fund and short term held-to maturity investments and does not believe that it is exposed to any significant risks related to its cash accounts, money market fund, or held-to maturity investments. Cash is also maintained at foreign financial institutions. Cash in foreign financial institutions as of January 31, 2024 was immaterial.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both the nine months ended January 31, 2024 and 2023, the Company had two customers whose revenues accounted for at least 10% of the Company’s consolidated revenues. These revenues accounted for approximately </w:t>
      </w:r>
      <w:bookmarkStart w:id="338" w:name="xdx_907_eus-gaap--ConcentrationRiskPerce"/>
      <w:bookmarkEnd w:id="338"/>
      <w:r>
        <w:rPr>
          <w:rFonts w:ascii="Times New Roman;Times;Serif" w:hAnsi="Times New Roman;Times;Serif"/>
          <w:b w:val="false"/>
          <w:i w:val="false"/>
          <w:caps w:val="false"/>
          <w:smallCaps w:val="false"/>
          <w:sz w:val="20"/>
        </w:rPr>
        <w:t xml:space="preserve">36% and </w:t>
      </w:r>
      <w:bookmarkStart w:id="339" w:name="xdx_907_eus-gaap--ConcentrationRiskPerce"/>
      <w:bookmarkEnd w:id="339"/>
      <w:r>
        <w:rPr>
          <w:rFonts w:ascii="Times New Roman;Times;Serif" w:hAnsi="Times New Roman;Times;Serif"/>
          <w:b w:val="false"/>
          <w:i w:val="false"/>
          <w:caps w:val="false"/>
          <w:smallCaps w:val="false"/>
          <w:sz w:val="20"/>
        </w:rPr>
        <w:t xml:space="preserve">28% of the Company’s total revenues for the respective periods. For the three months ended January 31, 2024 and 2023, the Company had five and five customers whose revenues accounted for at least 10% of the Company’s consolidated revenues, respectively. These revenues accounted for approximately </w:t>
      </w:r>
      <w:bookmarkStart w:id="340" w:name="xdx_90F_eus-gaap--ConcentrationRiskPerce"/>
      <w:bookmarkEnd w:id="340"/>
      <w:r>
        <w:rPr>
          <w:rFonts w:ascii="Times New Roman;Times;Serif" w:hAnsi="Times New Roman;Times;Serif"/>
          <w:b w:val="false"/>
          <w:i w:val="false"/>
          <w:caps w:val="false"/>
          <w:smallCaps w:val="false"/>
          <w:sz w:val="20"/>
        </w:rPr>
        <w:t xml:space="preserve">85% and </w:t>
      </w:r>
      <w:bookmarkStart w:id="341" w:name="xdx_905_eus-gaap--ConcentrationRiskPerce"/>
      <w:bookmarkEnd w:id="341"/>
      <w:r>
        <w:rPr>
          <w:rFonts w:ascii="Times New Roman;Times;Serif" w:hAnsi="Times New Roman;Times;Serif"/>
          <w:b w:val="false"/>
          <w:i w:val="false"/>
          <w:caps w:val="false"/>
          <w:smallCaps w:val="false"/>
          <w:sz w:val="20"/>
        </w:rPr>
        <w:t>63% of the Company’s total revenues for the respective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42" w:name="xdx_845_eus-gaap--ShareBasedCompensation"/>
      <w:bookmarkEnd w:id="342"/>
      <w:r>
        <w:rPr>
          <w:rFonts w:ascii="Times New Roman;Times;Serif" w:hAnsi="Times New Roman;Times;Serif"/>
          <w:b/>
          <w:i/>
          <w:caps w:val="false"/>
          <w:smallCaps w:val="false"/>
          <w:sz w:val="20"/>
        </w:rPr>
        <w:t xml:space="preserve">(j) </w:t>
      </w:r>
      <w:bookmarkStart w:id="343" w:name="xdx_86D_zWxEAbtEvGll"/>
      <w:bookmarkEnd w:id="343"/>
      <w:r>
        <w:rPr>
          <w:rFonts w:ascii="Times New Roman;Times;Serif" w:hAnsi="Times New Roman;Times;Serif"/>
          <w:b/>
          <w:i/>
          <w:caps w:val="false"/>
          <w:smallCaps w:val="false"/>
          <w:sz w:val="20"/>
        </w:rPr>
        <w:t>Share-Based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resulting from all share-based payment transactions are recognized in the consolidated financial statements at their fair values. The aggregate share-based compensation expense recorded in the Consolidated Statements of Operations for the nine months ended January 31, 2024 and 2023 was approximately $</w:t>
      </w:r>
      <w:bookmarkStart w:id="344" w:name="xdx_904_eus-gaap--ShareBasedCompensation"/>
      <w:bookmarkEnd w:id="344"/>
      <w:r>
        <w:rPr>
          <w:rFonts w:ascii="Times New Roman;Times;Serif" w:hAnsi="Times New Roman;Times;Serif"/>
          <w:b w:val="false"/>
          <w:i w:val="false"/>
          <w:caps w:val="false"/>
          <w:smallCaps w:val="false"/>
          <w:sz w:val="20"/>
        </w:rPr>
        <w:t>0.8 million and $</w:t>
      </w:r>
      <w:bookmarkStart w:id="345" w:name="xdx_906_eus-gaap--ShareBasedCompensation"/>
      <w:bookmarkEnd w:id="345"/>
      <w:r>
        <w:rPr>
          <w:rFonts w:ascii="Times New Roman;Times;Serif" w:hAnsi="Times New Roman;Times;Serif"/>
          <w:b w:val="false"/>
          <w:i w:val="false"/>
          <w:caps w:val="false"/>
          <w:smallCaps w:val="false"/>
          <w:sz w:val="20"/>
        </w:rPr>
        <w:t>0.9 million, respectively. For the three months ended January 31, 2024 and 2023 share-based compensation expense was approximately $</w:t>
      </w:r>
      <w:bookmarkStart w:id="346" w:name="xdx_90C_eus-gaap--ShareBasedCompensation"/>
      <w:bookmarkEnd w:id="346"/>
      <w:r>
        <w:rPr>
          <w:rFonts w:ascii="Times New Roman;Times;Serif" w:hAnsi="Times New Roman;Times;Serif"/>
          <w:b w:val="false"/>
          <w:i w:val="false"/>
          <w:caps w:val="false"/>
          <w:smallCaps w:val="false"/>
          <w:sz w:val="20"/>
        </w:rPr>
        <w:t>0.1 million and $</w:t>
      </w:r>
      <w:bookmarkStart w:id="347" w:name="xdx_902_eus-gaap--ShareBasedCompensation"/>
      <w:bookmarkEnd w:id="347"/>
      <w:r>
        <w:rPr>
          <w:rFonts w:ascii="Times New Roman;Times;Serif" w:hAnsi="Times New Roman;Times;Serif"/>
          <w:b w:val="false"/>
          <w:i w:val="false"/>
          <w:caps w:val="false"/>
          <w:smallCaps w:val="false"/>
          <w:sz w:val="20"/>
        </w:rPr>
        <w:t>0.3 million, respectively. The Company’s policy is to account for forfeitures of share-based compensation as they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upon vesting of an RSU that was granted to an employee, the employee is given the option to either pay the taxes themselves, or have enough shares of their RSU award withheld by the Company to cover the taxes incurred by the employee. In the event the employee elects to surrenders shares to cover the tax implication, the Company maintains those shares in the Company’s treasury stock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48" w:name="xdx_844_eus-gaap--RevenueFromContractWit"/>
      <w:bookmarkEnd w:id="348"/>
      <w:r>
        <w:rPr>
          <w:rFonts w:ascii="Times New Roman;Times;Serif" w:hAnsi="Times New Roman;Times;Serif"/>
          <w:b/>
          <w:i/>
          <w:caps w:val="false"/>
          <w:smallCaps w:val="false"/>
          <w:sz w:val="20"/>
        </w:rPr>
        <w:t xml:space="preserve">(k) </w:t>
      </w:r>
      <w:bookmarkStart w:id="349" w:name="xdx_86A_zw2XZxCb2xCa"/>
      <w:bookmarkEnd w:id="349"/>
      <w:r>
        <w:rPr>
          <w:rFonts w:ascii="Times New Roman;Times;Serif" w:hAnsi="Times New Roman;Times;Serif"/>
          <w:b/>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revenue in accordance with Accounting Standards Codification 606 (ASC 606) for contracts with customers and Accounting Standards Codification 842 (ASC 842) for leasing arrangements. In relation to ASC 606, which states that a performance obligation is the unit of account for revenue recognition, the Company assesses the goods or services promised in a contract with a customer and identifies as a performance obligation as either: a) a good or service (or a bundle of goods or services) that is distinct; or b) a series of distinct goods or services that are substantially the same and that have the same pattern of transfer to the customer. A contract may contain a single performance obligation or multiple performance obligations. For contracts with multiple performance obligations, the Company allocates the contracted transaction price to each performance obligation based upon the relative standalone selling price, which represents the price the Company would sell a promised good or service separately to a customer. The Company determines the standalone selling price based upon the facts and circumstances of each obligated good or service. When no observable standalone selling price is available, the standalone selling price is generally estimated based upon the Company’s forecast of the total cost to satisfy the performance obligation plus an appropriate profit margin.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of the Company’s contracts may give rise to several types of variable consideration, including unpriced change orders, liquidated damages and penalties. Variable consideration can also arise from modifications to the scope of services. Variable consideration is included in the transaction price to the extent it is probable that a significant reversal of cumulative revenue recognized will not occur once the uncertainty associated with the variable consideration is resolved. Estimates of variable consideration and determination of whether to include such amounts in the transaction price are based largely on the assessment of legal enforceability, performance, and any other information (historical, current, and forecasted) that is reasonably available to us. There was no variable consideration as of January 31, 2024 or 2023. The Company presents shipping and handling costs, that occur after control of the promised goods or services transfer to the customer, as fulfillment costs in costs of goods sold and regular shipping and handling activities charged to operating expenses.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when or as it satisfies a performance obligation by transferring a good or service to a customer, either (1) at a point in time or (2) over time. A good or service is transferred when or as the customer obtains control. The evaluation of whether control of each performance obligation is transferred at a point in time or over time is made at contract inception. Input measures such as costs incurred are utilized to assess progress against specific contractual performance obligations for the Company’s services. The selection of the method to measure progress towards completion requires judgment and is based on the nature of the services to be provided. For the Company, the input method using costs or labor hours incurred best represents the measure of progress against the performance obligations incorporated within the contractual agreements. If estimated total costs on any contract project a loss, the Company charges the entire estimated loss to operations in the period the loss becomes known. The cumulative effect of revisions to revenue, estimated costs to complete contracts, including penalties, change orders, claims, anticipated losses, and others are recorded in the accounting period in which the events indicating a loss are known and the loss can be reasonably estimated. These loss projections are re-assessed for each subsequent reporting period until the project is complete. Such revisions could occur at any time and the effects may be material. During the nine-month period ended January 31, 2024 the Company recognized approximately $</w:t>
      </w:r>
      <w:bookmarkStart w:id="350" w:name="xdx_909_eus-gaap--ContractWithCustomerLi"/>
      <w:bookmarkEnd w:id="350"/>
      <w:r>
        <w:rPr>
          <w:rFonts w:ascii="Times New Roman;Times;Serif" w:hAnsi="Times New Roman;Times;Serif"/>
          <w:b w:val="false"/>
          <w:i w:val="false"/>
          <w:caps w:val="false"/>
          <w:smallCaps w:val="false"/>
          <w:sz w:val="20"/>
        </w:rPr>
        <w:t>2.6 million in revenue related to performance obligations satisfied at a point in time and approximately $</w:t>
      </w:r>
      <w:bookmarkStart w:id="351" w:name="xdx_900_eus-gaap--ContractWithCustomerLi"/>
      <w:bookmarkEnd w:id="351"/>
      <w:r>
        <w:rPr>
          <w:rFonts w:ascii="Times New Roman;Times;Serif" w:hAnsi="Times New Roman;Times;Serif"/>
          <w:b w:val="false"/>
          <w:i w:val="false"/>
          <w:caps w:val="false"/>
          <w:smallCaps w:val="false"/>
          <w:sz w:val="20"/>
        </w:rPr>
        <w:t>1.4 million in revenue related to performance obligations satisfied over time. During the three-month period ended January 31, 2024 the Company recognized approximately $</w:t>
      </w:r>
      <w:bookmarkStart w:id="352" w:name="xdx_90A_eus-gaap--ContractWithCustomerLi"/>
      <w:bookmarkEnd w:id="352"/>
      <w:r>
        <w:rPr>
          <w:rFonts w:ascii="Times New Roman;Times;Serif" w:hAnsi="Times New Roman;Times;Serif"/>
          <w:b w:val="false"/>
          <w:i w:val="false"/>
          <w:caps w:val="false"/>
          <w:smallCaps w:val="false"/>
          <w:sz w:val="20"/>
        </w:rPr>
        <w:t>1.4 million in revenue related to performance obligation satisfied at a point in time and approximately $</w:t>
      </w:r>
      <w:bookmarkStart w:id="353" w:name="xdx_909_eus-gaap--ContractWithCustomerLi"/>
      <w:bookmarkEnd w:id="353"/>
      <w:r>
        <w:rPr>
          <w:rFonts w:ascii="Times New Roman;Times;Serif" w:hAnsi="Times New Roman;Times;Serif"/>
          <w:b w:val="false"/>
          <w:i w:val="false"/>
          <w:caps w:val="false"/>
          <w:smallCaps w:val="false"/>
          <w:sz w:val="20"/>
        </w:rPr>
        <w:t>0.4 million in revenue related to performance obligations satisfied over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contracts are either cost-plus contracts, fixed-price contracts, time and material agreements, lease or service agreements. Under cost plus contracts, customers are billed for actual expenses incurred plus an agreed-upon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two types of fixed-price contracts, firm fixed-price and cost-sharing. Under firm fixed-price contracts, the Company receives an agreed-upon amount for providing products and services specified in the contract, and a profit or loss is recognized depending on whether actual costs are more or less than the agreed upon amount. Under cost-sharing contracts, the fixed amount agreed upon with the customer is only intended to fund a portion of the costs on a specific project. Under cost sharing contracts, an amount corresponding to the revenue is recorded in cost of revenue, resulting in gross profit on these contracts of zero. The Company reports its disaggregation of revenue by contract type since this method best represents the Company’s business. For the nine-month periods ended January 31, 2024 and 2023, the majority of the Company’s contracts were classified as firm fixed-price and the remainder were cost-sharing.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contract assets and liabilities primarily relate to the timing differences between cash received from a customer in connection with contractual rights to invoicing and the timing of revenue recognition following completion of performance obligations. The Company’s accounts receivable balance is made up entirely of customer contract related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revenue also includes revenue from certain contracts which do not fall within the scope of ASC 606, but under the scope of ASC 842. At inception of a contract for those classified under ASC 842, the Company classifies leases as either operating or financing in accordance with the authoritative accounting guidance contained within ASC Topic 842, “Leases”. If the direct financing or sales-type classification criteria are met, then the lease is accounted for as a finance lease. All others are treated as operating leases. The Company recognizes revenue from operating lease arrangements generally on a straight-line basis over the lease term, or as agreed upon in-use days are utilized, which is presented in Revenue in the Consolidated Statement of Operations. The Company also enters into lease arrangements for its PowerBuoys® and Wave Adaptive Modular Vessels (“WAM-V®”) with certain customers. Revenue related to multiple-element arrangements is allocated to lease and non-lease elements based on their relative standalone selling prices or expected cost plus a margin approach. Lease elements generally include a PowerBuoy®, WAM-V®, and components, while non-lease elements, which the Company expects to become more prevalent, generally include engineering, monitoring and support services. In the lease arrangement, the customer may be provided with an option to extend the lease term or purchase the leased buoy or WAM-V® at some point during and/or at the end of the lease term.</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January 31, 2024, the Company’s total remaining performance obligations, also referred to as backlog, totaled $</w:t>
      </w:r>
      <w:bookmarkStart w:id="354" w:name="xdx_90D_eus-gaap--RevenueRemainingPerfor"/>
      <w:bookmarkEnd w:id="354"/>
      <w:r>
        <w:rPr>
          <w:rFonts w:ascii="Times New Roman;Times;Serif" w:hAnsi="Times New Roman;Times;Serif"/>
          <w:b w:val="false"/>
          <w:i w:val="false"/>
          <w:caps w:val="false"/>
          <w:smallCaps w:val="false"/>
          <w:sz w:val="20"/>
        </w:rPr>
        <w:t xml:space="preserve">3.3 million. The Company expects to recognize approximately </w:t>
      </w:r>
      <w:bookmarkStart w:id="355" w:name="xdx_90A_ecustom--RevenueRemainingPerform"/>
      <w:bookmarkEnd w:id="355"/>
      <w:r>
        <w:rPr>
          <w:rFonts w:ascii="Times New Roman;Times;Serif" w:hAnsi="Times New Roman;Times;Serif"/>
          <w:b w:val="false"/>
          <w:i w:val="false"/>
          <w:caps w:val="false"/>
          <w:smallCaps w:val="false"/>
          <w:sz w:val="20"/>
        </w:rPr>
        <w:t>63%, or $</w:t>
      </w:r>
      <w:bookmarkStart w:id="356" w:name="xdx_902_ecustom--ExpectsToRecognizeReven"/>
      <w:bookmarkEnd w:id="356"/>
      <w:r>
        <w:rPr>
          <w:rFonts w:ascii="Times New Roman;Times;Serif" w:hAnsi="Times New Roman;Times;Serif"/>
          <w:b w:val="false"/>
          <w:i w:val="false"/>
          <w:caps w:val="false"/>
          <w:smallCaps w:val="false"/>
          <w:sz w:val="20"/>
        </w:rPr>
        <w:t>2.1 million, of the remaining performance obligations as revenue over the next twelve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Existing customers are subject to ongoing credit evaluations based on payment history and other factors. If it is determined that collectability of any portion of the contract value is not probable, an analysis of variable consideration will be performed using either the most likely amount or expected value method to determine the amount of revenue that must be constrained until the scenario causing the variability has been resolved.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to record taxes collected from customers on a net basis and does not include tax amounts in revenue or costs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57" w:name="xdx_890_eus-gaap--DisaggregationOfRevenu"/>
      <w:bookmarkEnd w:id="357"/>
      <w:r>
        <w:rPr>
          <w:rFonts w:ascii="Times New Roman;Times;Serif" w:hAnsi="Times New Roman;Times;Serif"/>
          <w:b w:val="false"/>
          <w:i w:val="false"/>
          <w:caps w:val="false"/>
          <w:smallCaps w:val="false"/>
          <w:sz w:val="20"/>
        </w:rPr>
        <w:t>The below table represents the total revenue recognized under ASC 606 and ASC 842 for the three and nine months ended January 31, 2024 and 2023.</w:t>
      </w:r>
    </w:p>
    <w:p>
      <w:pPr>
        <w:pStyle w:val="TextBody"/>
        <w:bidi w:val="0"/>
        <w:spacing w:before="0" w:after="0"/>
        <w:ind w:left="0" w:right="0" w:hanging="0"/>
        <w:jc w:val="both"/>
        <w:rPr>
          <w:caps w:val="false"/>
          <w:smallCaps w:val="false"/>
        </w:rPr>
      </w:pPr>
      <w:r>
        <w:rPr>
          <w:caps w:val="false"/>
          <w:smallCaps w:val="false"/>
        </w:rPr>
        <w:t> </w:t>
      </w:r>
      <w:bookmarkStart w:id="358" w:name="xdx_8B6_zvyo76dZf0l6"/>
      <w:bookmarkEnd w:id="358"/>
      <w:r>
        <w:rPr>
          <w:rFonts w:ascii="Times New Roman;Times;Serif" w:hAnsi="Times New Roman;Times;Serif"/>
          <w:b w:val="false"/>
          <w:i w:val="false"/>
          <w:caps w:val="false"/>
          <w:smallCaps w:val="false"/>
          <w:sz w:val="20"/>
        </w:rPr>
        <w:t>Schedule of Revenue Recognizes From Operating Lease Arrangements</w:t>
      </w:r>
    </w:p>
    <w:tbl>
      <w:tblPr>
        <w:tblW w:w="10205" w:type="dxa"/>
        <w:jc w:val="left"/>
        <w:tblInd w:w="0" w:type="dxa"/>
        <w:tblLayout w:type="fixed"/>
        <w:tblCellMar>
          <w:top w:w="0" w:type="dxa"/>
          <w:left w:w="0" w:type="dxa"/>
          <w:bottom w:w="0" w:type="dxa"/>
          <w:right w:w="0" w:type="dxa"/>
        </w:tblCellMar>
      </w:tblPr>
      <w:tblGrid>
        <w:gridCol w:w="2440"/>
        <w:gridCol w:w="60"/>
        <w:gridCol w:w="249"/>
        <w:gridCol w:w="999"/>
        <w:gridCol w:w="80"/>
        <w:gridCol w:w="80"/>
        <w:gridCol w:w="334"/>
        <w:gridCol w:w="909"/>
        <w:gridCol w:w="80"/>
        <w:gridCol w:w="80"/>
        <w:gridCol w:w="187"/>
        <w:gridCol w:w="752"/>
        <w:gridCol w:w="60"/>
        <w:gridCol w:w="60"/>
        <w:gridCol w:w="249"/>
        <w:gridCol w:w="999"/>
        <w:gridCol w:w="80"/>
        <w:gridCol w:w="80"/>
        <w:gridCol w:w="334"/>
        <w:gridCol w:w="909"/>
        <w:gridCol w:w="80"/>
        <w:gridCol w:w="80"/>
        <w:gridCol w:w="187"/>
        <w:gridCol w:w="752"/>
        <w:gridCol w:w="85"/>
      </w:tblGrid>
      <w:tr>
        <w:trPr/>
        <w:tc>
          <w:tcPr>
            <w:tcW w:w="24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59" w:name="xdx_490_20230501__20240131__us-gaap--Adj"/>
            <w:bookmarkEnd w:id="359"/>
          </w:p>
        </w:tc>
        <w:tc>
          <w:tcPr>
            <w:tcW w:w="124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ASC 606</w:t>
            </w:r>
          </w:p>
        </w:tc>
        <w:tc>
          <w:tcPr>
            <w:tcW w:w="8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bookmarkStart w:id="360" w:name="xdx_492_20230501__20240131__us-gaap--Adj"/>
            <w:bookmarkEnd w:id="360"/>
          </w:p>
        </w:tc>
        <w:tc>
          <w:tcPr>
            <w:tcW w:w="124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ASC 842</w:t>
            </w:r>
          </w:p>
        </w:tc>
        <w:tc>
          <w:tcPr>
            <w:tcW w:w="8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bookmarkStart w:id="361" w:name="xdx_497_20230501__20240131_zDIRviXOBLWa"/>
            <w:bookmarkEnd w:id="361"/>
          </w:p>
        </w:tc>
        <w:tc>
          <w:tcPr>
            <w:tcW w:w="9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center"/>
              <w:rPr/>
            </w:pPr>
            <w:r>
              <w:rPr/>
              <w:t> </w:t>
            </w:r>
          </w:p>
        </w:tc>
        <w:tc>
          <w:tcPr>
            <w:tcW w:w="60" w:type="dxa"/>
            <w:tcBorders>
              <w:left w:val="single" w:sz="12" w:space="0" w:color="000000"/>
            </w:tcBorders>
            <w:tcMar>
              <w:left w:w="28" w:type="dxa"/>
            </w:tcMar>
            <w:vAlign w:val="center"/>
          </w:tcPr>
          <w:p>
            <w:pPr>
              <w:pStyle w:val="TableContents"/>
              <w:bidi w:val="0"/>
              <w:spacing w:before="0" w:after="283"/>
              <w:jc w:val="center"/>
              <w:rPr/>
            </w:pPr>
            <w:r>
              <w:rPr/>
              <w:t> </w:t>
            </w:r>
            <w:bookmarkStart w:id="362" w:name="xdx_49C_20220501__20230131__us-gaap--Adj"/>
            <w:bookmarkEnd w:id="362"/>
          </w:p>
        </w:tc>
        <w:tc>
          <w:tcPr>
            <w:tcW w:w="124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ASC 606</w:t>
            </w:r>
          </w:p>
        </w:tc>
        <w:tc>
          <w:tcPr>
            <w:tcW w:w="8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bookmarkStart w:id="363" w:name="xdx_492_20220501__20230131__us-gaap--Adj"/>
            <w:bookmarkEnd w:id="363"/>
          </w:p>
        </w:tc>
        <w:tc>
          <w:tcPr>
            <w:tcW w:w="124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ASC 842</w:t>
            </w:r>
          </w:p>
        </w:tc>
        <w:tc>
          <w:tcPr>
            <w:tcW w:w="8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bookmarkStart w:id="364" w:name="xdx_496_20220501__20230131_zFramytSoVs9"/>
            <w:bookmarkEnd w:id="364"/>
          </w:p>
        </w:tc>
        <w:tc>
          <w:tcPr>
            <w:tcW w:w="9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85" w:type="dxa"/>
            <w:tcBorders/>
            <w:vAlign w:val="center"/>
          </w:tcPr>
          <w:p>
            <w:pPr>
              <w:pStyle w:val="TableContents"/>
              <w:bidi w:val="0"/>
              <w:spacing w:before="0" w:after="283"/>
              <w:jc w:val="center"/>
              <w:rPr/>
            </w:pPr>
            <w:r>
              <w:rPr/>
              <w:t> </w:t>
            </w:r>
          </w:p>
        </w:tc>
      </w:tr>
      <w:tr>
        <w:trPr/>
        <w:tc>
          <w:tcPr>
            <w:tcW w:w="24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75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Nine months ended January 31, 2024</w:t>
            </w:r>
          </w:p>
        </w:tc>
        <w:tc>
          <w:tcPr>
            <w:tcW w:w="60" w:type="dxa"/>
            <w:tcBorders/>
            <w:vAlign w:val="center"/>
          </w:tcPr>
          <w:p>
            <w:pPr>
              <w:pStyle w:val="TableContents"/>
              <w:bidi w:val="0"/>
              <w:spacing w:before="0" w:after="283"/>
              <w:jc w:val="center"/>
              <w:rPr/>
            </w:pPr>
            <w:r>
              <w:rPr/>
              <w:t> </w:t>
            </w:r>
          </w:p>
        </w:tc>
        <w:tc>
          <w:tcPr>
            <w:tcW w:w="60" w:type="dxa"/>
            <w:tcBorders>
              <w:left w:val="single" w:sz="12" w:space="0" w:color="000000"/>
            </w:tcBorders>
            <w:tcMar>
              <w:left w:w="28" w:type="dxa"/>
            </w:tcMar>
            <w:vAlign w:val="center"/>
          </w:tcPr>
          <w:p>
            <w:pPr>
              <w:pStyle w:val="TableContents"/>
              <w:bidi w:val="0"/>
              <w:spacing w:before="0" w:after="283"/>
              <w:jc w:val="center"/>
              <w:rPr/>
            </w:pPr>
            <w:r>
              <w:rPr/>
              <w:t> </w:t>
            </w:r>
          </w:p>
        </w:tc>
        <w:tc>
          <w:tcPr>
            <w:tcW w:w="375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Nine months ended January 31, 2023</w:t>
            </w:r>
          </w:p>
        </w:tc>
        <w:tc>
          <w:tcPr>
            <w:tcW w:w="85" w:type="dxa"/>
            <w:tcBorders/>
            <w:vAlign w:val="center"/>
          </w:tcPr>
          <w:p>
            <w:pPr>
              <w:pStyle w:val="TableContents"/>
              <w:bidi w:val="0"/>
              <w:spacing w:before="0" w:after="283"/>
              <w:jc w:val="center"/>
              <w:rPr/>
            </w:pPr>
            <w:r>
              <w:rPr/>
              <w:t> </w:t>
            </w:r>
          </w:p>
        </w:tc>
      </w:tr>
      <w:tr>
        <w:trPr/>
        <w:tc>
          <w:tcPr>
            <w:tcW w:w="24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ASC 606</w:t>
            </w:r>
          </w:p>
        </w:tc>
        <w:tc>
          <w:tcPr>
            <w:tcW w:w="8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124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ASC 842</w:t>
            </w:r>
          </w:p>
        </w:tc>
        <w:tc>
          <w:tcPr>
            <w:tcW w:w="8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9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center"/>
              <w:rPr/>
            </w:pPr>
            <w:r>
              <w:rPr/>
              <w:t> </w:t>
            </w:r>
          </w:p>
        </w:tc>
        <w:tc>
          <w:tcPr>
            <w:tcW w:w="60" w:type="dxa"/>
            <w:tcBorders>
              <w:left w:val="single" w:sz="12" w:space="0" w:color="000000"/>
            </w:tcBorders>
            <w:tcMar>
              <w:left w:w="28" w:type="dxa"/>
            </w:tcMar>
            <w:vAlign w:val="center"/>
          </w:tcPr>
          <w:p>
            <w:pPr>
              <w:pStyle w:val="TableContents"/>
              <w:bidi w:val="0"/>
              <w:spacing w:before="0" w:after="283"/>
              <w:jc w:val="center"/>
              <w:rPr/>
            </w:pPr>
            <w:r>
              <w:rPr/>
              <w:t> </w:t>
            </w:r>
          </w:p>
        </w:tc>
        <w:tc>
          <w:tcPr>
            <w:tcW w:w="124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ASC 606</w:t>
            </w:r>
          </w:p>
        </w:tc>
        <w:tc>
          <w:tcPr>
            <w:tcW w:w="8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124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ASC 842</w:t>
            </w:r>
          </w:p>
        </w:tc>
        <w:tc>
          <w:tcPr>
            <w:tcW w:w="8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9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85" w:type="dxa"/>
            <w:tcBorders/>
            <w:vAlign w:val="center"/>
          </w:tcPr>
          <w:p>
            <w:pPr>
              <w:pStyle w:val="TableContents"/>
              <w:bidi w:val="0"/>
              <w:spacing w:before="0" w:after="283"/>
              <w:jc w:val="center"/>
              <w:rPr/>
            </w:pPr>
            <w:r>
              <w:rPr/>
              <w:t> </w:t>
            </w:r>
          </w:p>
        </w:tc>
      </w:tr>
      <w:tr>
        <w:trPr/>
        <w:tc>
          <w:tcPr>
            <w:tcW w:w="24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750" w:type="dxa"/>
            <w:gridSpan w:val="10"/>
            <w:tcBorders/>
            <w:vAlign w:val="center"/>
          </w:tcPr>
          <w:p>
            <w:pPr>
              <w:pStyle w:val="TableContents"/>
              <w:bidi w:val="0"/>
              <w:spacing w:before="0" w:after="283"/>
              <w:jc w:val="center"/>
              <w:rPr/>
            </w:pPr>
            <w:r>
              <w:rPr/>
              <w:t>(in thousands)</w:t>
            </w:r>
          </w:p>
        </w:tc>
        <w:tc>
          <w:tcPr>
            <w:tcW w:w="60" w:type="dxa"/>
            <w:tcBorders/>
            <w:vAlign w:val="center"/>
          </w:tcPr>
          <w:p>
            <w:pPr>
              <w:pStyle w:val="TableContents"/>
              <w:bidi w:val="0"/>
              <w:spacing w:before="0" w:after="283"/>
              <w:jc w:val="center"/>
              <w:rPr/>
            </w:pPr>
            <w:r>
              <w:rPr/>
              <w:t> </w:t>
            </w:r>
          </w:p>
        </w:tc>
        <w:tc>
          <w:tcPr>
            <w:tcW w:w="60" w:type="dxa"/>
            <w:tcBorders>
              <w:left w:val="single" w:sz="12" w:space="0" w:color="000000"/>
            </w:tcBorders>
            <w:tcMar>
              <w:left w:w="28" w:type="dxa"/>
            </w:tcMar>
            <w:vAlign w:val="center"/>
          </w:tcPr>
          <w:p>
            <w:pPr>
              <w:pStyle w:val="TableContents"/>
              <w:bidi w:val="0"/>
              <w:spacing w:before="0" w:after="283"/>
              <w:jc w:val="center"/>
              <w:rPr/>
            </w:pPr>
            <w:r>
              <w:rPr/>
              <w:t> </w:t>
            </w:r>
          </w:p>
        </w:tc>
        <w:tc>
          <w:tcPr>
            <w:tcW w:w="3750" w:type="dxa"/>
            <w:gridSpan w:val="10"/>
            <w:tcBorders/>
            <w:vAlign w:val="center"/>
          </w:tcPr>
          <w:p>
            <w:pPr>
              <w:pStyle w:val="TableContents"/>
              <w:bidi w:val="0"/>
              <w:spacing w:before="0" w:after="283"/>
              <w:jc w:val="center"/>
              <w:rPr/>
            </w:pPr>
            <w:r>
              <w:rPr/>
              <w:t>(in thousands)</w:t>
            </w:r>
          </w:p>
        </w:tc>
        <w:tc>
          <w:tcPr>
            <w:tcW w:w="85" w:type="dxa"/>
            <w:tcBorders/>
            <w:vAlign w:val="center"/>
          </w:tcPr>
          <w:p>
            <w:pPr>
              <w:pStyle w:val="TableContents"/>
              <w:bidi w:val="0"/>
              <w:spacing w:before="0" w:after="283"/>
              <w:jc w:val="center"/>
              <w:rPr/>
            </w:pPr>
            <w:r>
              <w:rPr/>
              <w:t> </w:t>
            </w:r>
          </w:p>
        </w:tc>
      </w:tr>
      <w:tr>
        <w:trPr/>
        <w:tc>
          <w:tcPr>
            <w:tcW w:w="2440" w:type="dxa"/>
            <w:tcBorders/>
            <w:shd w:fill="CCEEFF" w:val="clear"/>
            <w:vAlign w:val="center"/>
          </w:tcPr>
          <w:p>
            <w:pPr>
              <w:pStyle w:val="TableContents"/>
              <w:bidi w:val="0"/>
              <w:spacing w:before="0" w:after="283"/>
              <w:jc w:val="left"/>
              <w:rPr>
                <w:b/>
              </w:rPr>
            </w:pPr>
            <w:r>
              <w:rPr>
                <w:b/>
              </w:rPr>
              <w:t>Product Line:</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left"/>
              <w:rPr/>
            </w:pPr>
            <w:r>
              <w:rPr/>
              <w:t> </w:t>
            </w:r>
            <w:bookmarkStart w:id="365" w:name="xdx_400_eus-gaap--Revenues_hsrt--Product"/>
            <w:bookmarkEnd w:id="365"/>
          </w:p>
        </w:tc>
      </w:tr>
      <w:tr>
        <w:trPr/>
        <w:tc>
          <w:tcPr>
            <w:tcW w:w="2440" w:type="dxa"/>
            <w:tcBorders/>
            <w:shd w:fill="FFFFFF" w:val="clear"/>
            <w:vAlign w:val="center"/>
          </w:tcPr>
          <w:p>
            <w:pPr>
              <w:pStyle w:val="TableContents"/>
              <w:bidi w:val="0"/>
              <w:spacing w:before="0" w:after="283"/>
              <w:jc w:val="left"/>
              <w:rPr/>
            </w:pPr>
            <w:r>
              <w:rPr/>
              <w:t>WAM-V</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w:t>
            </w:r>
          </w:p>
        </w:tc>
        <w:tc>
          <w:tcPr>
            <w:tcW w:w="999" w:type="dxa"/>
            <w:tcBorders/>
            <w:shd w:fill="FFFFFF" w:val="clear"/>
            <w:vAlign w:val="center"/>
          </w:tcPr>
          <w:p>
            <w:pPr>
              <w:pStyle w:val="TableContents"/>
              <w:bidi w:val="0"/>
              <w:spacing w:before="0" w:after="283"/>
              <w:jc w:val="right"/>
              <w:rPr/>
            </w:pPr>
            <w:r>
              <w:rPr/>
              <w:t>1,625</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w:t>
            </w:r>
          </w:p>
        </w:tc>
        <w:tc>
          <w:tcPr>
            <w:tcW w:w="909" w:type="dxa"/>
            <w:tcBorders/>
            <w:shd w:fill="FFFFFF" w:val="clear"/>
            <w:vAlign w:val="center"/>
          </w:tcPr>
          <w:p>
            <w:pPr>
              <w:pStyle w:val="TableContents"/>
              <w:bidi w:val="0"/>
              <w:spacing w:before="0" w:after="283"/>
              <w:jc w:val="right"/>
              <w:rPr/>
            </w:pPr>
            <w:r>
              <w:rPr/>
              <w:t>896</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w:t>
            </w:r>
          </w:p>
        </w:tc>
        <w:tc>
          <w:tcPr>
            <w:tcW w:w="752" w:type="dxa"/>
            <w:tcBorders/>
            <w:shd w:fill="FFFFFF" w:val="clear"/>
            <w:vAlign w:val="center"/>
          </w:tcPr>
          <w:p>
            <w:pPr>
              <w:pStyle w:val="TableContents"/>
              <w:bidi w:val="0"/>
              <w:spacing w:before="0" w:after="283"/>
              <w:jc w:val="right"/>
              <w:rPr/>
            </w:pPr>
            <w:r>
              <w:rPr/>
              <w:t>2,521</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w:t>
            </w:r>
          </w:p>
        </w:tc>
        <w:tc>
          <w:tcPr>
            <w:tcW w:w="999" w:type="dxa"/>
            <w:tcBorders/>
            <w:shd w:fill="FFFFFF" w:val="clear"/>
            <w:vAlign w:val="center"/>
          </w:tcPr>
          <w:p>
            <w:pPr>
              <w:pStyle w:val="TableContents"/>
              <w:bidi w:val="0"/>
              <w:spacing w:before="0" w:after="283"/>
              <w:jc w:val="right"/>
              <w:rPr/>
            </w:pPr>
            <w:r>
              <w:rPr/>
              <w:t>691</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w:t>
            </w:r>
          </w:p>
        </w:tc>
        <w:tc>
          <w:tcPr>
            <w:tcW w:w="909" w:type="dxa"/>
            <w:tcBorders/>
            <w:shd w:fill="FFFFFF" w:val="clear"/>
            <w:vAlign w:val="center"/>
          </w:tcPr>
          <w:p>
            <w:pPr>
              <w:pStyle w:val="TableContents"/>
              <w:bidi w:val="0"/>
              <w:spacing w:before="0" w:after="283"/>
              <w:jc w:val="right"/>
              <w:rPr/>
            </w:pPr>
            <w:r>
              <w:rPr/>
              <w:t>190</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w:t>
            </w:r>
          </w:p>
        </w:tc>
        <w:tc>
          <w:tcPr>
            <w:tcW w:w="752" w:type="dxa"/>
            <w:tcBorders/>
            <w:shd w:fill="FFFFFF" w:val="clear"/>
            <w:vAlign w:val="center"/>
          </w:tcPr>
          <w:p>
            <w:pPr>
              <w:pStyle w:val="TableContents"/>
              <w:bidi w:val="0"/>
              <w:spacing w:before="0" w:after="283"/>
              <w:jc w:val="right"/>
              <w:rPr/>
            </w:pPr>
            <w:r>
              <w:rPr/>
              <w:t>881</w:t>
            </w:r>
          </w:p>
        </w:tc>
        <w:tc>
          <w:tcPr>
            <w:tcW w:w="85" w:type="dxa"/>
            <w:tcBorders/>
            <w:shd w:fill="FFFFFF" w:val="clear"/>
            <w:vAlign w:val="center"/>
          </w:tcPr>
          <w:p>
            <w:pPr>
              <w:pStyle w:val="TableContents"/>
              <w:bidi w:val="0"/>
              <w:spacing w:before="0" w:after="283"/>
              <w:jc w:val="left"/>
              <w:rPr/>
            </w:pPr>
            <w:r>
              <w:rPr/>
              <w:t> </w:t>
            </w:r>
            <w:bookmarkStart w:id="366" w:name="xdx_409_eus-gaap--Revenues_hsrt--Product"/>
            <w:bookmarkEnd w:id="366"/>
          </w:p>
        </w:tc>
      </w:tr>
      <w:tr>
        <w:trPr/>
        <w:tc>
          <w:tcPr>
            <w:tcW w:w="2440" w:type="dxa"/>
            <w:tcBorders/>
            <w:shd w:fill="CCEEFF" w:val="clear"/>
            <w:vAlign w:val="center"/>
          </w:tcPr>
          <w:p>
            <w:pPr>
              <w:pStyle w:val="TableContents"/>
              <w:bidi w:val="0"/>
              <w:spacing w:before="0" w:after="283"/>
              <w:jc w:val="left"/>
              <w:rPr/>
            </w:pPr>
            <w:r>
              <w:rPr/>
              <w:t>Buoy</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950</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right"/>
              <w:rPr/>
            </w:pPr>
            <w:r>
              <w:rPr/>
              <w:t>950</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227</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right"/>
              <w:rPr/>
            </w:pPr>
            <w:r>
              <w:rPr/>
              <w:t>227</w:t>
            </w:r>
          </w:p>
        </w:tc>
        <w:tc>
          <w:tcPr>
            <w:tcW w:w="85" w:type="dxa"/>
            <w:tcBorders/>
            <w:shd w:fill="CCEEFF" w:val="clear"/>
            <w:vAlign w:val="center"/>
          </w:tcPr>
          <w:p>
            <w:pPr>
              <w:pStyle w:val="TableContents"/>
              <w:bidi w:val="0"/>
              <w:spacing w:before="0" w:after="283"/>
              <w:jc w:val="left"/>
              <w:rPr/>
            </w:pPr>
            <w:r>
              <w:rPr/>
              <w:t> </w:t>
            </w:r>
            <w:bookmarkStart w:id="367" w:name="xdx_40B_eus-gaap--Revenues_hsrt--Product"/>
            <w:bookmarkEnd w:id="367"/>
          </w:p>
        </w:tc>
      </w:tr>
      <w:tr>
        <w:trPr/>
        <w:tc>
          <w:tcPr>
            <w:tcW w:w="2440" w:type="dxa"/>
            <w:tcBorders/>
            <w:shd w:fill="FFFFFF" w:val="clear"/>
            <w:vAlign w:val="center"/>
          </w:tcPr>
          <w:p>
            <w:pPr>
              <w:pStyle w:val="TableContents"/>
              <w:bidi w:val="0"/>
              <w:spacing w:before="0" w:after="283"/>
              <w:jc w:val="left"/>
              <w:rPr/>
            </w:pPr>
            <w:r>
              <w:rPr/>
              <w:t>Services</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9" w:type="dxa"/>
            <w:tcBorders>
              <w:bottom w:val="single" w:sz="12" w:space="0" w:color="000000"/>
            </w:tcBorders>
            <w:shd w:fill="FFFFFF" w:val="clear"/>
            <w:tcMar>
              <w:bottom w:w="28" w:type="dxa"/>
            </w:tcMar>
            <w:vAlign w:val="center"/>
          </w:tcPr>
          <w:p>
            <w:pPr>
              <w:pStyle w:val="TableContents"/>
              <w:bidi w:val="0"/>
              <w:spacing w:before="0" w:after="283"/>
              <w:jc w:val="right"/>
              <w:rPr/>
            </w:pPr>
            <w:r>
              <w:rPr/>
              <w:t>482</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33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2" w:type="dxa"/>
            <w:tcBorders>
              <w:bottom w:val="single" w:sz="12" w:space="0" w:color="000000"/>
            </w:tcBorders>
            <w:shd w:fill="FFFFFF" w:val="clear"/>
            <w:tcMar>
              <w:bottom w:w="28" w:type="dxa"/>
            </w:tcMar>
            <w:vAlign w:val="center"/>
          </w:tcPr>
          <w:p>
            <w:pPr>
              <w:pStyle w:val="TableContents"/>
              <w:bidi w:val="0"/>
              <w:spacing w:before="0" w:after="283"/>
              <w:jc w:val="right"/>
              <w:rPr/>
            </w:pPr>
            <w:r>
              <w:rPr/>
              <w:t>482</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2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9" w:type="dxa"/>
            <w:tcBorders>
              <w:bottom w:val="single" w:sz="12" w:space="0" w:color="000000"/>
            </w:tcBorders>
            <w:shd w:fill="FFFFFF" w:val="clear"/>
            <w:tcMar>
              <w:bottom w:w="28" w:type="dxa"/>
            </w:tcMar>
            <w:vAlign w:val="center"/>
          </w:tcPr>
          <w:p>
            <w:pPr>
              <w:pStyle w:val="TableContents"/>
              <w:bidi w:val="0"/>
              <w:spacing w:before="0" w:after="283"/>
              <w:jc w:val="right"/>
              <w:rPr/>
            </w:pPr>
            <w:r>
              <w:rPr/>
              <w:t>644</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33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2" w:type="dxa"/>
            <w:tcBorders>
              <w:bottom w:val="single" w:sz="12" w:space="0" w:color="000000"/>
            </w:tcBorders>
            <w:shd w:fill="FFFFFF" w:val="clear"/>
            <w:tcMar>
              <w:bottom w:w="28" w:type="dxa"/>
            </w:tcMar>
            <w:vAlign w:val="center"/>
          </w:tcPr>
          <w:p>
            <w:pPr>
              <w:pStyle w:val="TableContents"/>
              <w:bidi w:val="0"/>
              <w:spacing w:before="0" w:after="283"/>
              <w:jc w:val="right"/>
              <w:rPr/>
            </w:pPr>
            <w:r>
              <w:rPr/>
              <w:t>644</w:t>
            </w:r>
          </w:p>
        </w:tc>
        <w:tc>
          <w:tcPr>
            <w:tcW w:w="85" w:type="dxa"/>
            <w:tcBorders/>
            <w:shd w:fill="FFFFFF" w:val="clear"/>
            <w:vAlign w:val="center"/>
          </w:tcPr>
          <w:p>
            <w:pPr>
              <w:pStyle w:val="TableContents"/>
              <w:bidi w:val="0"/>
              <w:spacing w:before="0" w:after="283"/>
              <w:jc w:val="left"/>
              <w:rPr/>
            </w:pPr>
            <w:r>
              <w:rPr/>
              <w:t> </w:t>
            </w:r>
            <w:bookmarkStart w:id="368" w:name="xdx_408_eus-gaap--Revenues_hsrt--Product"/>
            <w:bookmarkEnd w:id="368"/>
          </w:p>
        </w:tc>
      </w:tr>
      <w:tr>
        <w:trPr/>
        <w:tc>
          <w:tcPr>
            <w:tcW w:w="244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w:t>
            </w:r>
          </w:p>
        </w:tc>
        <w:tc>
          <w:tcPr>
            <w:tcW w:w="999" w:type="dxa"/>
            <w:tcBorders/>
            <w:shd w:fill="CCEEFF" w:val="clear"/>
            <w:vAlign w:val="center"/>
          </w:tcPr>
          <w:p>
            <w:pPr>
              <w:pStyle w:val="TableContents"/>
              <w:bidi w:val="0"/>
              <w:spacing w:before="0" w:after="283"/>
              <w:jc w:val="right"/>
              <w:rPr/>
            </w:pPr>
            <w:r>
              <w:rPr/>
              <w:t>3,057</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w:t>
            </w:r>
          </w:p>
        </w:tc>
        <w:tc>
          <w:tcPr>
            <w:tcW w:w="909" w:type="dxa"/>
            <w:tcBorders/>
            <w:shd w:fill="CCEEFF" w:val="clear"/>
            <w:vAlign w:val="center"/>
          </w:tcPr>
          <w:p>
            <w:pPr>
              <w:pStyle w:val="TableContents"/>
              <w:bidi w:val="0"/>
              <w:spacing w:before="0" w:after="283"/>
              <w:jc w:val="right"/>
              <w:rPr/>
            </w:pPr>
            <w:r>
              <w:rPr/>
              <w:t>896</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752" w:type="dxa"/>
            <w:tcBorders/>
            <w:shd w:fill="CCEEFF" w:val="clear"/>
            <w:vAlign w:val="center"/>
          </w:tcPr>
          <w:p>
            <w:pPr>
              <w:pStyle w:val="TableContents"/>
              <w:bidi w:val="0"/>
              <w:spacing w:before="0" w:after="283"/>
              <w:jc w:val="right"/>
              <w:rPr/>
            </w:pPr>
            <w:r>
              <w:rPr/>
              <w:t>3,953</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w:t>
            </w:r>
          </w:p>
        </w:tc>
        <w:tc>
          <w:tcPr>
            <w:tcW w:w="999" w:type="dxa"/>
            <w:tcBorders/>
            <w:shd w:fill="CCEEFF" w:val="clear"/>
            <w:vAlign w:val="center"/>
          </w:tcPr>
          <w:p>
            <w:pPr>
              <w:pStyle w:val="TableContents"/>
              <w:bidi w:val="0"/>
              <w:spacing w:before="0" w:after="283"/>
              <w:jc w:val="right"/>
              <w:rPr/>
            </w:pPr>
            <w:r>
              <w:rPr/>
              <w:t>1,562</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w:t>
            </w:r>
          </w:p>
        </w:tc>
        <w:tc>
          <w:tcPr>
            <w:tcW w:w="909" w:type="dxa"/>
            <w:tcBorders/>
            <w:shd w:fill="CCEEFF" w:val="clear"/>
            <w:vAlign w:val="center"/>
          </w:tcPr>
          <w:p>
            <w:pPr>
              <w:pStyle w:val="TableContents"/>
              <w:bidi w:val="0"/>
              <w:spacing w:before="0" w:after="283"/>
              <w:jc w:val="right"/>
              <w:rPr/>
            </w:pPr>
            <w:r>
              <w:rPr/>
              <w:t>190</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752" w:type="dxa"/>
            <w:tcBorders/>
            <w:shd w:fill="CCEEFF" w:val="clear"/>
            <w:vAlign w:val="center"/>
          </w:tcPr>
          <w:p>
            <w:pPr>
              <w:pStyle w:val="TableContents"/>
              <w:bidi w:val="0"/>
              <w:spacing w:before="0" w:after="283"/>
              <w:jc w:val="right"/>
              <w:rPr/>
            </w:pPr>
            <w:r>
              <w:rPr/>
              <w:t>1,752</w:t>
            </w:r>
          </w:p>
        </w:tc>
        <w:tc>
          <w:tcPr>
            <w:tcW w:w="85" w:type="dxa"/>
            <w:tcBorders/>
            <w:shd w:fill="CCEEFF" w:val="clear"/>
            <w:vAlign w:val="center"/>
          </w:tcPr>
          <w:p>
            <w:pPr>
              <w:pStyle w:val="TableContents"/>
              <w:bidi w:val="0"/>
              <w:spacing w:before="0" w:after="283"/>
              <w:jc w:val="left"/>
              <w:rPr/>
            </w:pPr>
            <w:r>
              <w:rPr/>
              <w:t> </w:t>
            </w:r>
          </w:p>
        </w:tc>
      </w:tr>
      <w:tr>
        <w:trPr/>
        <w:tc>
          <w:tcPr>
            <w:tcW w:w="2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jc w:val="left"/>
              <w:rPr/>
            </w:pPr>
            <w:r>
              <w:rPr/>
              <w:t> </w:t>
            </w:r>
          </w:p>
        </w:tc>
      </w:tr>
      <w:tr>
        <w:trPr/>
        <w:tc>
          <w:tcPr>
            <w:tcW w:w="2440" w:type="dxa"/>
            <w:tcBorders/>
            <w:shd w:fill="CCEEFF" w:val="clear"/>
            <w:vAlign w:val="center"/>
          </w:tcPr>
          <w:p>
            <w:pPr>
              <w:pStyle w:val="TableContents"/>
              <w:bidi w:val="0"/>
              <w:spacing w:before="0" w:after="283"/>
              <w:jc w:val="left"/>
              <w:rPr>
                <w:b/>
              </w:rPr>
            </w:pPr>
            <w:r>
              <w:rPr>
                <w:b/>
              </w:rPr>
              <w:t>Region:</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left"/>
              <w:rPr/>
            </w:pPr>
            <w:r>
              <w:rPr/>
              <w:t> </w:t>
            </w:r>
            <w:bookmarkStart w:id="369" w:name="xdx_402_eus-gaap--Revenues_hsrt--Stateme"/>
            <w:bookmarkEnd w:id="369"/>
          </w:p>
        </w:tc>
      </w:tr>
      <w:tr>
        <w:trPr/>
        <w:tc>
          <w:tcPr>
            <w:tcW w:w="2440" w:type="dxa"/>
            <w:tcBorders/>
            <w:shd w:fill="FFFFFF" w:val="clear"/>
            <w:vAlign w:val="center"/>
          </w:tcPr>
          <w:p>
            <w:pPr>
              <w:pStyle w:val="TableContents"/>
              <w:bidi w:val="0"/>
              <w:spacing w:before="0" w:after="283"/>
              <w:jc w:val="left"/>
              <w:rPr/>
            </w:pPr>
            <w:r>
              <w:rPr/>
              <w:t>North and South America</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w:t>
            </w:r>
          </w:p>
        </w:tc>
        <w:tc>
          <w:tcPr>
            <w:tcW w:w="999" w:type="dxa"/>
            <w:tcBorders/>
            <w:shd w:fill="FFFFFF" w:val="clear"/>
            <w:vAlign w:val="center"/>
          </w:tcPr>
          <w:p>
            <w:pPr>
              <w:pStyle w:val="TableContents"/>
              <w:bidi w:val="0"/>
              <w:spacing w:before="0" w:after="283"/>
              <w:jc w:val="right"/>
              <w:rPr/>
            </w:pPr>
            <w:r>
              <w:rPr/>
              <w:t>3,057</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w:t>
            </w:r>
          </w:p>
        </w:tc>
        <w:tc>
          <w:tcPr>
            <w:tcW w:w="909" w:type="dxa"/>
            <w:tcBorders/>
            <w:shd w:fill="FFFFFF" w:val="clear"/>
            <w:vAlign w:val="center"/>
          </w:tcPr>
          <w:p>
            <w:pPr>
              <w:pStyle w:val="TableContents"/>
              <w:bidi w:val="0"/>
              <w:spacing w:before="0" w:after="283"/>
              <w:jc w:val="right"/>
              <w:rPr/>
            </w:pPr>
            <w:r>
              <w:rPr/>
              <w:t>896</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w:t>
            </w:r>
          </w:p>
        </w:tc>
        <w:tc>
          <w:tcPr>
            <w:tcW w:w="752" w:type="dxa"/>
            <w:tcBorders/>
            <w:shd w:fill="FFFFFF" w:val="clear"/>
            <w:vAlign w:val="center"/>
          </w:tcPr>
          <w:p>
            <w:pPr>
              <w:pStyle w:val="TableContents"/>
              <w:bidi w:val="0"/>
              <w:spacing w:before="0" w:after="283"/>
              <w:jc w:val="right"/>
              <w:rPr/>
            </w:pPr>
            <w:r>
              <w:rPr/>
              <w:t>3,953</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w:t>
            </w:r>
          </w:p>
        </w:tc>
        <w:tc>
          <w:tcPr>
            <w:tcW w:w="999" w:type="dxa"/>
            <w:tcBorders/>
            <w:shd w:fill="FFFFFF" w:val="clear"/>
            <w:vAlign w:val="center"/>
          </w:tcPr>
          <w:p>
            <w:pPr>
              <w:pStyle w:val="TableContents"/>
              <w:bidi w:val="0"/>
              <w:spacing w:before="0" w:after="283"/>
              <w:jc w:val="right"/>
              <w:rPr/>
            </w:pPr>
            <w:r>
              <w:rPr/>
              <w:t>1,311</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w:t>
            </w:r>
          </w:p>
        </w:tc>
        <w:tc>
          <w:tcPr>
            <w:tcW w:w="909" w:type="dxa"/>
            <w:tcBorders/>
            <w:shd w:fill="FFFFFF" w:val="clear"/>
            <w:vAlign w:val="center"/>
          </w:tcPr>
          <w:p>
            <w:pPr>
              <w:pStyle w:val="TableContents"/>
              <w:bidi w:val="0"/>
              <w:spacing w:before="0" w:after="283"/>
              <w:jc w:val="right"/>
              <w:rPr/>
            </w:pPr>
            <w:r>
              <w:rPr/>
              <w:t>190</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w:t>
            </w:r>
          </w:p>
        </w:tc>
        <w:tc>
          <w:tcPr>
            <w:tcW w:w="752" w:type="dxa"/>
            <w:tcBorders/>
            <w:shd w:fill="FFFFFF" w:val="clear"/>
            <w:vAlign w:val="center"/>
          </w:tcPr>
          <w:p>
            <w:pPr>
              <w:pStyle w:val="TableContents"/>
              <w:bidi w:val="0"/>
              <w:spacing w:before="0" w:after="283"/>
              <w:jc w:val="right"/>
              <w:rPr/>
            </w:pPr>
            <w:r>
              <w:rPr/>
              <w:t>1,501</w:t>
            </w:r>
          </w:p>
        </w:tc>
        <w:tc>
          <w:tcPr>
            <w:tcW w:w="85" w:type="dxa"/>
            <w:tcBorders/>
            <w:shd w:fill="FFFFFF" w:val="clear"/>
            <w:vAlign w:val="center"/>
          </w:tcPr>
          <w:p>
            <w:pPr>
              <w:pStyle w:val="TableContents"/>
              <w:bidi w:val="0"/>
              <w:spacing w:before="0" w:after="283"/>
              <w:jc w:val="left"/>
              <w:rPr/>
            </w:pPr>
            <w:r>
              <w:rPr/>
              <w:t> </w:t>
            </w:r>
            <w:bookmarkStart w:id="370" w:name="xdx_404_eus-gaap--Revenues_hsrt--Stateme"/>
            <w:bookmarkEnd w:id="370"/>
          </w:p>
        </w:tc>
      </w:tr>
      <w:tr>
        <w:trPr/>
        <w:tc>
          <w:tcPr>
            <w:tcW w:w="2440" w:type="dxa"/>
            <w:tcBorders/>
            <w:shd w:fill="CCEEFF" w:val="clear"/>
            <w:vAlign w:val="center"/>
          </w:tcPr>
          <w:p>
            <w:pPr>
              <w:pStyle w:val="TableContents"/>
              <w:bidi w:val="0"/>
              <w:spacing w:before="0" w:after="283"/>
              <w:jc w:val="left"/>
              <w:rPr/>
            </w:pPr>
            <w:r>
              <w:rPr/>
              <w:t>Asia and Australia</w:t>
            </w:r>
          </w:p>
        </w:tc>
        <w:tc>
          <w:tcPr>
            <w:tcW w:w="60" w:type="dxa"/>
            <w:tcBorders/>
            <w:shd w:fill="CCEEFF" w:val="clear"/>
            <w:vAlign w:val="center"/>
          </w:tcPr>
          <w:p>
            <w:pPr>
              <w:pStyle w:val="TableContents"/>
              <w:bidi w:val="0"/>
              <w:spacing w:before="0" w:after="283"/>
              <w:jc w:val="left"/>
              <w:rPr/>
            </w:pPr>
            <w:r>
              <w:rPr/>
              <w:t> </w:t>
            </w:r>
          </w:p>
        </w:tc>
        <w:tc>
          <w:tcPr>
            <w:tcW w:w="2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33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2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9" w:type="dxa"/>
            <w:tcBorders>
              <w:bottom w:val="single" w:sz="12" w:space="0" w:color="000000"/>
            </w:tcBorders>
            <w:shd w:fill="CCEEFF" w:val="clear"/>
            <w:tcMar>
              <w:bottom w:w="28" w:type="dxa"/>
            </w:tcMar>
            <w:vAlign w:val="center"/>
          </w:tcPr>
          <w:p>
            <w:pPr>
              <w:pStyle w:val="TableContents"/>
              <w:bidi w:val="0"/>
              <w:spacing w:before="0" w:after="283"/>
              <w:jc w:val="right"/>
              <w:rPr/>
            </w:pPr>
            <w:r>
              <w:rPr/>
              <w:t>251</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33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2" w:type="dxa"/>
            <w:tcBorders>
              <w:bottom w:val="single" w:sz="12" w:space="0" w:color="000000"/>
            </w:tcBorders>
            <w:shd w:fill="CCEEFF" w:val="clear"/>
            <w:tcMar>
              <w:bottom w:w="28" w:type="dxa"/>
            </w:tcMar>
            <w:vAlign w:val="center"/>
          </w:tcPr>
          <w:p>
            <w:pPr>
              <w:pStyle w:val="TableContents"/>
              <w:bidi w:val="0"/>
              <w:spacing w:before="0" w:after="283"/>
              <w:jc w:val="right"/>
              <w:rPr/>
            </w:pPr>
            <w:r>
              <w:rPr/>
              <w:t>251</w:t>
            </w:r>
          </w:p>
        </w:tc>
        <w:tc>
          <w:tcPr>
            <w:tcW w:w="85" w:type="dxa"/>
            <w:tcBorders/>
            <w:shd w:fill="CCEEFF" w:val="clear"/>
            <w:vAlign w:val="center"/>
          </w:tcPr>
          <w:p>
            <w:pPr>
              <w:pStyle w:val="TableContents"/>
              <w:bidi w:val="0"/>
              <w:spacing w:before="0" w:after="283"/>
              <w:jc w:val="left"/>
              <w:rPr/>
            </w:pPr>
            <w:r>
              <w:rPr/>
              <w:t> </w:t>
            </w:r>
            <w:bookmarkStart w:id="371" w:name="xdx_40B_eus-gaap--Revenues_hsrt--Stateme"/>
            <w:bookmarkEnd w:id="371"/>
          </w:p>
        </w:tc>
      </w:tr>
      <w:tr>
        <w:trPr/>
        <w:tc>
          <w:tcPr>
            <w:tcW w:w="244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w:t>
            </w:r>
          </w:p>
        </w:tc>
        <w:tc>
          <w:tcPr>
            <w:tcW w:w="999" w:type="dxa"/>
            <w:tcBorders/>
            <w:shd w:fill="FFFFFF" w:val="clear"/>
            <w:vAlign w:val="center"/>
          </w:tcPr>
          <w:p>
            <w:pPr>
              <w:pStyle w:val="TableContents"/>
              <w:bidi w:val="0"/>
              <w:spacing w:before="0" w:after="283"/>
              <w:jc w:val="right"/>
              <w:rPr/>
            </w:pPr>
            <w:r>
              <w:rPr/>
              <w:t>3,057</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w:t>
            </w:r>
          </w:p>
        </w:tc>
        <w:tc>
          <w:tcPr>
            <w:tcW w:w="909" w:type="dxa"/>
            <w:tcBorders/>
            <w:shd w:fill="FFFFFF" w:val="clear"/>
            <w:vAlign w:val="center"/>
          </w:tcPr>
          <w:p>
            <w:pPr>
              <w:pStyle w:val="TableContents"/>
              <w:bidi w:val="0"/>
              <w:spacing w:before="0" w:after="283"/>
              <w:jc w:val="right"/>
              <w:rPr/>
            </w:pPr>
            <w:r>
              <w:rPr/>
              <w:t>896</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w:t>
            </w:r>
          </w:p>
        </w:tc>
        <w:tc>
          <w:tcPr>
            <w:tcW w:w="752" w:type="dxa"/>
            <w:tcBorders/>
            <w:shd w:fill="FFFFFF" w:val="clear"/>
            <w:vAlign w:val="center"/>
          </w:tcPr>
          <w:p>
            <w:pPr>
              <w:pStyle w:val="TableContents"/>
              <w:bidi w:val="0"/>
              <w:spacing w:before="0" w:after="283"/>
              <w:jc w:val="right"/>
              <w:rPr/>
            </w:pPr>
            <w:r>
              <w:rPr/>
              <w:t>3,953</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w:t>
            </w:r>
          </w:p>
        </w:tc>
        <w:tc>
          <w:tcPr>
            <w:tcW w:w="999" w:type="dxa"/>
            <w:tcBorders/>
            <w:shd w:fill="FFFFFF" w:val="clear"/>
            <w:vAlign w:val="center"/>
          </w:tcPr>
          <w:p>
            <w:pPr>
              <w:pStyle w:val="TableContents"/>
              <w:bidi w:val="0"/>
              <w:spacing w:before="0" w:after="283"/>
              <w:jc w:val="right"/>
              <w:rPr/>
            </w:pPr>
            <w:r>
              <w:rPr/>
              <w:t>1,562</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w:t>
            </w:r>
          </w:p>
        </w:tc>
        <w:tc>
          <w:tcPr>
            <w:tcW w:w="909" w:type="dxa"/>
            <w:tcBorders/>
            <w:shd w:fill="FFFFFF" w:val="clear"/>
            <w:vAlign w:val="center"/>
          </w:tcPr>
          <w:p>
            <w:pPr>
              <w:pStyle w:val="TableContents"/>
              <w:bidi w:val="0"/>
              <w:spacing w:before="0" w:after="283"/>
              <w:jc w:val="right"/>
              <w:rPr/>
            </w:pPr>
            <w:r>
              <w:rPr/>
              <w:t>190</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w:t>
            </w:r>
          </w:p>
        </w:tc>
        <w:tc>
          <w:tcPr>
            <w:tcW w:w="752" w:type="dxa"/>
            <w:tcBorders/>
            <w:shd w:fill="FFFFFF" w:val="clear"/>
            <w:vAlign w:val="center"/>
          </w:tcPr>
          <w:p>
            <w:pPr>
              <w:pStyle w:val="TableContents"/>
              <w:bidi w:val="0"/>
              <w:spacing w:before="0" w:after="283"/>
              <w:jc w:val="right"/>
              <w:rPr/>
            </w:pPr>
            <w:r>
              <w:rPr/>
              <w:t>1,752</w:t>
            </w:r>
          </w:p>
        </w:tc>
        <w:tc>
          <w:tcPr>
            <w:tcW w:w="8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66"/>
        <w:gridCol w:w="60"/>
        <w:gridCol w:w="252"/>
        <w:gridCol w:w="1011"/>
        <w:gridCol w:w="82"/>
        <w:gridCol w:w="82"/>
        <w:gridCol w:w="335"/>
        <w:gridCol w:w="914"/>
        <w:gridCol w:w="82"/>
        <w:gridCol w:w="82"/>
        <w:gridCol w:w="191"/>
        <w:gridCol w:w="767"/>
        <w:gridCol w:w="60"/>
        <w:gridCol w:w="60"/>
        <w:gridCol w:w="353"/>
        <w:gridCol w:w="961"/>
        <w:gridCol w:w="85"/>
        <w:gridCol w:w="85"/>
        <w:gridCol w:w="353"/>
        <w:gridCol w:w="961"/>
        <w:gridCol w:w="85"/>
        <w:gridCol w:w="85"/>
        <w:gridCol w:w="215"/>
        <w:gridCol w:w="590"/>
        <w:gridCol w:w="88"/>
      </w:tblGrid>
      <w:tr>
        <w:trPr/>
        <w:tc>
          <w:tcPr>
            <w:tcW w:w="236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72" w:name="xdx_49F_20231101__20240131__us-gaap--Adj"/>
            <w:bookmarkEnd w:id="372"/>
          </w:p>
        </w:tc>
        <w:tc>
          <w:tcPr>
            <w:tcW w:w="126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ASC 606</w:t>
            </w:r>
          </w:p>
        </w:tc>
        <w:tc>
          <w:tcPr>
            <w:tcW w:w="82" w:type="dxa"/>
            <w:tcBorders/>
            <w:vAlign w:val="center"/>
          </w:tcPr>
          <w:p>
            <w:pPr>
              <w:pStyle w:val="TableContents"/>
              <w:bidi w:val="0"/>
              <w:spacing w:before="0" w:after="283"/>
              <w:jc w:val="center"/>
              <w:rPr/>
            </w:pPr>
            <w:r>
              <w:rPr/>
              <w:t> </w:t>
            </w:r>
          </w:p>
        </w:tc>
        <w:tc>
          <w:tcPr>
            <w:tcW w:w="82" w:type="dxa"/>
            <w:tcBorders/>
            <w:vAlign w:val="center"/>
          </w:tcPr>
          <w:p>
            <w:pPr>
              <w:pStyle w:val="TableContents"/>
              <w:bidi w:val="0"/>
              <w:spacing w:before="0" w:after="283"/>
              <w:jc w:val="center"/>
              <w:rPr/>
            </w:pPr>
            <w:r>
              <w:rPr/>
              <w:t> </w:t>
            </w:r>
            <w:bookmarkStart w:id="373" w:name="xdx_49C_20231101__20240131__us-gaap--Adj"/>
            <w:bookmarkEnd w:id="373"/>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ASC 842</w:t>
            </w:r>
          </w:p>
        </w:tc>
        <w:tc>
          <w:tcPr>
            <w:tcW w:w="82" w:type="dxa"/>
            <w:tcBorders/>
            <w:vAlign w:val="center"/>
          </w:tcPr>
          <w:p>
            <w:pPr>
              <w:pStyle w:val="TableContents"/>
              <w:bidi w:val="0"/>
              <w:spacing w:before="0" w:after="283"/>
              <w:jc w:val="center"/>
              <w:rPr/>
            </w:pPr>
            <w:r>
              <w:rPr/>
              <w:t> </w:t>
            </w:r>
          </w:p>
        </w:tc>
        <w:tc>
          <w:tcPr>
            <w:tcW w:w="82" w:type="dxa"/>
            <w:tcBorders/>
            <w:vAlign w:val="center"/>
          </w:tcPr>
          <w:p>
            <w:pPr>
              <w:pStyle w:val="TableContents"/>
              <w:bidi w:val="0"/>
              <w:spacing w:before="0" w:after="283"/>
              <w:jc w:val="center"/>
              <w:rPr/>
            </w:pPr>
            <w:r>
              <w:rPr/>
              <w:t> </w:t>
            </w:r>
            <w:bookmarkStart w:id="374" w:name="xdx_493_20231101__20240131_z4mgYJTWFrP2"/>
            <w:bookmarkEnd w:id="374"/>
          </w:p>
        </w:tc>
        <w:tc>
          <w:tcPr>
            <w:tcW w:w="95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center"/>
              <w:rPr/>
            </w:pPr>
            <w:r>
              <w:rPr/>
              <w:t> </w:t>
            </w:r>
          </w:p>
        </w:tc>
        <w:tc>
          <w:tcPr>
            <w:tcW w:w="60" w:type="dxa"/>
            <w:tcBorders>
              <w:left w:val="single" w:sz="12" w:space="0" w:color="000000"/>
            </w:tcBorders>
            <w:tcMar>
              <w:left w:w="28" w:type="dxa"/>
            </w:tcMar>
            <w:vAlign w:val="center"/>
          </w:tcPr>
          <w:p>
            <w:pPr>
              <w:pStyle w:val="TableContents"/>
              <w:bidi w:val="0"/>
              <w:spacing w:before="0" w:after="283"/>
              <w:jc w:val="center"/>
              <w:rPr/>
            </w:pPr>
            <w:r>
              <w:rPr/>
              <w:t> </w:t>
            </w:r>
            <w:bookmarkStart w:id="375" w:name="xdx_49D_20221101__20230131__us-gaap--Adj"/>
            <w:bookmarkEnd w:id="375"/>
          </w:p>
        </w:tc>
        <w:tc>
          <w:tcPr>
            <w:tcW w:w="13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ASC 606</w:t>
            </w:r>
          </w:p>
        </w:tc>
        <w:tc>
          <w:tcPr>
            <w:tcW w:w="85" w:type="dxa"/>
            <w:tcBorders/>
            <w:vAlign w:val="center"/>
          </w:tcPr>
          <w:p>
            <w:pPr>
              <w:pStyle w:val="TableContents"/>
              <w:bidi w:val="0"/>
              <w:spacing w:before="0" w:after="283"/>
              <w:jc w:val="center"/>
              <w:rPr/>
            </w:pPr>
            <w:r>
              <w:rPr/>
              <w:t> </w:t>
            </w:r>
          </w:p>
        </w:tc>
        <w:tc>
          <w:tcPr>
            <w:tcW w:w="85" w:type="dxa"/>
            <w:tcBorders/>
            <w:vAlign w:val="center"/>
          </w:tcPr>
          <w:p>
            <w:pPr>
              <w:pStyle w:val="TableContents"/>
              <w:bidi w:val="0"/>
              <w:spacing w:before="0" w:after="283"/>
              <w:jc w:val="center"/>
              <w:rPr/>
            </w:pPr>
            <w:r>
              <w:rPr/>
              <w:t> </w:t>
            </w:r>
            <w:bookmarkStart w:id="376" w:name="xdx_495_20221101__20230131__us-gaap--Adj"/>
            <w:bookmarkEnd w:id="376"/>
          </w:p>
        </w:tc>
        <w:tc>
          <w:tcPr>
            <w:tcW w:w="13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ASC 842</w:t>
            </w:r>
          </w:p>
        </w:tc>
        <w:tc>
          <w:tcPr>
            <w:tcW w:w="85" w:type="dxa"/>
            <w:tcBorders/>
            <w:vAlign w:val="center"/>
          </w:tcPr>
          <w:p>
            <w:pPr>
              <w:pStyle w:val="TableContents"/>
              <w:bidi w:val="0"/>
              <w:spacing w:before="0" w:after="283"/>
              <w:jc w:val="center"/>
              <w:rPr/>
            </w:pPr>
            <w:r>
              <w:rPr/>
              <w:t> </w:t>
            </w:r>
          </w:p>
        </w:tc>
        <w:tc>
          <w:tcPr>
            <w:tcW w:w="85" w:type="dxa"/>
            <w:tcBorders/>
            <w:vAlign w:val="center"/>
          </w:tcPr>
          <w:p>
            <w:pPr>
              <w:pStyle w:val="TableContents"/>
              <w:bidi w:val="0"/>
              <w:spacing w:before="0" w:after="283"/>
              <w:jc w:val="center"/>
              <w:rPr/>
            </w:pPr>
            <w:r>
              <w:rPr/>
              <w:t> </w:t>
            </w:r>
            <w:bookmarkStart w:id="377" w:name="xdx_49D_20221101__20230131_zRAblpGTaDI2"/>
            <w:bookmarkEnd w:id="377"/>
          </w:p>
        </w:tc>
        <w:tc>
          <w:tcPr>
            <w:tcW w:w="8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88" w:type="dxa"/>
            <w:tcBorders/>
            <w:vAlign w:val="center"/>
          </w:tcPr>
          <w:p>
            <w:pPr>
              <w:pStyle w:val="TableContents"/>
              <w:bidi w:val="0"/>
              <w:spacing w:before="0" w:after="283"/>
              <w:jc w:val="center"/>
              <w:rPr/>
            </w:pPr>
            <w:r>
              <w:rPr/>
              <w:t> </w:t>
            </w:r>
          </w:p>
        </w:tc>
      </w:tr>
      <w:tr>
        <w:trPr/>
        <w:tc>
          <w:tcPr>
            <w:tcW w:w="236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798"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Three months ended January 31, 2024</w:t>
            </w:r>
          </w:p>
        </w:tc>
        <w:tc>
          <w:tcPr>
            <w:tcW w:w="60" w:type="dxa"/>
            <w:tcBorders/>
            <w:vAlign w:val="center"/>
          </w:tcPr>
          <w:p>
            <w:pPr>
              <w:pStyle w:val="TableContents"/>
              <w:bidi w:val="0"/>
              <w:spacing w:before="0" w:after="283"/>
              <w:jc w:val="center"/>
              <w:rPr/>
            </w:pPr>
            <w:r>
              <w:rPr/>
              <w:t> </w:t>
            </w:r>
          </w:p>
        </w:tc>
        <w:tc>
          <w:tcPr>
            <w:tcW w:w="60" w:type="dxa"/>
            <w:tcBorders>
              <w:left w:val="single" w:sz="12" w:space="0" w:color="000000"/>
            </w:tcBorders>
            <w:tcMar>
              <w:left w:w="28" w:type="dxa"/>
            </w:tcMar>
            <w:vAlign w:val="center"/>
          </w:tcPr>
          <w:p>
            <w:pPr>
              <w:pStyle w:val="TableContents"/>
              <w:bidi w:val="0"/>
              <w:spacing w:before="0" w:after="283"/>
              <w:jc w:val="center"/>
              <w:rPr/>
            </w:pPr>
            <w:r>
              <w:rPr/>
              <w:t> </w:t>
            </w:r>
          </w:p>
        </w:tc>
        <w:tc>
          <w:tcPr>
            <w:tcW w:w="3773"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Three months ended January 31, 2023</w:t>
            </w:r>
          </w:p>
        </w:tc>
        <w:tc>
          <w:tcPr>
            <w:tcW w:w="88" w:type="dxa"/>
            <w:tcBorders/>
            <w:vAlign w:val="center"/>
          </w:tcPr>
          <w:p>
            <w:pPr>
              <w:pStyle w:val="TableContents"/>
              <w:bidi w:val="0"/>
              <w:spacing w:before="0" w:after="283"/>
              <w:jc w:val="center"/>
              <w:rPr/>
            </w:pPr>
            <w:r>
              <w:rPr/>
              <w:t> </w:t>
            </w:r>
          </w:p>
        </w:tc>
      </w:tr>
      <w:tr>
        <w:trPr/>
        <w:tc>
          <w:tcPr>
            <w:tcW w:w="236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6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ASC 606</w:t>
            </w:r>
          </w:p>
        </w:tc>
        <w:tc>
          <w:tcPr>
            <w:tcW w:w="82" w:type="dxa"/>
            <w:tcBorders/>
            <w:vAlign w:val="center"/>
          </w:tcPr>
          <w:p>
            <w:pPr>
              <w:pStyle w:val="TableContents"/>
              <w:bidi w:val="0"/>
              <w:spacing w:before="0" w:after="283"/>
              <w:jc w:val="center"/>
              <w:rPr/>
            </w:pPr>
            <w:r>
              <w:rPr/>
              <w:t> </w:t>
            </w:r>
          </w:p>
        </w:tc>
        <w:tc>
          <w:tcPr>
            <w:tcW w:w="82" w:type="dxa"/>
            <w:tcBorders/>
            <w:vAlign w:val="center"/>
          </w:tcPr>
          <w:p>
            <w:pPr>
              <w:pStyle w:val="TableContents"/>
              <w:bidi w:val="0"/>
              <w:spacing w:before="0" w:after="283"/>
              <w:jc w:val="center"/>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ASC 842</w:t>
            </w:r>
          </w:p>
        </w:tc>
        <w:tc>
          <w:tcPr>
            <w:tcW w:w="82" w:type="dxa"/>
            <w:tcBorders/>
            <w:vAlign w:val="center"/>
          </w:tcPr>
          <w:p>
            <w:pPr>
              <w:pStyle w:val="TableContents"/>
              <w:bidi w:val="0"/>
              <w:spacing w:before="0" w:after="283"/>
              <w:jc w:val="center"/>
              <w:rPr/>
            </w:pPr>
            <w:r>
              <w:rPr/>
              <w:t> </w:t>
            </w:r>
          </w:p>
        </w:tc>
        <w:tc>
          <w:tcPr>
            <w:tcW w:w="82" w:type="dxa"/>
            <w:tcBorders/>
            <w:vAlign w:val="center"/>
          </w:tcPr>
          <w:p>
            <w:pPr>
              <w:pStyle w:val="TableContents"/>
              <w:bidi w:val="0"/>
              <w:spacing w:before="0" w:after="283"/>
              <w:jc w:val="center"/>
              <w:rPr/>
            </w:pPr>
            <w:r>
              <w:rPr/>
              <w:t> </w:t>
            </w:r>
          </w:p>
        </w:tc>
        <w:tc>
          <w:tcPr>
            <w:tcW w:w="95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center"/>
              <w:rPr/>
            </w:pPr>
            <w:r>
              <w:rPr/>
              <w:t> </w:t>
            </w:r>
          </w:p>
        </w:tc>
        <w:tc>
          <w:tcPr>
            <w:tcW w:w="60" w:type="dxa"/>
            <w:tcBorders>
              <w:left w:val="single" w:sz="12" w:space="0" w:color="000000"/>
            </w:tcBorders>
            <w:tcMar>
              <w:left w:w="28" w:type="dxa"/>
            </w:tcMar>
            <w:vAlign w:val="center"/>
          </w:tcPr>
          <w:p>
            <w:pPr>
              <w:pStyle w:val="TableContents"/>
              <w:bidi w:val="0"/>
              <w:spacing w:before="0" w:after="283"/>
              <w:jc w:val="center"/>
              <w:rPr/>
            </w:pPr>
            <w:r>
              <w:rPr/>
              <w:t> </w:t>
            </w:r>
          </w:p>
        </w:tc>
        <w:tc>
          <w:tcPr>
            <w:tcW w:w="13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ASC 606</w:t>
            </w:r>
          </w:p>
        </w:tc>
        <w:tc>
          <w:tcPr>
            <w:tcW w:w="85" w:type="dxa"/>
            <w:tcBorders/>
            <w:vAlign w:val="center"/>
          </w:tcPr>
          <w:p>
            <w:pPr>
              <w:pStyle w:val="TableContents"/>
              <w:bidi w:val="0"/>
              <w:spacing w:before="0" w:after="283"/>
              <w:jc w:val="center"/>
              <w:rPr/>
            </w:pPr>
            <w:r>
              <w:rPr/>
              <w:t> </w:t>
            </w:r>
          </w:p>
        </w:tc>
        <w:tc>
          <w:tcPr>
            <w:tcW w:w="85" w:type="dxa"/>
            <w:tcBorders/>
            <w:vAlign w:val="center"/>
          </w:tcPr>
          <w:p>
            <w:pPr>
              <w:pStyle w:val="TableContents"/>
              <w:bidi w:val="0"/>
              <w:spacing w:before="0" w:after="283"/>
              <w:jc w:val="center"/>
              <w:rPr/>
            </w:pPr>
            <w:r>
              <w:rPr/>
              <w:t> </w:t>
            </w:r>
          </w:p>
        </w:tc>
        <w:tc>
          <w:tcPr>
            <w:tcW w:w="13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ASC 842</w:t>
            </w:r>
          </w:p>
        </w:tc>
        <w:tc>
          <w:tcPr>
            <w:tcW w:w="85" w:type="dxa"/>
            <w:tcBorders/>
            <w:vAlign w:val="center"/>
          </w:tcPr>
          <w:p>
            <w:pPr>
              <w:pStyle w:val="TableContents"/>
              <w:bidi w:val="0"/>
              <w:spacing w:before="0" w:after="283"/>
              <w:jc w:val="center"/>
              <w:rPr/>
            </w:pPr>
            <w:r>
              <w:rPr/>
              <w:t> </w:t>
            </w:r>
          </w:p>
        </w:tc>
        <w:tc>
          <w:tcPr>
            <w:tcW w:w="85" w:type="dxa"/>
            <w:tcBorders/>
            <w:vAlign w:val="center"/>
          </w:tcPr>
          <w:p>
            <w:pPr>
              <w:pStyle w:val="TableContents"/>
              <w:bidi w:val="0"/>
              <w:spacing w:before="0" w:after="283"/>
              <w:jc w:val="center"/>
              <w:rPr/>
            </w:pPr>
            <w:r>
              <w:rPr/>
              <w:t> </w:t>
            </w:r>
          </w:p>
        </w:tc>
        <w:tc>
          <w:tcPr>
            <w:tcW w:w="8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88" w:type="dxa"/>
            <w:tcBorders/>
            <w:vAlign w:val="center"/>
          </w:tcPr>
          <w:p>
            <w:pPr>
              <w:pStyle w:val="TableContents"/>
              <w:bidi w:val="0"/>
              <w:spacing w:before="0" w:after="283"/>
              <w:jc w:val="center"/>
              <w:rPr/>
            </w:pPr>
            <w:r>
              <w:rPr/>
              <w:t> </w:t>
            </w:r>
          </w:p>
        </w:tc>
      </w:tr>
      <w:tr>
        <w:trPr/>
        <w:tc>
          <w:tcPr>
            <w:tcW w:w="236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798" w:type="dxa"/>
            <w:gridSpan w:val="10"/>
            <w:tcBorders/>
            <w:vAlign w:val="center"/>
          </w:tcPr>
          <w:p>
            <w:pPr>
              <w:pStyle w:val="TableContents"/>
              <w:bidi w:val="0"/>
              <w:spacing w:before="0" w:after="283"/>
              <w:jc w:val="center"/>
              <w:rPr/>
            </w:pPr>
            <w:r>
              <w:rPr/>
              <w:t>(in thousands)</w:t>
            </w:r>
          </w:p>
        </w:tc>
        <w:tc>
          <w:tcPr>
            <w:tcW w:w="60" w:type="dxa"/>
            <w:tcBorders/>
            <w:vAlign w:val="center"/>
          </w:tcPr>
          <w:p>
            <w:pPr>
              <w:pStyle w:val="TableContents"/>
              <w:bidi w:val="0"/>
              <w:spacing w:before="0" w:after="283"/>
              <w:jc w:val="center"/>
              <w:rPr/>
            </w:pPr>
            <w:r>
              <w:rPr/>
              <w:t> </w:t>
            </w:r>
          </w:p>
        </w:tc>
        <w:tc>
          <w:tcPr>
            <w:tcW w:w="60" w:type="dxa"/>
            <w:tcBorders>
              <w:left w:val="single" w:sz="12" w:space="0" w:color="000000"/>
            </w:tcBorders>
            <w:tcMar>
              <w:left w:w="28" w:type="dxa"/>
            </w:tcMar>
            <w:vAlign w:val="center"/>
          </w:tcPr>
          <w:p>
            <w:pPr>
              <w:pStyle w:val="TableContents"/>
              <w:bidi w:val="0"/>
              <w:spacing w:before="0" w:after="283"/>
              <w:jc w:val="center"/>
              <w:rPr/>
            </w:pPr>
            <w:r>
              <w:rPr/>
              <w:t> </w:t>
            </w:r>
          </w:p>
        </w:tc>
        <w:tc>
          <w:tcPr>
            <w:tcW w:w="3773" w:type="dxa"/>
            <w:gridSpan w:val="10"/>
            <w:tcBorders/>
            <w:vAlign w:val="center"/>
          </w:tcPr>
          <w:p>
            <w:pPr>
              <w:pStyle w:val="TableContents"/>
              <w:bidi w:val="0"/>
              <w:spacing w:before="0" w:after="283"/>
              <w:jc w:val="center"/>
              <w:rPr/>
            </w:pPr>
            <w:r>
              <w:rPr/>
              <w:t>(in thousands)</w:t>
            </w:r>
          </w:p>
        </w:tc>
        <w:tc>
          <w:tcPr>
            <w:tcW w:w="88" w:type="dxa"/>
            <w:tcBorders/>
            <w:vAlign w:val="center"/>
          </w:tcPr>
          <w:p>
            <w:pPr>
              <w:pStyle w:val="TableContents"/>
              <w:bidi w:val="0"/>
              <w:spacing w:before="0" w:after="283"/>
              <w:jc w:val="center"/>
              <w:rPr/>
            </w:pPr>
            <w:r>
              <w:rPr/>
              <w:t> </w:t>
            </w:r>
          </w:p>
        </w:tc>
      </w:tr>
      <w:tr>
        <w:trPr/>
        <w:tc>
          <w:tcPr>
            <w:tcW w:w="2366" w:type="dxa"/>
            <w:tcBorders/>
            <w:shd w:fill="CCEEFF" w:val="clear"/>
            <w:vAlign w:val="center"/>
          </w:tcPr>
          <w:p>
            <w:pPr>
              <w:pStyle w:val="TableContents"/>
              <w:bidi w:val="0"/>
              <w:spacing w:before="0" w:after="283"/>
              <w:jc w:val="left"/>
              <w:rPr>
                <w:b/>
              </w:rPr>
            </w:pPr>
            <w:r>
              <w:rPr>
                <w:b/>
              </w:rPr>
              <w:t>Product Line:</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bookmarkStart w:id="378" w:name="xdx_400_eus-gaap--Revenues_hsrt--Product"/>
            <w:bookmarkEnd w:id="378"/>
          </w:p>
        </w:tc>
      </w:tr>
      <w:tr>
        <w:trPr/>
        <w:tc>
          <w:tcPr>
            <w:tcW w:w="2366" w:type="dxa"/>
            <w:tcBorders/>
            <w:shd w:fill="FFFFFF" w:val="clear"/>
            <w:vAlign w:val="center"/>
          </w:tcPr>
          <w:p>
            <w:pPr>
              <w:pStyle w:val="TableContents"/>
              <w:bidi w:val="0"/>
              <w:spacing w:before="0" w:after="283"/>
              <w:jc w:val="left"/>
              <w:rPr/>
            </w:pPr>
            <w:r>
              <w:rPr/>
              <w:t>WAM-V</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w:t>
            </w:r>
          </w:p>
        </w:tc>
        <w:tc>
          <w:tcPr>
            <w:tcW w:w="1011" w:type="dxa"/>
            <w:tcBorders/>
            <w:shd w:fill="FFFFFF" w:val="clear"/>
            <w:vAlign w:val="center"/>
          </w:tcPr>
          <w:p>
            <w:pPr>
              <w:pStyle w:val="TableContents"/>
              <w:bidi w:val="0"/>
              <w:spacing w:before="0" w:after="283"/>
              <w:jc w:val="right"/>
              <w:rPr/>
            </w:pPr>
            <w:r>
              <w:rPr/>
              <w:t>1,085</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w:t>
            </w:r>
          </w:p>
        </w:tc>
        <w:tc>
          <w:tcPr>
            <w:tcW w:w="914" w:type="dxa"/>
            <w:tcBorders/>
            <w:shd w:fill="FFFFFF" w:val="clear"/>
            <w:vAlign w:val="center"/>
          </w:tcPr>
          <w:p>
            <w:pPr>
              <w:pStyle w:val="TableContents"/>
              <w:bidi w:val="0"/>
              <w:spacing w:before="0" w:after="283"/>
              <w:jc w:val="right"/>
              <w:rPr/>
            </w:pPr>
            <w:r>
              <w:rPr/>
              <w:t>387</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w:t>
            </w:r>
          </w:p>
        </w:tc>
        <w:tc>
          <w:tcPr>
            <w:tcW w:w="767" w:type="dxa"/>
            <w:tcBorders/>
            <w:shd w:fill="FFFFFF" w:val="clear"/>
            <w:vAlign w:val="center"/>
          </w:tcPr>
          <w:p>
            <w:pPr>
              <w:pStyle w:val="TableContents"/>
              <w:bidi w:val="0"/>
              <w:spacing w:before="0" w:after="283"/>
              <w:jc w:val="right"/>
              <w:rPr/>
            </w:pPr>
            <w:r>
              <w:rPr/>
              <w:t>1,472</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left"/>
              <w:rPr/>
            </w:pPr>
            <w:r>
              <w:rPr/>
              <w:t>$</w:t>
            </w:r>
          </w:p>
        </w:tc>
        <w:tc>
          <w:tcPr>
            <w:tcW w:w="961" w:type="dxa"/>
            <w:tcBorders/>
            <w:shd w:fill="FFFFFF" w:val="clear"/>
            <w:vAlign w:val="center"/>
          </w:tcPr>
          <w:p>
            <w:pPr>
              <w:pStyle w:val="TableContents"/>
              <w:bidi w:val="0"/>
              <w:spacing w:before="0" w:after="283"/>
              <w:jc w:val="right"/>
              <w:rPr/>
            </w:pPr>
            <w:r>
              <w:rPr/>
              <w:t>271</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left"/>
              <w:rPr/>
            </w:pPr>
            <w:r>
              <w:rPr/>
              <w:t>$</w:t>
            </w:r>
          </w:p>
        </w:tc>
        <w:tc>
          <w:tcPr>
            <w:tcW w:w="961" w:type="dxa"/>
            <w:tcBorders/>
            <w:shd w:fill="FFFFFF" w:val="clear"/>
            <w:vAlign w:val="center"/>
          </w:tcPr>
          <w:p>
            <w:pPr>
              <w:pStyle w:val="TableContents"/>
              <w:bidi w:val="0"/>
              <w:spacing w:before="0" w:after="283"/>
              <w:jc w:val="right"/>
              <w:rPr/>
            </w:pPr>
            <w:r>
              <w:rPr/>
              <w:t>175</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w:t>
            </w:r>
          </w:p>
        </w:tc>
        <w:tc>
          <w:tcPr>
            <w:tcW w:w="590" w:type="dxa"/>
            <w:tcBorders/>
            <w:shd w:fill="FFFFFF" w:val="clear"/>
            <w:vAlign w:val="center"/>
          </w:tcPr>
          <w:p>
            <w:pPr>
              <w:pStyle w:val="TableContents"/>
              <w:bidi w:val="0"/>
              <w:spacing w:before="0" w:after="283"/>
              <w:jc w:val="right"/>
              <w:rPr/>
            </w:pPr>
            <w:r>
              <w:rPr/>
              <w:t>446</w:t>
            </w:r>
          </w:p>
        </w:tc>
        <w:tc>
          <w:tcPr>
            <w:tcW w:w="88" w:type="dxa"/>
            <w:tcBorders/>
            <w:shd w:fill="FFFFFF" w:val="clear"/>
            <w:vAlign w:val="center"/>
          </w:tcPr>
          <w:p>
            <w:pPr>
              <w:pStyle w:val="TableContents"/>
              <w:bidi w:val="0"/>
              <w:spacing w:before="0" w:after="283"/>
              <w:jc w:val="left"/>
              <w:rPr/>
            </w:pPr>
            <w:r>
              <w:rPr/>
              <w:t> </w:t>
            </w:r>
            <w:bookmarkStart w:id="379" w:name="xdx_409_eus-gaap--Revenues_hsrt--Product"/>
            <w:bookmarkEnd w:id="379"/>
          </w:p>
        </w:tc>
      </w:tr>
      <w:tr>
        <w:trPr/>
        <w:tc>
          <w:tcPr>
            <w:tcW w:w="2366" w:type="dxa"/>
            <w:tcBorders/>
            <w:shd w:fill="CCEEFF" w:val="clear"/>
            <w:vAlign w:val="center"/>
          </w:tcPr>
          <w:p>
            <w:pPr>
              <w:pStyle w:val="TableContents"/>
              <w:bidi w:val="0"/>
              <w:spacing w:before="0" w:after="283"/>
              <w:jc w:val="left"/>
              <w:rPr/>
            </w:pPr>
            <w:r>
              <w:rPr/>
              <w:t>Buoy</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320</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pPr>
            <w:r>
              <w:rPr/>
              <w:t>320</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right"/>
              <w:rPr/>
            </w:pPr>
            <w:r>
              <w:rPr/>
              <w:t>176</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right"/>
              <w:rPr/>
            </w:pPr>
            <w:r>
              <w:rPr/>
              <w:t>—</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176</w:t>
            </w:r>
          </w:p>
        </w:tc>
        <w:tc>
          <w:tcPr>
            <w:tcW w:w="88" w:type="dxa"/>
            <w:tcBorders/>
            <w:shd w:fill="CCEEFF" w:val="clear"/>
            <w:vAlign w:val="center"/>
          </w:tcPr>
          <w:p>
            <w:pPr>
              <w:pStyle w:val="TableContents"/>
              <w:bidi w:val="0"/>
              <w:spacing w:before="0" w:after="283"/>
              <w:jc w:val="left"/>
              <w:rPr/>
            </w:pPr>
            <w:r>
              <w:rPr/>
              <w:t> </w:t>
            </w:r>
            <w:bookmarkStart w:id="380" w:name="xdx_40B_eus-gaap--Revenues_hsrt--Product"/>
            <w:bookmarkEnd w:id="380"/>
          </w:p>
        </w:tc>
      </w:tr>
      <w:tr>
        <w:trPr/>
        <w:tc>
          <w:tcPr>
            <w:tcW w:w="2366" w:type="dxa"/>
            <w:tcBorders/>
            <w:shd w:fill="FFFFFF" w:val="clear"/>
            <w:vAlign w:val="center"/>
          </w:tcPr>
          <w:p>
            <w:pPr>
              <w:pStyle w:val="TableContents"/>
              <w:bidi w:val="0"/>
              <w:spacing w:before="0" w:after="283"/>
              <w:jc w:val="left"/>
              <w:rPr/>
            </w:pPr>
            <w:r>
              <w:rPr/>
              <w:t>Services</w:t>
            </w:r>
          </w:p>
        </w:tc>
        <w:tc>
          <w:tcPr>
            <w:tcW w:w="60" w:type="dxa"/>
            <w:tcBorders/>
            <w:shd w:fill="FFFFFF" w:val="clear"/>
            <w:vAlign w:val="center"/>
          </w:tcPr>
          <w:p>
            <w:pPr>
              <w:pStyle w:val="TableContents"/>
              <w:bidi w:val="0"/>
              <w:spacing w:before="0" w:after="283"/>
              <w:jc w:val="left"/>
              <w:rPr/>
            </w:pPr>
            <w:r>
              <w:rPr/>
              <w:t> </w:t>
            </w:r>
          </w:p>
        </w:tc>
        <w:tc>
          <w:tcPr>
            <w:tcW w:w="25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33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3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1" w:type="dxa"/>
            <w:tcBorders>
              <w:bottom w:val="single" w:sz="12" w:space="0" w:color="000000"/>
            </w:tcBorders>
            <w:shd w:fill="FFFFFF" w:val="clear"/>
            <w:tcMar>
              <w:bottom w:w="28" w:type="dxa"/>
            </w:tcMar>
            <w:vAlign w:val="center"/>
          </w:tcPr>
          <w:p>
            <w:pPr>
              <w:pStyle w:val="TableContents"/>
              <w:bidi w:val="0"/>
              <w:spacing w:before="0" w:after="283"/>
              <w:jc w:val="right"/>
              <w:rPr/>
            </w:pPr>
            <w:r>
              <w:rPr/>
              <w:t>112</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3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21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FFFFFF" w:val="clear"/>
            <w:tcMar>
              <w:bottom w:w="28" w:type="dxa"/>
            </w:tcMar>
            <w:vAlign w:val="center"/>
          </w:tcPr>
          <w:p>
            <w:pPr>
              <w:pStyle w:val="TableContents"/>
              <w:bidi w:val="0"/>
              <w:spacing w:before="0" w:after="283"/>
              <w:jc w:val="right"/>
              <w:rPr/>
            </w:pPr>
            <w:r>
              <w:rPr/>
              <w:t>112</w:t>
            </w:r>
          </w:p>
        </w:tc>
        <w:tc>
          <w:tcPr>
            <w:tcW w:w="88" w:type="dxa"/>
            <w:tcBorders/>
            <w:shd w:fill="FFFFFF" w:val="clear"/>
            <w:vAlign w:val="center"/>
          </w:tcPr>
          <w:p>
            <w:pPr>
              <w:pStyle w:val="TableContents"/>
              <w:bidi w:val="0"/>
              <w:spacing w:before="0" w:after="283"/>
              <w:jc w:val="left"/>
              <w:rPr/>
            </w:pPr>
            <w:r>
              <w:rPr/>
              <w:t> </w:t>
            </w:r>
            <w:bookmarkStart w:id="381" w:name="xdx_408_eus-gaap--Revenues_hsrt--Product"/>
            <w:bookmarkEnd w:id="381"/>
          </w:p>
        </w:tc>
      </w:tr>
      <w:tr>
        <w:trPr/>
        <w:tc>
          <w:tcPr>
            <w:tcW w:w="2366"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w:t>
            </w:r>
          </w:p>
        </w:tc>
        <w:tc>
          <w:tcPr>
            <w:tcW w:w="1011" w:type="dxa"/>
            <w:tcBorders/>
            <w:shd w:fill="CCEEFF" w:val="clear"/>
            <w:vAlign w:val="center"/>
          </w:tcPr>
          <w:p>
            <w:pPr>
              <w:pStyle w:val="TableContents"/>
              <w:bidi w:val="0"/>
              <w:spacing w:before="0" w:after="283"/>
              <w:jc w:val="right"/>
              <w:rPr/>
            </w:pPr>
            <w:r>
              <w:rPr/>
              <w:t>1,405</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w:t>
            </w:r>
          </w:p>
        </w:tc>
        <w:tc>
          <w:tcPr>
            <w:tcW w:w="914" w:type="dxa"/>
            <w:tcBorders/>
            <w:shd w:fill="CCEEFF" w:val="clear"/>
            <w:vAlign w:val="center"/>
          </w:tcPr>
          <w:p>
            <w:pPr>
              <w:pStyle w:val="TableContents"/>
              <w:bidi w:val="0"/>
              <w:spacing w:before="0" w:after="283"/>
              <w:jc w:val="right"/>
              <w:rPr/>
            </w:pPr>
            <w:r>
              <w:rPr/>
              <w:t>387</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p>
        </w:tc>
        <w:tc>
          <w:tcPr>
            <w:tcW w:w="767" w:type="dxa"/>
            <w:tcBorders/>
            <w:shd w:fill="CCEEFF" w:val="clear"/>
            <w:vAlign w:val="center"/>
          </w:tcPr>
          <w:p>
            <w:pPr>
              <w:pStyle w:val="TableContents"/>
              <w:bidi w:val="0"/>
              <w:spacing w:before="0" w:after="283"/>
              <w:jc w:val="right"/>
              <w:rPr/>
            </w:pPr>
            <w:r>
              <w:rPr/>
              <w:t>1,792</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left"/>
              <w:rPr/>
            </w:pPr>
            <w:r>
              <w:rPr/>
              <w:t>$</w:t>
            </w:r>
          </w:p>
        </w:tc>
        <w:tc>
          <w:tcPr>
            <w:tcW w:w="961" w:type="dxa"/>
            <w:tcBorders/>
            <w:shd w:fill="CCEEFF" w:val="clear"/>
            <w:vAlign w:val="center"/>
          </w:tcPr>
          <w:p>
            <w:pPr>
              <w:pStyle w:val="TableContents"/>
              <w:bidi w:val="0"/>
              <w:spacing w:before="0" w:after="283"/>
              <w:jc w:val="right"/>
              <w:rPr/>
            </w:pPr>
            <w:r>
              <w:rPr/>
              <w:t>559</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left"/>
              <w:rPr/>
            </w:pPr>
            <w:r>
              <w:rPr/>
              <w:t>$</w:t>
            </w:r>
          </w:p>
        </w:tc>
        <w:tc>
          <w:tcPr>
            <w:tcW w:w="961" w:type="dxa"/>
            <w:tcBorders/>
            <w:shd w:fill="CCEEFF" w:val="clear"/>
            <w:vAlign w:val="center"/>
          </w:tcPr>
          <w:p>
            <w:pPr>
              <w:pStyle w:val="TableContents"/>
              <w:bidi w:val="0"/>
              <w:spacing w:before="0" w:after="283"/>
              <w:jc w:val="right"/>
              <w:rPr/>
            </w:pPr>
            <w:r>
              <w:rPr/>
              <w:t>175</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734</w:t>
            </w:r>
          </w:p>
        </w:tc>
        <w:tc>
          <w:tcPr>
            <w:tcW w:w="88" w:type="dxa"/>
            <w:tcBorders/>
            <w:shd w:fill="CCEEFF" w:val="clear"/>
            <w:vAlign w:val="center"/>
          </w:tcPr>
          <w:p>
            <w:pPr>
              <w:pStyle w:val="TableContents"/>
              <w:bidi w:val="0"/>
              <w:spacing w:before="0" w:after="283"/>
              <w:jc w:val="left"/>
              <w:rPr/>
            </w:pPr>
            <w:r>
              <w:rPr/>
              <w:t> </w:t>
            </w:r>
          </w:p>
        </w:tc>
      </w:tr>
      <w:tr>
        <w:trPr/>
        <w:tc>
          <w:tcPr>
            <w:tcW w:w="236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jc w:val="left"/>
              <w:rPr/>
            </w:pPr>
            <w:r>
              <w:rPr/>
              <w:t> </w:t>
            </w:r>
          </w:p>
        </w:tc>
      </w:tr>
      <w:tr>
        <w:trPr/>
        <w:tc>
          <w:tcPr>
            <w:tcW w:w="2366" w:type="dxa"/>
            <w:tcBorders/>
            <w:shd w:fill="CCEEFF" w:val="clear"/>
            <w:vAlign w:val="center"/>
          </w:tcPr>
          <w:p>
            <w:pPr>
              <w:pStyle w:val="TableContents"/>
              <w:bidi w:val="0"/>
              <w:spacing w:before="0" w:after="283"/>
              <w:jc w:val="left"/>
              <w:rPr>
                <w:b/>
              </w:rPr>
            </w:pPr>
            <w:r>
              <w:rPr>
                <w:b/>
              </w:rPr>
              <w:t>Region:</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bookmarkStart w:id="382" w:name="xdx_402_eus-gaap--Revenues_hsrt--Stateme"/>
            <w:bookmarkEnd w:id="382"/>
          </w:p>
        </w:tc>
      </w:tr>
      <w:tr>
        <w:trPr/>
        <w:tc>
          <w:tcPr>
            <w:tcW w:w="2366" w:type="dxa"/>
            <w:tcBorders/>
            <w:shd w:fill="FFFFFF" w:val="clear"/>
            <w:vAlign w:val="center"/>
          </w:tcPr>
          <w:p>
            <w:pPr>
              <w:pStyle w:val="TableContents"/>
              <w:bidi w:val="0"/>
              <w:spacing w:before="0" w:after="283"/>
              <w:jc w:val="left"/>
              <w:rPr/>
            </w:pPr>
            <w:r>
              <w:rPr/>
              <w:t>North and South America</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w:t>
            </w:r>
          </w:p>
        </w:tc>
        <w:tc>
          <w:tcPr>
            <w:tcW w:w="1011" w:type="dxa"/>
            <w:tcBorders/>
            <w:shd w:fill="FFFFFF" w:val="clear"/>
            <w:vAlign w:val="center"/>
          </w:tcPr>
          <w:p>
            <w:pPr>
              <w:pStyle w:val="TableContents"/>
              <w:bidi w:val="0"/>
              <w:spacing w:before="0" w:after="283"/>
              <w:jc w:val="right"/>
              <w:rPr/>
            </w:pPr>
            <w:r>
              <w:rPr/>
              <w:t>1,405</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w:t>
            </w:r>
          </w:p>
        </w:tc>
        <w:tc>
          <w:tcPr>
            <w:tcW w:w="914" w:type="dxa"/>
            <w:tcBorders/>
            <w:shd w:fill="FFFFFF" w:val="clear"/>
            <w:vAlign w:val="center"/>
          </w:tcPr>
          <w:p>
            <w:pPr>
              <w:pStyle w:val="TableContents"/>
              <w:bidi w:val="0"/>
              <w:spacing w:before="0" w:after="283"/>
              <w:jc w:val="right"/>
              <w:rPr/>
            </w:pPr>
            <w:r>
              <w:rPr/>
              <w:t>387</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w:t>
            </w:r>
          </w:p>
        </w:tc>
        <w:tc>
          <w:tcPr>
            <w:tcW w:w="767" w:type="dxa"/>
            <w:tcBorders/>
            <w:shd w:fill="FFFFFF" w:val="clear"/>
            <w:vAlign w:val="center"/>
          </w:tcPr>
          <w:p>
            <w:pPr>
              <w:pStyle w:val="TableContents"/>
              <w:bidi w:val="0"/>
              <w:spacing w:before="0" w:after="283"/>
              <w:jc w:val="right"/>
              <w:rPr/>
            </w:pPr>
            <w:r>
              <w:rPr/>
              <w:t>1,792</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left"/>
              <w:rPr/>
            </w:pPr>
            <w:r>
              <w:rPr/>
              <w:t>$</w:t>
            </w:r>
          </w:p>
        </w:tc>
        <w:tc>
          <w:tcPr>
            <w:tcW w:w="961" w:type="dxa"/>
            <w:tcBorders/>
            <w:shd w:fill="FFFFFF" w:val="clear"/>
            <w:vAlign w:val="center"/>
          </w:tcPr>
          <w:p>
            <w:pPr>
              <w:pStyle w:val="TableContents"/>
              <w:bidi w:val="0"/>
              <w:spacing w:before="0" w:after="283"/>
              <w:jc w:val="right"/>
              <w:rPr/>
            </w:pPr>
            <w:r>
              <w:rPr/>
              <w:t>540</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left"/>
              <w:rPr/>
            </w:pPr>
            <w:r>
              <w:rPr/>
              <w:t>$</w:t>
            </w:r>
          </w:p>
        </w:tc>
        <w:tc>
          <w:tcPr>
            <w:tcW w:w="961" w:type="dxa"/>
            <w:tcBorders/>
            <w:shd w:fill="FFFFFF" w:val="clear"/>
            <w:vAlign w:val="center"/>
          </w:tcPr>
          <w:p>
            <w:pPr>
              <w:pStyle w:val="TableContents"/>
              <w:bidi w:val="0"/>
              <w:spacing w:before="0" w:after="283"/>
              <w:jc w:val="right"/>
              <w:rPr/>
            </w:pPr>
            <w:r>
              <w:rPr/>
              <w:t>175</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w:t>
            </w:r>
          </w:p>
        </w:tc>
        <w:tc>
          <w:tcPr>
            <w:tcW w:w="590" w:type="dxa"/>
            <w:tcBorders/>
            <w:shd w:fill="FFFFFF" w:val="clear"/>
            <w:vAlign w:val="center"/>
          </w:tcPr>
          <w:p>
            <w:pPr>
              <w:pStyle w:val="TableContents"/>
              <w:bidi w:val="0"/>
              <w:spacing w:before="0" w:after="283"/>
              <w:jc w:val="right"/>
              <w:rPr/>
            </w:pPr>
            <w:r>
              <w:rPr/>
              <w:t>715</w:t>
            </w:r>
          </w:p>
        </w:tc>
        <w:tc>
          <w:tcPr>
            <w:tcW w:w="88" w:type="dxa"/>
            <w:tcBorders/>
            <w:shd w:fill="FFFFFF" w:val="clear"/>
            <w:vAlign w:val="center"/>
          </w:tcPr>
          <w:p>
            <w:pPr>
              <w:pStyle w:val="TableContents"/>
              <w:bidi w:val="0"/>
              <w:spacing w:before="0" w:after="283"/>
              <w:jc w:val="left"/>
              <w:rPr/>
            </w:pPr>
            <w:r>
              <w:rPr/>
              <w:t> </w:t>
            </w:r>
            <w:bookmarkStart w:id="383" w:name="xdx_404_eus-gaap--Revenues_hsrt--Stateme"/>
            <w:bookmarkEnd w:id="383"/>
          </w:p>
        </w:tc>
      </w:tr>
      <w:tr>
        <w:trPr/>
        <w:tc>
          <w:tcPr>
            <w:tcW w:w="2366" w:type="dxa"/>
            <w:tcBorders/>
            <w:shd w:fill="CCEEFF" w:val="clear"/>
            <w:vAlign w:val="center"/>
          </w:tcPr>
          <w:p>
            <w:pPr>
              <w:pStyle w:val="TableContents"/>
              <w:bidi w:val="0"/>
              <w:spacing w:before="0" w:after="283"/>
              <w:jc w:val="left"/>
              <w:rPr/>
            </w:pPr>
            <w:r>
              <w:rPr/>
              <w:t>Asia and Australia</w:t>
            </w:r>
          </w:p>
        </w:tc>
        <w:tc>
          <w:tcPr>
            <w:tcW w:w="60" w:type="dxa"/>
            <w:tcBorders/>
            <w:shd w:fill="CCEEFF" w:val="clear"/>
            <w:vAlign w:val="center"/>
          </w:tcPr>
          <w:p>
            <w:pPr>
              <w:pStyle w:val="TableContents"/>
              <w:bidi w:val="0"/>
              <w:spacing w:before="0" w:after="283"/>
              <w:jc w:val="left"/>
              <w:rPr/>
            </w:pPr>
            <w:r>
              <w:rPr/>
              <w:t> </w:t>
            </w:r>
          </w:p>
        </w:tc>
        <w:tc>
          <w:tcPr>
            <w:tcW w:w="2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3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3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1" w:type="dxa"/>
            <w:tcBorders>
              <w:bottom w:val="single" w:sz="12" w:space="0" w:color="000000"/>
            </w:tcBorders>
            <w:shd w:fill="CCEEFF" w:val="clear"/>
            <w:tcMar>
              <w:bottom w:w="28" w:type="dxa"/>
            </w:tcMar>
            <w:vAlign w:val="center"/>
          </w:tcPr>
          <w:p>
            <w:pPr>
              <w:pStyle w:val="TableContents"/>
              <w:bidi w:val="0"/>
              <w:spacing w:before="0" w:after="283"/>
              <w:jc w:val="right"/>
              <w:rPr/>
            </w:pPr>
            <w:r>
              <w:rPr/>
              <w:t>19</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3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2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19</w:t>
            </w:r>
          </w:p>
        </w:tc>
        <w:tc>
          <w:tcPr>
            <w:tcW w:w="88" w:type="dxa"/>
            <w:tcBorders/>
            <w:shd w:fill="CCEEFF" w:val="clear"/>
            <w:vAlign w:val="center"/>
          </w:tcPr>
          <w:p>
            <w:pPr>
              <w:pStyle w:val="TableContents"/>
              <w:bidi w:val="0"/>
              <w:spacing w:before="0" w:after="283"/>
              <w:jc w:val="left"/>
              <w:rPr/>
            </w:pPr>
            <w:r>
              <w:rPr/>
              <w:t> </w:t>
            </w:r>
            <w:bookmarkStart w:id="384" w:name="xdx_40B_eus-gaap--Revenues_hsrt--Stateme"/>
            <w:bookmarkEnd w:id="384"/>
          </w:p>
        </w:tc>
      </w:tr>
      <w:tr>
        <w:trPr/>
        <w:tc>
          <w:tcPr>
            <w:tcW w:w="2366"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w:t>
            </w:r>
          </w:p>
        </w:tc>
        <w:tc>
          <w:tcPr>
            <w:tcW w:w="1011" w:type="dxa"/>
            <w:tcBorders/>
            <w:shd w:fill="FFFFFF" w:val="clear"/>
            <w:vAlign w:val="center"/>
          </w:tcPr>
          <w:p>
            <w:pPr>
              <w:pStyle w:val="TableContents"/>
              <w:bidi w:val="0"/>
              <w:spacing w:before="0" w:after="283"/>
              <w:jc w:val="right"/>
              <w:rPr/>
            </w:pPr>
            <w:r>
              <w:rPr/>
              <w:t>1,405</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w:t>
            </w:r>
          </w:p>
        </w:tc>
        <w:tc>
          <w:tcPr>
            <w:tcW w:w="914" w:type="dxa"/>
            <w:tcBorders/>
            <w:shd w:fill="FFFFFF" w:val="clear"/>
            <w:vAlign w:val="center"/>
          </w:tcPr>
          <w:p>
            <w:pPr>
              <w:pStyle w:val="TableContents"/>
              <w:bidi w:val="0"/>
              <w:spacing w:before="0" w:after="283"/>
              <w:jc w:val="right"/>
              <w:rPr/>
            </w:pPr>
            <w:r>
              <w:rPr/>
              <w:t>387</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w:t>
            </w:r>
          </w:p>
        </w:tc>
        <w:tc>
          <w:tcPr>
            <w:tcW w:w="767" w:type="dxa"/>
            <w:tcBorders/>
            <w:shd w:fill="FFFFFF" w:val="clear"/>
            <w:vAlign w:val="center"/>
          </w:tcPr>
          <w:p>
            <w:pPr>
              <w:pStyle w:val="TableContents"/>
              <w:bidi w:val="0"/>
              <w:spacing w:before="0" w:after="283"/>
              <w:jc w:val="right"/>
              <w:rPr/>
            </w:pPr>
            <w:r>
              <w:rPr/>
              <w:t>1,792</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left"/>
              <w:rPr/>
            </w:pPr>
            <w:r>
              <w:rPr/>
              <w:t>$</w:t>
            </w:r>
          </w:p>
        </w:tc>
        <w:tc>
          <w:tcPr>
            <w:tcW w:w="961" w:type="dxa"/>
            <w:tcBorders/>
            <w:shd w:fill="FFFFFF" w:val="clear"/>
            <w:vAlign w:val="center"/>
          </w:tcPr>
          <w:p>
            <w:pPr>
              <w:pStyle w:val="TableContents"/>
              <w:bidi w:val="0"/>
              <w:spacing w:before="0" w:after="283"/>
              <w:jc w:val="right"/>
              <w:rPr/>
            </w:pPr>
            <w:r>
              <w:rPr/>
              <w:t>559</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left"/>
              <w:rPr/>
            </w:pPr>
            <w:r>
              <w:rPr/>
              <w:t>$</w:t>
            </w:r>
          </w:p>
        </w:tc>
        <w:tc>
          <w:tcPr>
            <w:tcW w:w="961" w:type="dxa"/>
            <w:tcBorders/>
            <w:shd w:fill="FFFFFF" w:val="clear"/>
            <w:vAlign w:val="center"/>
          </w:tcPr>
          <w:p>
            <w:pPr>
              <w:pStyle w:val="TableContents"/>
              <w:bidi w:val="0"/>
              <w:spacing w:before="0" w:after="283"/>
              <w:jc w:val="right"/>
              <w:rPr/>
            </w:pPr>
            <w:r>
              <w:rPr/>
              <w:t>175</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w:t>
            </w:r>
          </w:p>
        </w:tc>
        <w:tc>
          <w:tcPr>
            <w:tcW w:w="590" w:type="dxa"/>
            <w:tcBorders/>
            <w:shd w:fill="FFFFFF" w:val="clear"/>
            <w:vAlign w:val="center"/>
          </w:tcPr>
          <w:p>
            <w:pPr>
              <w:pStyle w:val="TableContents"/>
              <w:bidi w:val="0"/>
              <w:spacing w:before="0" w:after="283"/>
              <w:jc w:val="right"/>
              <w:rPr/>
            </w:pPr>
            <w:r>
              <w:rPr/>
              <w:t>734</w:t>
            </w:r>
          </w:p>
        </w:tc>
        <w:tc>
          <w:tcPr>
            <w:tcW w:w="88" w:type="dxa"/>
            <w:tcBorders/>
            <w:shd w:fill="FFFFFF" w:val="clear"/>
            <w:vAlign w:val="center"/>
          </w:tcPr>
          <w:p>
            <w:pPr>
              <w:pStyle w:val="TableContents"/>
              <w:bidi w:val="0"/>
              <w:spacing w:before="0" w:after="283"/>
              <w:jc w:val="left"/>
              <w:rPr/>
            </w:pPr>
            <w:r>
              <w:rPr/>
              <w:t> </w:t>
            </w:r>
            <w:bookmarkStart w:id="385" w:name="xdx_401_eus-gaap--Revenues_hsrt--Stateme"/>
            <w:bookmarkEnd w:id="385"/>
          </w:p>
        </w:tc>
      </w:tr>
      <w:tr>
        <w:trPr/>
        <w:tc>
          <w:tcPr>
            <w:tcW w:w="2366" w:type="dxa"/>
            <w:tcBorders/>
            <w:shd w:fill="FFFFFF" w:val="clear"/>
            <w:vAlign w:val="center"/>
          </w:tcPr>
          <w:p>
            <w:pPr>
              <w:pStyle w:val="TableContents"/>
              <w:bidi w:val="0"/>
              <w:spacing w:before="0" w:after="283"/>
              <w:jc w:val="left"/>
              <w:rPr/>
            </w:pPr>
            <w:r>
              <w:rPr/>
              <w:t>Revenue</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w:t>
            </w:r>
          </w:p>
        </w:tc>
        <w:tc>
          <w:tcPr>
            <w:tcW w:w="1011" w:type="dxa"/>
            <w:tcBorders/>
            <w:shd w:fill="FFFFFF" w:val="clear"/>
            <w:vAlign w:val="center"/>
          </w:tcPr>
          <w:p>
            <w:pPr>
              <w:pStyle w:val="TableContents"/>
              <w:bidi w:val="0"/>
              <w:spacing w:before="0" w:after="283"/>
              <w:jc w:val="right"/>
              <w:rPr/>
            </w:pPr>
            <w:r>
              <w:rPr/>
              <w:t>1,405</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w:t>
            </w:r>
          </w:p>
        </w:tc>
        <w:tc>
          <w:tcPr>
            <w:tcW w:w="914" w:type="dxa"/>
            <w:tcBorders/>
            <w:shd w:fill="FFFFFF" w:val="clear"/>
            <w:vAlign w:val="center"/>
          </w:tcPr>
          <w:p>
            <w:pPr>
              <w:pStyle w:val="TableContents"/>
              <w:bidi w:val="0"/>
              <w:spacing w:before="0" w:after="283"/>
              <w:jc w:val="right"/>
              <w:rPr/>
            </w:pPr>
            <w:r>
              <w:rPr/>
              <w:t>387</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w:t>
            </w:r>
          </w:p>
        </w:tc>
        <w:tc>
          <w:tcPr>
            <w:tcW w:w="767" w:type="dxa"/>
            <w:tcBorders/>
            <w:shd w:fill="FFFFFF" w:val="clear"/>
            <w:vAlign w:val="center"/>
          </w:tcPr>
          <w:p>
            <w:pPr>
              <w:pStyle w:val="TableContents"/>
              <w:bidi w:val="0"/>
              <w:spacing w:before="0" w:after="283"/>
              <w:jc w:val="right"/>
              <w:rPr/>
            </w:pPr>
            <w:r>
              <w:rPr/>
              <w:t>1,792</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left"/>
              <w:rPr/>
            </w:pPr>
            <w:r>
              <w:rPr/>
              <w:t>$</w:t>
            </w:r>
          </w:p>
        </w:tc>
        <w:tc>
          <w:tcPr>
            <w:tcW w:w="961" w:type="dxa"/>
            <w:tcBorders/>
            <w:shd w:fill="FFFFFF" w:val="clear"/>
            <w:vAlign w:val="center"/>
          </w:tcPr>
          <w:p>
            <w:pPr>
              <w:pStyle w:val="TableContents"/>
              <w:bidi w:val="0"/>
              <w:spacing w:before="0" w:after="283"/>
              <w:jc w:val="right"/>
              <w:rPr/>
            </w:pPr>
            <w:r>
              <w:rPr/>
              <w:t>559</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left"/>
              <w:rPr/>
            </w:pPr>
            <w:r>
              <w:rPr/>
              <w:t>$</w:t>
            </w:r>
          </w:p>
        </w:tc>
        <w:tc>
          <w:tcPr>
            <w:tcW w:w="961" w:type="dxa"/>
            <w:tcBorders/>
            <w:shd w:fill="FFFFFF" w:val="clear"/>
            <w:vAlign w:val="center"/>
          </w:tcPr>
          <w:p>
            <w:pPr>
              <w:pStyle w:val="TableContents"/>
              <w:bidi w:val="0"/>
              <w:spacing w:before="0" w:after="283"/>
              <w:jc w:val="right"/>
              <w:rPr/>
            </w:pPr>
            <w:r>
              <w:rPr/>
              <w:t>175</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w:t>
            </w:r>
          </w:p>
        </w:tc>
        <w:tc>
          <w:tcPr>
            <w:tcW w:w="590" w:type="dxa"/>
            <w:tcBorders/>
            <w:shd w:fill="FFFFFF" w:val="clear"/>
            <w:vAlign w:val="center"/>
          </w:tcPr>
          <w:p>
            <w:pPr>
              <w:pStyle w:val="TableContents"/>
              <w:bidi w:val="0"/>
              <w:spacing w:before="0" w:after="283"/>
              <w:jc w:val="right"/>
              <w:rPr/>
            </w:pPr>
            <w:r>
              <w:rPr/>
              <w:t>734</w:t>
            </w:r>
          </w:p>
        </w:tc>
        <w:tc>
          <w:tcPr>
            <w:tcW w:w="8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86" w:name="xdx_8A8_zsULwkuL0y4a"/>
      <w:bookmarkEnd w:id="386"/>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87" w:name="xdx_846_eus-gaap--EarningsPerSharePolicy"/>
      <w:bookmarkEnd w:id="387"/>
      <w:r>
        <w:rPr>
          <w:rFonts w:ascii="Times New Roman;Times;Serif" w:hAnsi="Times New Roman;Times;Serif"/>
          <w:b/>
          <w:i/>
          <w:caps w:val="false"/>
          <w:smallCaps w:val="false"/>
          <w:sz w:val="20"/>
        </w:rPr>
        <w:t xml:space="preserve">(l) </w:t>
      </w:r>
      <w:bookmarkStart w:id="388" w:name="xdx_86B_zYZzI4kb0Tjb"/>
      <w:bookmarkEnd w:id="388"/>
      <w:r>
        <w:rPr>
          <w:rFonts w:ascii="Times New Roman;Times;Serif" w:hAnsi="Times New Roman;Times;Serif"/>
          <w:b/>
          <w:i/>
          <w:caps w:val="false"/>
          <w:smallCaps w:val="false"/>
          <w:sz w:val="20"/>
        </w:rPr>
        <w:t>Net Loss per Common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net loss per share for all periods presented is computed by dividing net loss by the weighted average number of shares of common stock and common stock equivalents outstanding during the period. Due to the Company’s net losses, potentially dilutive securities, consisting of options to purchase shares of common stock, warrants on common stock and unvested restricted stock units (“RSU”) issued to employees and non-employee directors, were excluded from the diluted loss per share calculation due to their anti-dilutive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computing diluted net loss per share on the Consolidated Statement of Operations, warrants on common stock, options to purchase shares of common stock and unvested RSUs issued to employees and non-employee directors, totaling </w:t>
      </w:r>
      <w:bookmarkStart w:id="389" w:name="xdx_90D_eus-gaap--AntidilutiveSecurities"/>
      <w:bookmarkEnd w:id="389"/>
      <w:r>
        <w:rPr>
          <w:rFonts w:ascii="Times New Roman;Times;Serif" w:hAnsi="Times New Roman;Times;Serif"/>
          <w:b w:val="false"/>
          <w:i w:val="false"/>
          <w:caps w:val="false"/>
          <w:smallCaps w:val="false"/>
          <w:sz w:val="20"/>
        </w:rPr>
        <w:t xml:space="preserve">6,094,714 and </w:t>
      </w:r>
      <w:bookmarkStart w:id="390" w:name="xdx_90B_eus-gaap--AntidilutiveSecurities"/>
      <w:bookmarkEnd w:id="390"/>
      <w:r>
        <w:rPr>
          <w:rFonts w:ascii="Times New Roman;Times;Serif" w:hAnsi="Times New Roman;Times;Serif"/>
          <w:b w:val="false"/>
          <w:i w:val="false"/>
          <w:caps w:val="false"/>
          <w:smallCaps w:val="false"/>
          <w:sz w:val="20"/>
        </w:rPr>
        <w:t>8,010,373 as of January 31, 2024 and 2023, respectively, were excluded from each of the computations as the effect would have been anti-dilutive due to the net loss for the period. Share purchase rights, which include a contingency, are not included in the calculation until the contingency is resolved.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91" w:name="xdx_847_eus-gaap--GoodwillAndIntangibleA"/>
      <w:bookmarkEnd w:id="391"/>
      <w:r>
        <w:rPr>
          <w:rFonts w:ascii="Times New Roman;Times;Serif" w:hAnsi="Times New Roman;Times;Serif"/>
          <w:b/>
          <w:i/>
          <w:caps w:val="false"/>
          <w:smallCaps w:val="false"/>
          <w:sz w:val="20"/>
        </w:rPr>
        <w:t xml:space="preserve">(m) </w:t>
      </w:r>
      <w:bookmarkStart w:id="392" w:name="xdx_86E_zpEjozmqeS56"/>
      <w:bookmarkEnd w:id="392"/>
      <w:r>
        <w:rPr>
          <w:rFonts w:ascii="Times New Roman;Times;Serif" w:hAnsi="Times New Roman;Times;Serif"/>
          <w:b/>
          <w:i/>
          <w:caps w:val="false"/>
          <w:smallCaps w:val="false"/>
          <w:sz w:val="20"/>
        </w:rPr>
        <w:t>Intangibles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Intangible assets acquired in a business combination are recognized separately from goodwill and are initially recognized at their fair value at the acquisition date (which is regarded as their cost). Intangible assets, including patents, are amortized over the estimated useful life of the asset on a basis that approximates the pattern of economic benefit. The patents, trade name and customer relationship intangibles are being amortized over </w:t>
      </w:r>
      <w:bookmarkStart w:id="393" w:name="xdx_906_eus-gaap--FiniteLivedIntangibleA"/>
      <w:bookmarkEnd w:id="393"/>
      <w:r>
        <w:rPr>
          <w:rFonts w:ascii="Times New Roman;Times;Serif" w:hAnsi="Times New Roman;Times;Serif"/>
          <w:b w:val="false"/>
          <w:i w:val="false"/>
          <w:caps w:val="false"/>
          <w:smallCaps w:val="false"/>
          <w:sz w:val="20"/>
        </w:rPr>
        <w:t xml:space="preserve">20, </w:t>
      </w:r>
      <w:bookmarkStart w:id="394" w:name="xdx_901_eus-gaap--FiniteLivedIntangibleA"/>
      <w:bookmarkEnd w:id="394"/>
      <w:r>
        <w:rPr>
          <w:rFonts w:ascii="Times New Roman;Times;Serif" w:hAnsi="Times New Roman;Times;Serif"/>
          <w:b w:val="false"/>
          <w:i w:val="false"/>
          <w:caps w:val="false"/>
          <w:smallCaps w:val="false"/>
          <w:sz w:val="20"/>
        </w:rPr>
        <w:t xml:space="preserve">12 and </w:t>
      </w:r>
      <w:bookmarkStart w:id="395" w:name="xdx_900_eus-gaap--FiniteLivedIntangibleA"/>
      <w:bookmarkEnd w:id="395"/>
      <w:r>
        <w:rPr>
          <w:rFonts w:ascii="Times New Roman;Times;Serif" w:hAnsi="Times New Roman;Times;Serif"/>
          <w:b w:val="false"/>
          <w:i w:val="false"/>
          <w:caps w:val="false"/>
          <w:smallCaps w:val="false"/>
          <w:sz w:val="20"/>
        </w:rPr>
        <w:t>10 years respectively, which is consistent with the estimated pattern of economic benefit of the assets. The trademark is not subject to amortization.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are reviewed for impairment if indicators of potential impairment exist. There were no indications of potential impairment of intangible assets for the nine months ended January 31, 2024 and 2023. However, in connection with the sale of 3Dent in November of 2023, the Tradename and Customer Relationships were both expensed fully during the nine-month periods ended January 31, 2024 under Loss on disposition of assets on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96" w:name="xdx_84A_eus-gaap--GoodwillAndIntangibleA"/>
      <w:bookmarkEnd w:id="396"/>
      <w:r>
        <w:rPr>
          <w:rFonts w:ascii="Times New Roman;Times;Serif" w:hAnsi="Times New Roman;Times;Serif"/>
          <w:b/>
          <w:i/>
          <w:caps w:val="false"/>
          <w:smallCaps w:val="false"/>
          <w:sz w:val="20"/>
        </w:rPr>
        <w:t xml:space="preserve">(n) </w:t>
      </w:r>
      <w:bookmarkStart w:id="397" w:name="xdx_861_zOJySxXj7Bke"/>
      <w:bookmarkEnd w:id="397"/>
      <w:r>
        <w:rPr>
          <w:rFonts w:ascii="Times New Roman;Times;Serif" w:hAnsi="Times New Roman;Times;Serif"/>
          <w:b/>
          <w:i/>
          <w:caps w:val="false"/>
          <w:smallCaps w:val="false"/>
          <w:sz w:val="20"/>
        </w:rPr>
        <w:t>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is assessed for impairment using a qualitative or quantitative approach. The Company performs an annual impairment test of goodwill and further periodic tests to the extent indicators of impairment develop between annual impairment tests. There were no indications of potential impairment of goodwill identified for the nine months ended January 31, 2024 and 2023. Where the Company uses a qualitative analysis, it considers factors that include historical financial performance, macroeconomic and industry conditions, and the legal and regulatory environment. If the qualitative assessment indicates that it is more likely than not that an impairment exists, then a quantitative assessment is also performed. The quantitative assessment requires an analysis of several estimates including future cash flows or income consistent with management’s strategic business plans, annual sales growth rates and the selection of assumptions underlying a discount rate (weighted average cost of capital) based on market data available at the time to determine fair value of the Company. If the fair value is less than the carrying amounts, an impairment charge for the difference is recorded. The Company acquired goodwill as part of its purchase of MAR. Management performed its annual qualitative assessment in fiscal year 2023 and determined that it is more likely than not that no goodwill impairment existed as of April 30,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98" w:name="xdx_843_eus-gaap--IncomeTaxPolicyTextBlo"/>
      <w:bookmarkEnd w:id="398"/>
      <w:r>
        <w:rPr>
          <w:rFonts w:ascii="Times New Roman;Times;Serif" w:hAnsi="Times New Roman;Times;Serif"/>
          <w:b/>
          <w:i/>
          <w:caps w:val="false"/>
          <w:smallCaps w:val="false"/>
          <w:sz w:val="20"/>
        </w:rPr>
        <w:t xml:space="preserve">(o) </w:t>
      </w:r>
      <w:bookmarkStart w:id="399" w:name="xdx_86E_zX9sps4FZNMl"/>
      <w:bookmarkEnd w:id="399"/>
      <w:r>
        <w:rPr>
          <w:rFonts w:ascii="Times New Roman;Times;Serif" w:hAnsi="Times New Roman;Times;Serif"/>
          <w:b/>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are accounted for under ACS 740 utilizing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and operating loss and tax credit carry forwards are expected to be recovered, settled or utilized. In assessing the realizability of deferred tax assets, management considers whether it is more likely than not that some portion or all the deferred tax assets will not be realized. If such event occurs, a valuation allowance is recorded. The effect on deferred tax assets and liabilities of a change in tax rates is recognized in income in the period that includes the enactment date.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the effect of income tax positions only if those positions are more likely than not of being sustained upon examination. Recognized income tax positions are measured at the largest amount that is greater than 50% likely of being realized. Changes in recognition or measurement are reflected in the period in which the change in judgment occurs. The Company records interest related to unrecognized tax benefits in interest expense and penalties in selling, general, and administrative expenses, to the extent incurred. Refer to Note 15 for additional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00" w:name="xdx_843_ecustom--AccumulatedOtherCompreh"/>
      <w:bookmarkEnd w:id="400"/>
      <w:r>
        <w:rPr>
          <w:rFonts w:ascii="Times New Roman;Times;Serif" w:hAnsi="Times New Roman;Times;Serif"/>
          <w:b/>
          <w:i/>
          <w:caps w:val="false"/>
          <w:smallCaps w:val="false"/>
          <w:sz w:val="20"/>
        </w:rPr>
        <w:t xml:space="preserve">(p) </w:t>
      </w:r>
      <w:bookmarkStart w:id="401" w:name="xdx_86B_z2Ckz9KnCTC2"/>
      <w:bookmarkEnd w:id="401"/>
      <w:r>
        <w:rPr>
          <w:rFonts w:ascii="Times New Roman;Times;Serif" w:hAnsi="Times New Roman;Times;Serif"/>
          <w:b/>
          <w:i/>
          <w:caps w:val="false"/>
          <w:smallCaps w:val="false"/>
          <w:sz w:val="20"/>
        </w:rPr>
        <w:t>Accumulated Other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functional currency for the Company’s foreign operations is the applicable local currency. The translation from the applicable foreign currencies to U.S. dollars is performed for balance sheet accounts using the exchange rates in effect at the balance sheet date and for revenue and expense accounts using an average exchange rate during the period. The unrealized gains or losses resulting from such translation are included in Accumulated Other Comprehensive Loss within Shareholders’ Equity. For the nine months ended January 31, 2024 and 2023, there were no amounts recorded to other comprehensive (income) loss due to limited foreign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02" w:name="xdx_847_ecustom--WarrantyPolicyTextBlock"/>
      <w:bookmarkEnd w:id="402"/>
      <w:r>
        <w:rPr>
          <w:rFonts w:ascii="Times New Roman;Times;Serif" w:hAnsi="Times New Roman;Times;Serif"/>
          <w:b/>
          <w:i/>
          <w:caps w:val="false"/>
          <w:smallCaps w:val="false"/>
          <w:sz w:val="20"/>
        </w:rPr>
        <w:t xml:space="preserve">(q) </w:t>
      </w:r>
      <w:bookmarkStart w:id="403" w:name="xdx_866_zUgemmuVVps4"/>
      <w:bookmarkEnd w:id="403"/>
      <w:r>
        <w:rPr>
          <w:rFonts w:ascii="Times New Roman;Times;Serif" w:hAnsi="Times New Roman;Times;Serif"/>
          <w:b/>
          <w:i/>
          <w:caps w:val="false"/>
          <w:smallCaps w:val="false"/>
          <w:sz w:val="20"/>
        </w:rPr>
        <w:t>Warranty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include a right of return on its products other than rights related to standard warranty provisions that permit repair or replacement of defective goods. Warranty expense incurred to date has not been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04" w:name="xdx_84C_eus-gaap--ResearchAndDevelopment"/>
      <w:bookmarkEnd w:id="404"/>
      <w:r>
        <w:rPr>
          <w:rFonts w:ascii="Times New Roman;Times;Serif" w:hAnsi="Times New Roman;Times;Serif"/>
          <w:b/>
          <w:i/>
          <w:caps w:val="false"/>
          <w:smallCaps w:val="false"/>
          <w:sz w:val="20"/>
        </w:rPr>
        <w:t xml:space="preserve">(r) </w:t>
      </w:r>
      <w:bookmarkStart w:id="405" w:name="xdx_863_zanomNRDJtnj"/>
      <w:bookmarkEnd w:id="405"/>
      <w:r>
        <w:rPr>
          <w:rFonts w:ascii="Times New Roman;Times;Serif" w:hAnsi="Times New Roman;Times;Serif"/>
          <w:b/>
          <w:i/>
          <w:caps w:val="false"/>
          <w:smallCaps w:val="false"/>
          <w:sz w:val="20"/>
        </w:rPr>
        <w:t>Product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related to product development activities by the Company are expensed as incurred. The Company had approximately $</w:t>
      </w:r>
      <w:bookmarkStart w:id="406" w:name="xdx_90D_eus-gaap--ResearchAndDevelopment"/>
      <w:bookmarkEnd w:id="406"/>
      <w:r>
        <w:rPr>
          <w:rFonts w:ascii="Times New Roman;Times;Serif" w:hAnsi="Times New Roman;Times;Serif"/>
          <w:b w:val="false"/>
          <w:i w:val="false"/>
          <w:caps w:val="false"/>
          <w:smallCaps w:val="false"/>
          <w:sz w:val="20"/>
        </w:rPr>
        <w:t>5.5 million and $</w:t>
      </w:r>
      <w:bookmarkStart w:id="407" w:name="xdx_90A_eus-gaap--ResearchAndDevelopment"/>
      <w:bookmarkEnd w:id="407"/>
      <w:r>
        <w:rPr>
          <w:rFonts w:ascii="Times New Roman;Times;Serif" w:hAnsi="Times New Roman;Times;Serif"/>
          <w:b w:val="false"/>
          <w:i w:val="false"/>
          <w:caps w:val="false"/>
          <w:smallCaps w:val="false"/>
          <w:sz w:val="20"/>
        </w:rPr>
        <w:t>6.7 million in product development expense for the nine months ended January 31, 2024 and 2023, respectively. The Company had approximately $</w:t>
      </w:r>
      <w:bookmarkStart w:id="408" w:name="xdx_90A_eus-gaap--ResearchAndDevelopment"/>
      <w:bookmarkEnd w:id="408"/>
      <w:r>
        <w:rPr>
          <w:rFonts w:ascii="Times New Roman;Times;Serif" w:hAnsi="Times New Roman;Times;Serif"/>
          <w:b w:val="false"/>
          <w:i w:val="false"/>
          <w:caps w:val="false"/>
          <w:smallCaps w:val="false"/>
          <w:sz w:val="20"/>
        </w:rPr>
        <w:t>1.5 million and $</w:t>
      </w:r>
      <w:bookmarkStart w:id="409" w:name="xdx_90F_eus-gaap--ResearchAndDevelopment"/>
      <w:bookmarkEnd w:id="409"/>
      <w:r>
        <w:rPr>
          <w:rFonts w:ascii="Times New Roman;Times;Serif" w:hAnsi="Times New Roman;Times;Serif"/>
          <w:b w:val="false"/>
          <w:i w:val="false"/>
          <w:caps w:val="false"/>
          <w:smallCaps w:val="false"/>
          <w:sz w:val="20"/>
        </w:rPr>
        <w:t>2.0 million in product development expense for the three months ended January 31, 2024 and 2023,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10" w:name="xdx_845_eus-gaap--NewAccountingPronounce"/>
      <w:bookmarkEnd w:id="410"/>
      <w:r>
        <w:rPr>
          <w:rFonts w:ascii="Times New Roman;Times;Serif" w:hAnsi="Times New Roman;Times;Serif"/>
          <w:b/>
          <w:i/>
          <w:caps w:val="false"/>
          <w:smallCaps w:val="false"/>
          <w:sz w:val="20"/>
        </w:rPr>
        <w:t xml:space="preserve">(s) </w:t>
      </w:r>
      <w:bookmarkStart w:id="411" w:name="xdx_86B_zFjwqCnXBUpd"/>
      <w:bookmarkEnd w:id="411"/>
      <w:r>
        <w:rPr>
          <w:rFonts w:ascii="Times New Roman;Times;Serif" w:hAnsi="Times New Roman;Times;Serif"/>
          <w:b/>
          <w:i/>
          <w:caps w:val="false"/>
          <w:smallCaps w:val="false"/>
          <w:sz w:val="20"/>
        </w:rPr>
        <w:t>Recently Issued Accounting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recently issued accounting standards in the current or prior periods that would significantly affect the Company’s financial statements, that have not been addressed in prior periods.</w:t>
      </w:r>
    </w:p>
    <w:p>
      <w:pPr>
        <w:pStyle w:val="TextBody"/>
        <w:bidi w:val="0"/>
        <w:spacing w:before="0" w:after="0"/>
        <w:ind w:left="0" w:right="0" w:hanging="0"/>
        <w:jc w:val="both"/>
        <w:rPr>
          <w:caps w:val="false"/>
          <w:smallCaps w:val="false"/>
        </w:rPr>
      </w:pPr>
      <w:bookmarkStart w:id="412" w:name="xdx_85A_zWEWz5NVLsQb"/>
      <w:bookmarkEnd w:id="412"/>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13" w:name="xdx_809_ecustom--AccountReceivableContra"/>
      <w:bookmarkEnd w:id="413"/>
      <w:r>
        <w:rPr>
          <w:rFonts w:ascii="Times New Roman;Times;Serif" w:hAnsi="Times New Roman;Times;Serif"/>
          <w:b/>
          <w:i w:val="false"/>
          <w:caps w:val="false"/>
          <w:smallCaps w:val="false"/>
          <w:sz w:val="20"/>
        </w:rPr>
        <w:t xml:space="preserve">(3) </w:t>
      </w:r>
      <w:bookmarkStart w:id="414" w:name="xdx_82C_zFstEwPIr7a8"/>
      <w:bookmarkEnd w:id="414"/>
      <w:r>
        <w:rPr>
          <w:rFonts w:ascii="Times New Roman;Times;Serif" w:hAnsi="Times New Roman;Times;Serif"/>
          <w:b/>
          <w:i w:val="false"/>
          <w:caps w:val="false"/>
          <w:smallCaps w:val="false"/>
          <w:sz w:val="20"/>
        </w:rPr>
        <w:t>Accounts Receivable, Contract Assets and Contract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15" w:name="xdx_899_ecustom--ScheduleOfAccountsRecei"/>
      <w:bookmarkEnd w:id="415"/>
      <w:r>
        <w:rPr>
          <w:rFonts w:ascii="Times New Roman;Times;Serif" w:hAnsi="Times New Roman;Times;Serif"/>
          <w:b w:val="false"/>
          <w:i w:val="false"/>
          <w:caps w:val="false"/>
          <w:smallCaps w:val="false"/>
          <w:sz w:val="20"/>
        </w:rPr>
        <w:t>The following provides further details on the balance sheet accounts of accounts receivable, contract assets and contract liabilities from contracts with customers:</w:t>
      </w:r>
    </w:p>
    <w:p>
      <w:pPr>
        <w:pStyle w:val="TextBody"/>
        <w:bidi w:val="0"/>
        <w:spacing w:before="0" w:after="0"/>
        <w:ind w:left="0" w:right="0" w:hanging="0"/>
        <w:jc w:val="both"/>
        <w:rPr>
          <w:caps w:val="false"/>
          <w:smallCaps w:val="false"/>
        </w:rPr>
      </w:pPr>
      <w:r>
        <w:rPr>
          <w:caps w:val="false"/>
          <w:smallCaps w:val="false"/>
        </w:rPr>
        <w:t> </w:t>
      </w:r>
      <w:bookmarkStart w:id="416" w:name="xdx_8B6_z7PqW32DLauc"/>
      <w:bookmarkEnd w:id="416"/>
      <w:r>
        <w:rPr>
          <w:rFonts w:ascii="Times New Roman;Times;Serif" w:hAnsi="Times New Roman;Times;Serif"/>
          <w:b w:val="false"/>
          <w:i w:val="false"/>
          <w:caps w:val="false"/>
          <w:smallCaps w:val="false"/>
          <w:sz w:val="20"/>
        </w:rPr>
        <w:t>Schedule of Accounts Receivable, Contract Assets and Contract Liabilities</w:t>
      </w:r>
    </w:p>
    <w:tbl>
      <w:tblPr>
        <w:tblW w:w="7023" w:type="dxa"/>
        <w:jc w:val="left"/>
        <w:tblInd w:w="0" w:type="dxa"/>
        <w:tblLayout w:type="fixed"/>
        <w:tblCellMar>
          <w:top w:w="0" w:type="dxa"/>
          <w:left w:w="0" w:type="dxa"/>
          <w:bottom w:w="0" w:type="dxa"/>
          <w:right w:w="0" w:type="dxa"/>
        </w:tblCellMar>
      </w:tblPr>
      <w:tblGrid>
        <w:gridCol w:w="1955"/>
        <w:gridCol w:w="60"/>
        <w:gridCol w:w="476"/>
        <w:gridCol w:w="1298"/>
        <w:gridCol w:w="60"/>
        <w:gridCol w:w="60"/>
        <w:gridCol w:w="292"/>
        <w:gridCol w:w="1168"/>
        <w:gridCol w:w="60"/>
        <w:gridCol w:w="60"/>
        <w:gridCol w:w="391"/>
        <w:gridCol w:w="1068"/>
        <w:gridCol w:w="75"/>
      </w:tblGrid>
      <w:tr>
        <w:trPr/>
        <w:tc>
          <w:tcPr>
            <w:tcW w:w="19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417" w:name="xdx_498_20240131_zirIcBjGcnm9"/>
            <w:bookmarkEnd w:id="417"/>
          </w:p>
        </w:tc>
        <w:tc>
          <w:tcPr>
            <w:tcW w:w="17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January 31, 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18" w:name="xdx_497_20230430_zKfVdY0cSuRk"/>
            <w:bookmarkEnd w:id="418"/>
          </w:p>
        </w:tc>
        <w:tc>
          <w:tcPr>
            <w:tcW w:w="14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April 30, 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19" w:name="xdx_499_20220430_zeybsulNRbK9"/>
            <w:bookmarkEnd w:id="419"/>
          </w:p>
        </w:tc>
        <w:tc>
          <w:tcPr>
            <w:tcW w:w="14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April 30, 2022</w:t>
            </w:r>
          </w:p>
        </w:tc>
        <w:tc>
          <w:tcPr>
            <w:tcW w:w="75" w:type="dxa"/>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933" w:type="dxa"/>
            <w:gridSpan w:val="10"/>
            <w:tcBorders/>
            <w:vAlign w:val="center"/>
          </w:tcPr>
          <w:p>
            <w:pPr>
              <w:pStyle w:val="TableContents"/>
              <w:bidi w:val="0"/>
              <w:spacing w:before="0" w:after="283"/>
              <w:jc w:val="center"/>
              <w:rPr/>
            </w:pPr>
            <w:r>
              <w:rPr/>
              <w:t>(in thousands)</w:t>
            </w:r>
          </w:p>
        </w:tc>
        <w:tc>
          <w:tcPr>
            <w:tcW w:w="75" w:type="dxa"/>
            <w:tcBorders/>
            <w:vAlign w:val="center"/>
          </w:tcPr>
          <w:p>
            <w:pPr>
              <w:pStyle w:val="TableContents"/>
              <w:bidi w:val="0"/>
              <w:spacing w:before="0" w:after="283"/>
              <w:jc w:val="left"/>
              <w:rPr/>
            </w:pPr>
            <w:r>
              <w:rPr/>
              <w:t> </w:t>
            </w:r>
            <w:bookmarkStart w:id="420" w:name="xdx_405_eus-gaap--AccountsReceivableNetC"/>
            <w:bookmarkEnd w:id="420"/>
          </w:p>
        </w:tc>
      </w:tr>
      <w:tr>
        <w:trPr/>
        <w:tc>
          <w:tcPr>
            <w:tcW w:w="1955"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left"/>
              <w:rPr/>
            </w:pPr>
            <w:r>
              <w:rPr/>
              <w:t>$</w:t>
            </w:r>
          </w:p>
        </w:tc>
        <w:tc>
          <w:tcPr>
            <w:tcW w:w="1298" w:type="dxa"/>
            <w:tcBorders/>
            <w:shd w:fill="CCEEFF" w:val="clear"/>
            <w:vAlign w:val="center"/>
          </w:tcPr>
          <w:p>
            <w:pPr>
              <w:pStyle w:val="TableContents"/>
              <w:bidi w:val="0"/>
              <w:spacing w:before="0" w:after="283"/>
              <w:jc w:val="right"/>
              <w:rPr/>
            </w:pPr>
            <w:r>
              <w:rPr/>
              <w:t>625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745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w:t>
            </w:r>
          </w:p>
        </w:tc>
        <w:tc>
          <w:tcPr>
            <w:tcW w:w="1068" w:type="dxa"/>
            <w:tcBorders/>
            <w:shd w:fill="CCEEFF" w:val="clear"/>
            <w:vAlign w:val="center"/>
          </w:tcPr>
          <w:p>
            <w:pPr>
              <w:pStyle w:val="TableContents"/>
              <w:bidi w:val="0"/>
              <w:spacing w:before="0" w:after="283"/>
              <w:jc w:val="right"/>
              <w:rPr/>
            </w:pPr>
            <w:r>
              <w:rPr/>
              <w:t>482</w:t>
            </w:r>
          </w:p>
        </w:tc>
        <w:tc>
          <w:tcPr>
            <w:tcW w:w="75" w:type="dxa"/>
            <w:tcBorders/>
            <w:shd w:fill="CCEEFF" w:val="clear"/>
            <w:vAlign w:val="center"/>
          </w:tcPr>
          <w:p>
            <w:pPr>
              <w:pStyle w:val="TableContents"/>
              <w:bidi w:val="0"/>
              <w:spacing w:before="0" w:after="283"/>
              <w:jc w:val="left"/>
              <w:rPr/>
            </w:pPr>
            <w:r>
              <w:rPr/>
              <w:t> </w:t>
            </w:r>
            <w:bookmarkStart w:id="421" w:name="xdx_400_eus-gaap--ContractWithCustomerAs"/>
            <w:bookmarkEnd w:id="421"/>
          </w:p>
        </w:tc>
      </w:tr>
      <w:tr>
        <w:trPr/>
        <w:tc>
          <w:tcPr>
            <w:tcW w:w="1955" w:type="dxa"/>
            <w:tcBorders/>
            <w:shd w:fill="FFFFFF" w:val="clear"/>
            <w:vAlign w:val="center"/>
          </w:tcPr>
          <w:p>
            <w:pPr>
              <w:pStyle w:val="TableContents"/>
              <w:bidi w:val="0"/>
              <w:spacing w:before="0" w:after="283"/>
              <w:jc w:val="left"/>
              <w:rPr/>
            </w:pPr>
            <w:r>
              <w:rPr/>
              <w:t>Contract assets</w:t>
            </w:r>
          </w:p>
        </w:tc>
        <w:tc>
          <w:tcPr>
            <w:tcW w:w="60"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left"/>
              <w:rPr/>
            </w:pPr>
            <w:r>
              <w:rPr/>
              <w:t>$</w:t>
            </w:r>
          </w:p>
        </w:tc>
        <w:tc>
          <w:tcPr>
            <w:tcW w:w="1298" w:type="dxa"/>
            <w:tcBorders/>
            <w:shd w:fill="FFFFFF" w:val="clear"/>
            <w:vAlign w:val="center"/>
          </w:tcPr>
          <w:p>
            <w:pPr>
              <w:pStyle w:val="TableContents"/>
              <w:bidi w:val="0"/>
              <w:spacing w:before="0" w:after="283"/>
              <w:jc w:val="right"/>
              <w:rPr/>
            </w:pPr>
            <w:r>
              <w:rPr/>
              <w:t>281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w:t>
            </w:r>
          </w:p>
        </w:tc>
        <w:tc>
          <w:tcPr>
            <w:tcW w:w="1168" w:type="dxa"/>
            <w:tcBorders/>
            <w:shd w:fill="FFFFFF" w:val="clear"/>
            <w:vAlign w:val="center"/>
          </w:tcPr>
          <w:p>
            <w:pPr>
              <w:pStyle w:val="TableContents"/>
              <w:bidi w:val="0"/>
              <w:spacing w:before="0" w:after="283"/>
              <w:jc w:val="right"/>
              <w:rPr/>
            </w:pPr>
            <w:r>
              <w:rPr/>
              <w:t>152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w:t>
            </w:r>
          </w:p>
        </w:tc>
        <w:tc>
          <w:tcPr>
            <w:tcW w:w="1068" w:type="dxa"/>
            <w:tcBorders/>
            <w:shd w:fill="FFFFFF" w:val="clear"/>
            <w:vAlign w:val="center"/>
          </w:tcPr>
          <w:p>
            <w:pPr>
              <w:pStyle w:val="TableContents"/>
              <w:bidi w:val="0"/>
              <w:spacing w:before="0" w:after="283"/>
              <w:jc w:val="right"/>
              <w:rPr/>
            </w:pPr>
            <w:r>
              <w:rPr/>
              <w:t>386</w:t>
            </w:r>
          </w:p>
        </w:tc>
        <w:tc>
          <w:tcPr>
            <w:tcW w:w="75" w:type="dxa"/>
            <w:tcBorders/>
            <w:shd w:fill="FFFFFF" w:val="clear"/>
            <w:vAlign w:val="center"/>
          </w:tcPr>
          <w:p>
            <w:pPr>
              <w:pStyle w:val="TableContents"/>
              <w:bidi w:val="0"/>
              <w:spacing w:before="0" w:after="283"/>
              <w:jc w:val="left"/>
              <w:rPr/>
            </w:pPr>
            <w:r>
              <w:rPr/>
              <w:t> </w:t>
            </w:r>
            <w:bookmarkStart w:id="422" w:name="xdx_407_eus-gaap--ContractWithCustomerLi"/>
            <w:bookmarkEnd w:id="422"/>
          </w:p>
        </w:tc>
      </w:tr>
      <w:tr>
        <w:trPr/>
        <w:tc>
          <w:tcPr>
            <w:tcW w:w="1955" w:type="dxa"/>
            <w:tcBorders/>
            <w:shd w:fill="CCEEFF" w:val="clear"/>
            <w:vAlign w:val="center"/>
          </w:tcPr>
          <w:p>
            <w:pPr>
              <w:pStyle w:val="TableContents"/>
              <w:bidi w:val="0"/>
              <w:spacing w:before="0" w:after="283"/>
              <w:jc w:val="left"/>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left"/>
              <w:rPr/>
            </w:pPr>
            <w:r>
              <w:rPr/>
              <w:t>$</w:t>
            </w:r>
          </w:p>
        </w:tc>
        <w:tc>
          <w:tcPr>
            <w:tcW w:w="1298" w:type="dxa"/>
            <w:tcBorders/>
            <w:shd w:fill="CCEEFF" w:val="clear"/>
            <w:vAlign w:val="center"/>
          </w:tcPr>
          <w:p>
            <w:pPr>
              <w:pStyle w:val="TableContents"/>
              <w:bidi w:val="0"/>
              <w:spacing w:before="0" w:after="283"/>
              <w:jc w:val="right"/>
              <w:rPr/>
            </w:pPr>
            <w:r>
              <w:rPr/>
              <w:t>868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1,378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w:t>
            </w:r>
          </w:p>
        </w:tc>
        <w:tc>
          <w:tcPr>
            <w:tcW w:w="1068" w:type="dxa"/>
            <w:tcBorders/>
            <w:shd w:fill="CCEEFF" w:val="clear"/>
            <w:vAlign w:val="center"/>
          </w:tcPr>
          <w:p>
            <w:pPr>
              <w:pStyle w:val="TableContents"/>
              <w:bidi w:val="0"/>
              <w:spacing w:before="0" w:after="283"/>
              <w:jc w:val="right"/>
              <w:rPr/>
            </w:pPr>
            <w:r>
              <w:rPr/>
              <w:t>129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23" w:name="xdx_8A8_zH4akf7ZwOOe"/>
      <w:bookmarkEnd w:id="423"/>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Contract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assets include unbilled amounts typically resulting from arrangements whereby the right to payment is conditional on completing additional tasks or services for a performance obligation. The increase in contract assets from year end is primarily a result of consulting services projects for which revenue was recognized in the current period but has not yet been billed. No impairments to contract assets were incurred during the nine months ended January 31,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24" w:name="xdx_895_ecustom--ContractWithCustomerAss"/>
      <w:bookmarkEnd w:id="424"/>
      <w:r>
        <w:rPr>
          <w:rFonts w:ascii="Times New Roman;Times;Serif" w:hAnsi="Times New Roman;Times;Serif"/>
          <w:b w:val="false"/>
          <w:i w:val="false"/>
          <w:caps w:val="false"/>
          <w:smallCaps w:val="false"/>
          <w:sz w:val="20"/>
        </w:rPr>
        <w:t>Significant changes in the contract assets balances during the period were as follows:</w:t>
      </w:r>
    </w:p>
    <w:p>
      <w:pPr>
        <w:pStyle w:val="TextBody"/>
        <w:bidi w:val="0"/>
        <w:spacing w:before="0" w:after="0"/>
        <w:ind w:left="0" w:right="0" w:hanging="0"/>
        <w:jc w:val="left"/>
        <w:rPr>
          <w:caps w:val="false"/>
          <w:smallCaps w:val="false"/>
        </w:rPr>
      </w:pPr>
      <w:r>
        <w:rPr>
          <w:caps w:val="false"/>
          <w:smallCaps w:val="false"/>
        </w:rPr>
        <w:t> </w:t>
      </w:r>
      <w:bookmarkStart w:id="425" w:name="xdx_8B2_zmrP2JIYi0K5"/>
      <w:bookmarkEnd w:id="425"/>
      <w:r>
        <w:rPr>
          <w:rFonts w:ascii="Times New Roman;Times;Serif" w:hAnsi="Times New Roman;Times;Serif"/>
          <w:b w:val="false"/>
          <w:i w:val="false"/>
          <w:caps w:val="false"/>
          <w:smallCaps w:val="false"/>
          <w:sz w:val="20"/>
        </w:rPr>
        <w:t>Schedule of Significant Changes in Contract Assets</w:t>
      </w:r>
    </w:p>
    <w:tbl>
      <w:tblPr>
        <w:tblW w:w="10205" w:type="dxa"/>
        <w:jc w:val="left"/>
        <w:tblInd w:w="0" w:type="dxa"/>
        <w:tblLayout w:type="fixed"/>
        <w:tblCellMar>
          <w:top w:w="0" w:type="dxa"/>
          <w:left w:w="0" w:type="dxa"/>
          <w:bottom w:w="0" w:type="dxa"/>
          <w:right w:w="0" w:type="dxa"/>
        </w:tblCellMar>
      </w:tblPr>
      <w:tblGrid>
        <w:gridCol w:w="4121"/>
        <w:gridCol w:w="60"/>
        <w:gridCol w:w="519"/>
        <w:gridCol w:w="2359"/>
        <w:gridCol w:w="95"/>
        <w:gridCol w:w="60"/>
        <w:gridCol w:w="519"/>
        <w:gridCol w:w="2359"/>
        <w:gridCol w:w="113"/>
      </w:tblGrid>
      <w:tr>
        <w:trPr/>
        <w:tc>
          <w:tcPr>
            <w:tcW w:w="412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426" w:name="xdx_491_20230501__20240131_zIMyt25UiN3b"/>
            <w:bookmarkEnd w:id="426"/>
          </w:p>
        </w:tc>
        <w:tc>
          <w:tcPr>
            <w:tcW w:w="28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Nine months ended January 31, 2024</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427" w:name="xdx_496_20220501__20230131_zMldReouatSf"/>
            <w:bookmarkEnd w:id="427"/>
          </w:p>
        </w:tc>
        <w:tc>
          <w:tcPr>
            <w:tcW w:w="28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Nine months ended January 31, 2023</w:t>
            </w:r>
          </w:p>
        </w:tc>
        <w:tc>
          <w:tcPr>
            <w:tcW w:w="113" w:type="dxa"/>
            <w:tcBorders/>
            <w:vAlign w:val="center"/>
          </w:tcPr>
          <w:p>
            <w:pPr>
              <w:pStyle w:val="TableContents"/>
              <w:bidi w:val="0"/>
              <w:spacing w:before="0" w:after="283"/>
              <w:jc w:val="center"/>
              <w:rPr/>
            </w:pPr>
            <w:r>
              <w:rPr/>
              <w:t> </w:t>
            </w:r>
          </w:p>
        </w:tc>
      </w:tr>
      <w:tr>
        <w:trPr/>
        <w:tc>
          <w:tcPr>
            <w:tcW w:w="41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11" w:type="dxa"/>
            <w:gridSpan w:val="6"/>
            <w:tcBorders/>
            <w:vAlign w:val="center"/>
          </w:tcPr>
          <w:p>
            <w:pPr>
              <w:pStyle w:val="TableContents"/>
              <w:bidi w:val="0"/>
              <w:spacing w:before="0" w:after="283"/>
              <w:jc w:val="center"/>
              <w:rPr/>
            </w:pPr>
            <w:r>
              <w:rPr/>
              <w:t>(in thousands)</w:t>
            </w:r>
          </w:p>
        </w:tc>
        <w:tc>
          <w:tcPr>
            <w:tcW w:w="113" w:type="dxa"/>
            <w:tcBorders/>
            <w:vAlign w:val="center"/>
          </w:tcPr>
          <w:p>
            <w:pPr>
              <w:pStyle w:val="TableContents"/>
              <w:bidi w:val="0"/>
              <w:spacing w:before="0" w:after="283"/>
              <w:jc w:val="left"/>
              <w:rPr/>
            </w:pPr>
            <w:r>
              <w:rPr/>
              <w:t> </w:t>
            </w:r>
            <w:bookmarkStart w:id="428" w:name="xdx_406_ecustom--TransferredToReceivable"/>
            <w:bookmarkEnd w:id="428"/>
          </w:p>
        </w:tc>
      </w:tr>
      <w:tr>
        <w:trPr/>
        <w:tc>
          <w:tcPr>
            <w:tcW w:w="4121" w:type="dxa"/>
            <w:tcBorders/>
            <w:shd w:fill="CCEEFF" w:val="clear"/>
            <w:vAlign w:val="center"/>
          </w:tcPr>
          <w:p>
            <w:pPr>
              <w:pStyle w:val="TableContents"/>
              <w:bidi w:val="0"/>
              <w:spacing w:before="0" w:after="283"/>
              <w:jc w:val="left"/>
              <w:rPr/>
            </w:pPr>
            <w:r>
              <w:rPr/>
              <w:t>Transferred to receivables from contract assets recognized</w:t>
            </w:r>
          </w:p>
        </w:tc>
        <w:tc>
          <w:tcPr>
            <w:tcW w:w="60" w:type="dxa"/>
            <w:tcBorders/>
            <w:shd w:fill="CCEEFF" w:val="clear"/>
            <w:vAlign w:val="center"/>
          </w:tcPr>
          <w:p>
            <w:pPr>
              <w:pStyle w:val="TableContents"/>
              <w:bidi w:val="0"/>
              <w:spacing w:before="0" w:after="283"/>
              <w:jc w:val="left"/>
              <w:rPr/>
            </w:pPr>
            <w:r>
              <w:rPr/>
              <w:t> </w:t>
            </w:r>
          </w:p>
        </w:tc>
        <w:tc>
          <w:tcPr>
            <w:tcW w:w="519" w:type="dxa"/>
            <w:tcBorders/>
            <w:shd w:fill="CCEEFF" w:val="clear"/>
            <w:vAlign w:val="center"/>
          </w:tcPr>
          <w:p>
            <w:pPr>
              <w:pStyle w:val="TableContents"/>
              <w:bidi w:val="0"/>
              <w:spacing w:before="0" w:after="283"/>
              <w:jc w:val="left"/>
              <w:rPr/>
            </w:pPr>
            <w:r>
              <w:rPr/>
              <w:t>$</w:t>
            </w:r>
          </w:p>
        </w:tc>
        <w:tc>
          <w:tcPr>
            <w:tcW w:w="2359" w:type="dxa"/>
            <w:tcBorders/>
            <w:shd w:fill="CCEEFF" w:val="clear"/>
            <w:vAlign w:val="center"/>
          </w:tcPr>
          <w:p>
            <w:pPr>
              <w:pStyle w:val="TableContents"/>
              <w:bidi w:val="0"/>
              <w:spacing w:before="0" w:after="283"/>
              <w:jc w:val="right"/>
              <w:rPr/>
            </w:pPr>
            <w:r>
              <w:rPr/>
              <w:t>(1,469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19" w:type="dxa"/>
            <w:tcBorders/>
            <w:shd w:fill="CCEEFF" w:val="clear"/>
            <w:vAlign w:val="center"/>
          </w:tcPr>
          <w:p>
            <w:pPr>
              <w:pStyle w:val="TableContents"/>
              <w:bidi w:val="0"/>
              <w:spacing w:before="0" w:after="283"/>
              <w:jc w:val="left"/>
              <w:rPr/>
            </w:pPr>
            <w:r>
              <w:rPr/>
              <w:t>$</w:t>
            </w:r>
          </w:p>
        </w:tc>
        <w:tc>
          <w:tcPr>
            <w:tcW w:w="2359" w:type="dxa"/>
            <w:tcBorders/>
            <w:shd w:fill="CCEEFF" w:val="clear"/>
            <w:vAlign w:val="center"/>
          </w:tcPr>
          <w:p>
            <w:pPr>
              <w:pStyle w:val="TableContents"/>
              <w:bidi w:val="0"/>
              <w:spacing w:before="0" w:after="283"/>
              <w:jc w:val="right"/>
              <w:rPr/>
            </w:pPr>
            <w:r>
              <w:rPr/>
              <w:t>(1,646</w:t>
            </w:r>
          </w:p>
        </w:tc>
        <w:tc>
          <w:tcPr>
            <w:tcW w:w="113" w:type="dxa"/>
            <w:tcBorders/>
            <w:shd w:fill="CCEEFF" w:val="clear"/>
            <w:vAlign w:val="center"/>
          </w:tcPr>
          <w:p>
            <w:pPr>
              <w:pStyle w:val="TableContents"/>
              <w:bidi w:val="0"/>
              <w:spacing w:before="0" w:after="283"/>
              <w:jc w:val="left"/>
              <w:rPr/>
            </w:pPr>
            <w:r>
              <w:rPr/>
              <w:t>)</w:t>
            </w:r>
            <w:bookmarkStart w:id="429" w:name="xdx_406_ecustom--RevenueRecognizedAndNot"/>
            <w:bookmarkEnd w:id="429"/>
          </w:p>
        </w:tc>
      </w:tr>
      <w:tr>
        <w:trPr/>
        <w:tc>
          <w:tcPr>
            <w:tcW w:w="4121" w:type="dxa"/>
            <w:tcBorders/>
            <w:shd w:fill="FFFFFF" w:val="clear"/>
            <w:vAlign w:val="center"/>
          </w:tcPr>
          <w:p>
            <w:pPr>
              <w:pStyle w:val="TableContents"/>
              <w:bidi w:val="0"/>
              <w:spacing w:before="0" w:after="283"/>
              <w:jc w:val="left"/>
              <w:rPr/>
            </w:pPr>
            <w:r>
              <w:rPr/>
              <w:t>Revenue recognized and not billed</w:t>
            </w:r>
          </w:p>
        </w:tc>
        <w:tc>
          <w:tcPr>
            <w:tcW w:w="60" w:type="dxa"/>
            <w:tcBorders/>
            <w:shd w:fill="FFFFFF" w:val="clear"/>
            <w:vAlign w:val="center"/>
          </w:tcPr>
          <w:p>
            <w:pPr>
              <w:pStyle w:val="TableContents"/>
              <w:bidi w:val="0"/>
              <w:spacing w:before="0" w:after="283"/>
              <w:jc w:val="left"/>
              <w:rPr/>
            </w:pPr>
            <w:r>
              <w:rPr/>
              <w:t> </w:t>
            </w:r>
          </w:p>
        </w:tc>
        <w:tc>
          <w:tcPr>
            <w:tcW w:w="5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359" w:type="dxa"/>
            <w:tcBorders>
              <w:bottom w:val="single" w:sz="12" w:space="0" w:color="000000"/>
            </w:tcBorders>
            <w:shd w:fill="FFFFFF" w:val="clear"/>
            <w:tcMar>
              <w:bottom w:w="28" w:type="dxa"/>
            </w:tcMar>
            <w:vAlign w:val="center"/>
          </w:tcPr>
          <w:p>
            <w:pPr>
              <w:pStyle w:val="TableContents"/>
              <w:bidi w:val="0"/>
              <w:spacing w:before="0" w:after="283"/>
              <w:jc w:val="right"/>
              <w:rPr/>
            </w:pPr>
            <w:r>
              <w:rPr/>
              <w:t>1,598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359" w:type="dxa"/>
            <w:tcBorders>
              <w:bottom w:val="single" w:sz="12" w:space="0" w:color="000000"/>
            </w:tcBorders>
            <w:shd w:fill="FFFFFF" w:val="clear"/>
            <w:tcMar>
              <w:bottom w:w="28" w:type="dxa"/>
            </w:tcMar>
            <w:vAlign w:val="center"/>
          </w:tcPr>
          <w:p>
            <w:pPr>
              <w:pStyle w:val="TableContents"/>
              <w:bidi w:val="0"/>
              <w:spacing w:before="0" w:after="283"/>
              <w:jc w:val="right"/>
              <w:rPr/>
            </w:pPr>
            <w:r>
              <w:rPr/>
              <w:t>1,353</w:t>
            </w:r>
          </w:p>
        </w:tc>
        <w:tc>
          <w:tcPr>
            <w:tcW w:w="113" w:type="dxa"/>
            <w:tcBorders/>
            <w:shd w:fill="FFFFFF" w:val="clear"/>
            <w:vAlign w:val="center"/>
          </w:tcPr>
          <w:p>
            <w:pPr>
              <w:pStyle w:val="TableContents"/>
              <w:bidi w:val="0"/>
              <w:spacing w:before="0" w:after="283"/>
              <w:jc w:val="left"/>
              <w:rPr/>
            </w:pPr>
            <w:r>
              <w:rPr/>
              <w:t> </w:t>
            </w:r>
            <w:bookmarkStart w:id="430" w:name="xdx_40A_eus-gaap--IncreaseDecreaseInCont"/>
            <w:bookmarkEnd w:id="430"/>
          </w:p>
        </w:tc>
      </w:tr>
      <w:tr>
        <w:trPr/>
        <w:tc>
          <w:tcPr>
            <w:tcW w:w="4121" w:type="dxa"/>
            <w:tcBorders/>
            <w:shd w:fill="CCEEFF" w:val="clear"/>
            <w:vAlign w:val="center"/>
          </w:tcPr>
          <w:p>
            <w:pPr>
              <w:pStyle w:val="TableContents"/>
              <w:bidi w:val="0"/>
              <w:spacing w:before="0" w:after="283"/>
              <w:jc w:val="left"/>
              <w:rPr/>
            </w:pPr>
            <w:r>
              <w:rPr/>
              <w:t>Net change in contract assets</w:t>
            </w:r>
          </w:p>
        </w:tc>
        <w:tc>
          <w:tcPr>
            <w:tcW w:w="60" w:type="dxa"/>
            <w:tcBorders/>
            <w:shd w:fill="CCEEFF" w:val="clear"/>
            <w:vAlign w:val="center"/>
          </w:tcPr>
          <w:p>
            <w:pPr>
              <w:pStyle w:val="TableContents"/>
              <w:bidi w:val="0"/>
              <w:spacing w:before="0" w:after="283"/>
              <w:jc w:val="left"/>
              <w:rPr/>
            </w:pPr>
            <w:r>
              <w:rPr/>
              <w:t> </w:t>
            </w:r>
          </w:p>
        </w:tc>
        <w:tc>
          <w:tcPr>
            <w:tcW w:w="51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2359" w:type="dxa"/>
            <w:tcBorders>
              <w:bottom w:val="double" w:sz="6" w:space="0" w:color="000000"/>
            </w:tcBorders>
            <w:shd w:fill="CCEEFF" w:val="clear"/>
            <w:tcMar>
              <w:bottom w:w="28" w:type="dxa"/>
            </w:tcMar>
            <w:vAlign w:val="center"/>
          </w:tcPr>
          <w:p>
            <w:pPr>
              <w:pStyle w:val="TableContents"/>
              <w:bidi w:val="0"/>
              <w:spacing w:before="0" w:after="283"/>
              <w:jc w:val="right"/>
              <w:rPr/>
            </w:pPr>
            <w:r>
              <w:rPr/>
              <w:t>129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2359" w:type="dxa"/>
            <w:tcBorders>
              <w:bottom w:val="double" w:sz="6" w:space="0" w:color="000000"/>
            </w:tcBorders>
            <w:shd w:fill="CCEEFF" w:val="clear"/>
            <w:tcMar>
              <w:bottom w:w="28" w:type="dxa"/>
            </w:tcMar>
            <w:vAlign w:val="center"/>
          </w:tcPr>
          <w:p>
            <w:pPr>
              <w:pStyle w:val="TableContents"/>
              <w:bidi w:val="0"/>
              <w:spacing w:before="0" w:after="283"/>
              <w:jc w:val="right"/>
              <w:rPr/>
            </w:pPr>
            <w:r>
              <w:rPr/>
              <w:t>(293</w:t>
            </w:r>
          </w:p>
        </w:tc>
        <w:tc>
          <w:tcPr>
            <w:tcW w:w="113"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431" w:name="xdx_8AD_zwBdiAEqxvmk"/>
      <w:bookmarkEnd w:id="431"/>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Contract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 consist of amounts invoiced to customers in excess of revenue recognized. The decrease in contract liabilities from year end is primarily due to recognizing revenue on the DOE Phase II contract for which the Company was paid in prior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432" w:name="xdx_892_ecustom--ContractWithCustomerLia"/>
      <w:bookmarkEnd w:id="432"/>
      <w:r>
        <w:rPr>
          <w:rFonts w:ascii="Times New Roman;Times;Serif" w:hAnsi="Times New Roman;Times;Serif"/>
          <w:b w:val="false"/>
          <w:i w:val="false"/>
          <w:caps w:val="false"/>
          <w:smallCaps w:val="false"/>
          <w:sz w:val="20"/>
        </w:rPr>
        <w:t>Significant changes in the contract liabilities balances during the period are as follows: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433" w:name="xdx_8BF_zn7ewxZqJ3O8"/>
      <w:bookmarkEnd w:id="433"/>
      <w:r>
        <w:rPr>
          <w:rFonts w:ascii="Times New Roman;Times;Serif" w:hAnsi="Times New Roman;Times;Serif"/>
          <w:b w:val="false"/>
          <w:i w:val="false"/>
          <w:caps w:val="false"/>
          <w:smallCaps w:val="false"/>
          <w:sz w:val="20"/>
        </w:rPr>
        <w:t>Schedule of Significant Changes in Contract Liabilities </w:t>
      </w:r>
    </w:p>
    <w:tbl>
      <w:tblPr>
        <w:tblW w:w="10205" w:type="dxa"/>
        <w:jc w:val="left"/>
        <w:tblInd w:w="0" w:type="dxa"/>
        <w:tblLayout w:type="fixed"/>
        <w:tblCellMar>
          <w:top w:w="0" w:type="dxa"/>
          <w:left w:w="0" w:type="dxa"/>
          <w:bottom w:w="0" w:type="dxa"/>
          <w:right w:w="0" w:type="dxa"/>
        </w:tblCellMar>
      </w:tblPr>
      <w:tblGrid>
        <w:gridCol w:w="4290"/>
        <w:gridCol w:w="60"/>
        <w:gridCol w:w="504"/>
        <w:gridCol w:w="2289"/>
        <w:gridCol w:w="95"/>
        <w:gridCol w:w="60"/>
        <w:gridCol w:w="559"/>
        <w:gridCol w:w="2236"/>
        <w:gridCol w:w="112"/>
      </w:tblGrid>
      <w:tr>
        <w:trPr/>
        <w:tc>
          <w:tcPr>
            <w:tcW w:w="42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434" w:name="xdx_49E_20230501__20240131_z98lDOhybYRf"/>
            <w:bookmarkEnd w:id="434"/>
          </w:p>
        </w:tc>
        <w:tc>
          <w:tcPr>
            <w:tcW w:w="279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Nine months ended January 31, 2024</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435" w:name="xdx_490_20220501__20230131_zQxHrNczZDs6"/>
            <w:bookmarkEnd w:id="435"/>
          </w:p>
        </w:tc>
        <w:tc>
          <w:tcPr>
            <w:tcW w:w="27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Nine months ended January 31, 2023</w:t>
            </w:r>
          </w:p>
        </w:tc>
        <w:tc>
          <w:tcPr>
            <w:tcW w:w="112" w:type="dxa"/>
            <w:tcBorders/>
            <w:vAlign w:val="center"/>
          </w:tcPr>
          <w:p>
            <w:pPr>
              <w:pStyle w:val="TableContents"/>
              <w:bidi w:val="0"/>
              <w:spacing w:before="0" w:after="283"/>
              <w:jc w:val="center"/>
              <w:rPr/>
            </w:pPr>
            <w:r>
              <w:rPr/>
              <w:t> </w:t>
            </w:r>
          </w:p>
        </w:tc>
      </w:tr>
      <w:tr>
        <w:trPr/>
        <w:tc>
          <w:tcPr>
            <w:tcW w:w="42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743" w:type="dxa"/>
            <w:gridSpan w:val="6"/>
            <w:tcBorders/>
            <w:vAlign w:val="center"/>
          </w:tcPr>
          <w:p>
            <w:pPr>
              <w:pStyle w:val="TableContents"/>
              <w:bidi w:val="0"/>
              <w:spacing w:before="0" w:after="283"/>
              <w:jc w:val="center"/>
              <w:rPr/>
            </w:pPr>
            <w:r>
              <w:rPr/>
              <w:t>(in thousands)</w:t>
            </w:r>
          </w:p>
        </w:tc>
        <w:tc>
          <w:tcPr>
            <w:tcW w:w="112" w:type="dxa"/>
            <w:tcBorders/>
            <w:vAlign w:val="center"/>
          </w:tcPr>
          <w:p>
            <w:pPr>
              <w:pStyle w:val="TableContents"/>
              <w:bidi w:val="0"/>
              <w:spacing w:before="0" w:after="283"/>
              <w:jc w:val="center"/>
              <w:rPr/>
            </w:pPr>
            <w:r>
              <w:rPr/>
              <w:t> </w:t>
            </w:r>
            <w:bookmarkStart w:id="436" w:name="xdx_407_ecustom--ContractWithCustomerLia"/>
            <w:bookmarkEnd w:id="436"/>
          </w:p>
        </w:tc>
      </w:tr>
      <w:tr>
        <w:trPr/>
        <w:tc>
          <w:tcPr>
            <w:tcW w:w="4290" w:type="dxa"/>
            <w:tcBorders/>
            <w:shd w:fill="CCEEFF" w:val="clear"/>
            <w:vAlign w:val="center"/>
          </w:tcPr>
          <w:p>
            <w:pPr>
              <w:pStyle w:val="TableContents"/>
              <w:bidi w:val="0"/>
              <w:spacing w:before="0" w:after="283"/>
              <w:jc w:val="left"/>
              <w:rPr/>
            </w:pPr>
            <w:r>
              <w:rPr/>
              <w:t>Revenue recognized</w:t>
            </w:r>
          </w:p>
        </w:tc>
        <w:tc>
          <w:tcPr>
            <w:tcW w:w="60"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left"/>
              <w:rPr/>
            </w:pPr>
            <w:r>
              <w:rPr/>
              <w:t>$</w:t>
            </w:r>
          </w:p>
        </w:tc>
        <w:tc>
          <w:tcPr>
            <w:tcW w:w="2289" w:type="dxa"/>
            <w:tcBorders/>
            <w:shd w:fill="CCEEFF" w:val="clear"/>
            <w:vAlign w:val="center"/>
          </w:tcPr>
          <w:p>
            <w:pPr>
              <w:pStyle w:val="TableContents"/>
              <w:bidi w:val="0"/>
              <w:spacing w:before="0" w:after="283"/>
              <w:jc w:val="right"/>
              <w:rPr/>
            </w:pPr>
            <w:r>
              <w:rPr/>
              <w:t>(1,312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left"/>
              <w:rPr/>
            </w:pPr>
            <w:r>
              <w:rPr/>
              <w:t>$</w:t>
            </w:r>
          </w:p>
        </w:tc>
        <w:tc>
          <w:tcPr>
            <w:tcW w:w="2236" w:type="dxa"/>
            <w:tcBorders/>
            <w:shd w:fill="CCEEFF" w:val="clear"/>
            <w:vAlign w:val="center"/>
          </w:tcPr>
          <w:p>
            <w:pPr>
              <w:pStyle w:val="TableContents"/>
              <w:bidi w:val="0"/>
              <w:spacing w:before="0" w:after="283"/>
              <w:jc w:val="right"/>
              <w:rPr/>
            </w:pPr>
            <w:r>
              <w:rPr/>
              <w:t>(447</w:t>
            </w:r>
          </w:p>
        </w:tc>
        <w:tc>
          <w:tcPr>
            <w:tcW w:w="112" w:type="dxa"/>
            <w:tcBorders/>
            <w:shd w:fill="CCEEFF" w:val="clear"/>
            <w:vAlign w:val="center"/>
          </w:tcPr>
          <w:p>
            <w:pPr>
              <w:pStyle w:val="TableContents"/>
              <w:bidi w:val="0"/>
              <w:spacing w:before="0" w:after="283"/>
              <w:jc w:val="left"/>
              <w:rPr/>
            </w:pPr>
            <w:r>
              <w:rPr/>
              <w:t>)</w:t>
            </w:r>
            <w:bookmarkStart w:id="437" w:name="xdx_40E_ecustom--PaymentsCollectedForWhi"/>
            <w:bookmarkEnd w:id="437"/>
          </w:p>
        </w:tc>
      </w:tr>
      <w:tr>
        <w:trPr/>
        <w:tc>
          <w:tcPr>
            <w:tcW w:w="4290" w:type="dxa"/>
            <w:tcBorders/>
            <w:shd w:fill="FFFFFF" w:val="clear"/>
            <w:vAlign w:val="center"/>
          </w:tcPr>
          <w:p>
            <w:pPr>
              <w:pStyle w:val="TableContents"/>
              <w:bidi w:val="0"/>
              <w:spacing w:before="0" w:after="283"/>
              <w:jc w:val="left"/>
              <w:rPr/>
            </w:pPr>
            <w:r>
              <w:rPr/>
              <w:t>Payments collected for which revenue has not been recognized</w:t>
            </w:r>
          </w:p>
        </w:tc>
        <w:tc>
          <w:tcPr>
            <w:tcW w:w="60" w:type="dxa"/>
            <w:tcBorders/>
            <w:shd w:fill="FFFFFF" w:val="clear"/>
            <w:vAlign w:val="center"/>
          </w:tcPr>
          <w:p>
            <w:pPr>
              <w:pStyle w:val="TableContents"/>
              <w:bidi w:val="0"/>
              <w:spacing w:before="0" w:after="283"/>
              <w:jc w:val="left"/>
              <w:rPr/>
            </w:pPr>
            <w:r>
              <w:rPr/>
              <w:t> </w:t>
            </w:r>
          </w:p>
        </w:tc>
        <w:tc>
          <w:tcPr>
            <w:tcW w:w="50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289" w:type="dxa"/>
            <w:tcBorders>
              <w:bottom w:val="single" w:sz="12" w:space="0" w:color="000000"/>
            </w:tcBorders>
            <w:shd w:fill="FFFFFF" w:val="clear"/>
            <w:tcMar>
              <w:bottom w:w="28" w:type="dxa"/>
            </w:tcMar>
            <w:vAlign w:val="center"/>
          </w:tcPr>
          <w:p>
            <w:pPr>
              <w:pStyle w:val="TableContents"/>
              <w:bidi w:val="0"/>
              <w:spacing w:before="0" w:after="283"/>
              <w:jc w:val="right"/>
              <w:rPr/>
            </w:pPr>
            <w:r>
              <w:rPr/>
              <w:t>802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236" w:type="dxa"/>
            <w:tcBorders>
              <w:bottom w:val="single" w:sz="12" w:space="0" w:color="000000"/>
            </w:tcBorders>
            <w:shd w:fill="FFFFFF" w:val="clear"/>
            <w:tcMar>
              <w:bottom w:w="28" w:type="dxa"/>
            </w:tcMar>
            <w:vAlign w:val="center"/>
          </w:tcPr>
          <w:p>
            <w:pPr>
              <w:pStyle w:val="TableContents"/>
              <w:bidi w:val="0"/>
              <w:spacing w:before="0" w:after="283"/>
              <w:jc w:val="right"/>
              <w:rPr/>
            </w:pPr>
            <w:r>
              <w:rPr/>
              <w:t>1,652</w:t>
            </w:r>
          </w:p>
        </w:tc>
        <w:tc>
          <w:tcPr>
            <w:tcW w:w="112" w:type="dxa"/>
            <w:tcBorders/>
            <w:shd w:fill="FFFFFF" w:val="clear"/>
            <w:vAlign w:val="center"/>
          </w:tcPr>
          <w:p>
            <w:pPr>
              <w:pStyle w:val="TableContents"/>
              <w:bidi w:val="0"/>
              <w:spacing w:before="0" w:after="283"/>
              <w:jc w:val="left"/>
              <w:rPr/>
            </w:pPr>
            <w:r>
              <w:rPr/>
              <w:t> </w:t>
            </w:r>
            <w:bookmarkStart w:id="438" w:name="xdx_404_eus-gaap--IncreaseDecreaseInCont"/>
            <w:bookmarkEnd w:id="438"/>
          </w:p>
        </w:tc>
      </w:tr>
      <w:tr>
        <w:trPr/>
        <w:tc>
          <w:tcPr>
            <w:tcW w:w="4290" w:type="dxa"/>
            <w:tcBorders/>
            <w:shd w:fill="CCEEFF" w:val="clear"/>
            <w:vAlign w:val="center"/>
          </w:tcPr>
          <w:p>
            <w:pPr>
              <w:pStyle w:val="TableContents"/>
              <w:bidi w:val="0"/>
              <w:spacing w:before="0" w:after="283"/>
              <w:jc w:val="left"/>
              <w:rPr/>
            </w:pPr>
            <w:r>
              <w:rPr/>
              <w:t>Net change in contract liabilities</w:t>
            </w:r>
          </w:p>
        </w:tc>
        <w:tc>
          <w:tcPr>
            <w:tcW w:w="60" w:type="dxa"/>
            <w:tcBorders/>
            <w:shd w:fill="CCEEFF" w:val="clear"/>
            <w:vAlign w:val="center"/>
          </w:tcPr>
          <w:p>
            <w:pPr>
              <w:pStyle w:val="TableContents"/>
              <w:bidi w:val="0"/>
              <w:spacing w:before="0" w:after="283"/>
              <w:jc w:val="left"/>
              <w:rPr/>
            </w:pPr>
            <w:r>
              <w:rPr/>
              <w:t> </w:t>
            </w:r>
          </w:p>
        </w:tc>
        <w:tc>
          <w:tcPr>
            <w:tcW w:w="50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2289" w:type="dxa"/>
            <w:tcBorders>
              <w:bottom w:val="double" w:sz="6" w:space="0" w:color="000000"/>
            </w:tcBorders>
            <w:shd w:fill="CCEEFF" w:val="clear"/>
            <w:tcMar>
              <w:bottom w:w="28" w:type="dxa"/>
            </w:tcMar>
            <w:vAlign w:val="center"/>
          </w:tcPr>
          <w:p>
            <w:pPr>
              <w:pStyle w:val="TableContents"/>
              <w:bidi w:val="0"/>
              <w:spacing w:before="0" w:after="283"/>
              <w:jc w:val="right"/>
              <w:rPr/>
            </w:pPr>
            <w:r>
              <w:rPr/>
              <w:t>(510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2236" w:type="dxa"/>
            <w:tcBorders>
              <w:bottom w:val="double" w:sz="6" w:space="0" w:color="000000"/>
            </w:tcBorders>
            <w:shd w:fill="CCEEFF" w:val="clear"/>
            <w:tcMar>
              <w:bottom w:w="28" w:type="dxa"/>
            </w:tcMar>
            <w:vAlign w:val="center"/>
          </w:tcPr>
          <w:p>
            <w:pPr>
              <w:pStyle w:val="TableContents"/>
              <w:bidi w:val="0"/>
              <w:spacing w:before="0" w:after="283"/>
              <w:jc w:val="right"/>
              <w:rPr/>
            </w:pPr>
            <w:r>
              <w:rPr/>
              <w:t>1,205</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39" w:name="xdx_8A5_zzT5x47R2bpa"/>
      <w:bookmarkEnd w:id="439"/>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40" w:name="xdx_804_eus-gaap--InventoryDisclosureTex"/>
      <w:bookmarkEnd w:id="440"/>
      <w:r>
        <w:rPr>
          <w:rFonts w:ascii="Times New Roman;Times;Serif" w:hAnsi="Times New Roman;Times;Serif"/>
          <w:b/>
          <w:i w:val="false"/>
          <w:caps w:val="false"/>
          <w:smallCaps w:val="false"/>
          <w:sz w:val="20"/>
        </w:rPr>
        <w:t xml:space="preserve">(4) </w:t>
      </w:r>
      <w:bookmarkStart w:id="441" w:name="xdx_822_zYjX4E0JHua9"/>
      <w:bookmarkEnd w:id="441"/>
      <w:r>
        <w:rPr>
          <w:rFonts w:ascii="Times New Roman;Times;Serif" w:hAnsi="Times New Roman;Times;Serif"/>
          <w:b/>
          <w:i w:val="false"/>
          <w:caps w:val="false"/>
          <w:smallCaps w:val="false"/>
          <w:sz w:val="20"/>
        </w:rPr>
        <w:t>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42" w:name="xdx_899_eus-gaap--ScheduleOfInventoryCur"/>
      <w:bookmarkEnd w:id="442"/>
      <w:r>
        <w:rPr>
          <w:rFonts w:ascii="Times New Roman;Times;Serif" w:hAnsi="Times New Roman;Times;Serif"/>
          <w:b w:val="false"/>
          <w:i w:val="false"/>
          <w:caps w:val="false"/>
          <w:smallCaps w:val="false"/>
          <w:sz w:val="20"/>
        </w:rPr>
        <w:t>The Company holds inventory related to the production of its WAM-V® and PowerBuoy® products.</w:t>
      </w:r>
    </w:p>
    <w:p>
      <w:pPr>
        <w:pStyle w:val="TextBody"/>
        <w:bidi w:val="0"/>
        <w:spacing w:before="0" w:after="0"/>
        <w:ind w:left="0" w:right="0" w:hanging="0"/>
        <w:jc w:val="both"/>
        <w:rPr>
          <w:caps w:val="false"/>
          <w:smallCaps w:val="false"/>
        </w:rPr>
      </w:pPr>
      <w:r>
        <w:rPr>
          <w:caps w:val="false"/>
          <w:smallCaps w:val="false"/>
        </w:rPr>
        <w:t> </w:t>
      </w:r>
      <w:bookmarkStart w:id="443" w:name="xdx_8B8_zLoV0ZbL5tcc"/>
      <w:bookmarkEnd w:id="443"/>
      <w:r>
        <w:rPr>
          <w:rFonts w:ascii="Times New Roman;Times;Serif" w:hAnsi="Times New Roman;Times;Serif"/>
          <w:b w:val="false"/>
          <w:i w:val="false"/>
          <w:caps w:val="false"/>
          <w:smallCaps w:val="false"/>
          <w:sz w:val="20"/>
        </w:rPr>
        <w:t>Schedule of Inventory</w:t>
      </w:r>
    </w:p>
    <w:tbl>
      <w:tblPr>
        <w:tblW w:w="5220" w:type="dxa"/>
        <w:jc w:val="left"/>
        <w:tblInd w:w="0" w:type="dxa"/>
        <w:tblLayout w:type="fixed"/>
        <w:tblCellMar>
          <w:top w:w="0" w:type="dxa"/>
          <w:left w:w="0" w:type="dxa"/>
          <w:bottom w:w="0" w:type="dxa"/>
          <w:right w:w="0" w:type="dxa"/>
        </w:tblCellMar>
      </w:tblPr>
      <w:tblGrid>
        <w:gridCol w:w="1730"/>
        <w:gridCol w:w="60"/>
        <w:gridCol w:w="355"/>
        <w:gridCol w:w="1420"/>
        <w:gridCol w:w="60"/>
        <w:gridCol w:w="60"/>
        <w:gridCol w:w="292"/>
        <w:gridCol w:w="1168"/>
        <w:gridCol w:w="75"/>
      </w:tblGrid>
      <w:tr>
        <w:trPr/>
        <w:tc>
          <w:tcPr>
            <w:tcW w:w="17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444" w:name="xdx_492_20240131_z3BHPxzVOYRh"/>
            <w:bookmarkEnd w:id="444"/>
          </w:p>
        </w:tc>
        <w:tc>
          <w:tcPr>
            <w:tcW w:w="17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January 31, 2024</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445" w:name="xdx_497_20230430_zfEGHASHqA71"/>
            <w:bookmarkEnd w:id="445"/>
          </w:p>
        </w:tc>
        <w:tc>
          <w:tcPr>
            <w:tcW w:w="14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April 30, 2023</w:t>
            </w:r>
          </w:p>
        </w:tc>
        <w:tc>
          <w:tcPr>
            <w:tcW w:w="75" w:type="dxa"/>
            <w:tcBorders/>
            <w:vAlign w:val="center"/>
          </w:tcPr>
          <w:p>
            <w:pPr>
              <w:pStyle w:val="TableContents"/>
              <w:bidi w:val="0"/>
              <w:spacing w:before="0" w:after="283"/>
              <w:jc w:val="center"/>
              <w:rPr/>
            </w:pPr>
            <w:r>
              <w:rPr/>
              <w:t> </w:t>
            </w:r>
          </w:p>
        </w:tc>
      </w:tr>
      <w:tr>
        <w:trPr/>
        <w:tc>
          <w:tcPr>
            <w:tcW w:w="17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355" w:type="dxa"/>
            <w:gridSpan w:val="6"/>
            <w:tcBorders/>
            <w:vAlign w:val="center"/>
          </w:tcPr>
          <w:p>
            <w:pPr>
              <w:pStyle w:val="TableContents"/>
              <w:bidi w:val="0"/>
              <w:spacing w:before="0" w:after="283"/>
              <w:jc w:val="center"/>
              <w:rPr/>
            </w:pPr>
            <w:r>
              <w:rPr/>
              <w:t>(in thousands)</w:t>
            </w:r>
          </w:p>
        </w:tc>
        <w:tc>
          <w:tcPr>
            <w:tcW w:w="75" w:type="dxa"/>
            <w:tcBorders/>
            <w:vAlign w:val="center"/>
          </w:tcPr>
          <w:p>
            <w:pPr>
              <w:pStyle w:val="TableContents"/>
              <w:bidi w:val="0"/>
              <w:spacing w:before="0" w:after="283"/>
              <w:jc w:val="center"/>
              <w:rPr/>
            </w:pPr>
            <w:r>
              <w:rPr/>
              <w:t> </w:t>
            </w:r>
            <w:bookmarkStart w:id="446" w:name="xdx_40A_eus-gaap--InventoryRawMaterials_"/>
            <w:bookmarkEnd w:id="446"/>
          </w:p>
        </w:tc>
      </w:tr>
      <w:tr>
        <w:trPr/>
        <w:tc>
          <w:tcPr>
            <w:tcW w:w="1730" w:type="dxa"/>
            <w:tcBorders/>
            <w:shd w:fill="CCEEFF" w:val="clear"/>
            <w:vAlign w:val="center"/>
          </w:tcPr>
          <w:p>
            <w:pPr>
              <w:pStyle w:val="TableContents"/>
              <w:bidi w:val="0"/>
              <w:spacing w:before="0" w:after="283"/>
              <w:jc w:val="left"/>
              <w:rPr/>
            </w:pPr>
            <w:r>
              <w:rPr/>
              <w:t>Raw Materials</w:t>
            </w:r>
          </w:p>
        </w:tc>
        <w:tc>
          <w:tcPr>
            <w:tcW w:w="60"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pPr>
            <w:r>
              <w:rPr/>
              <w:t>$</w:t>
            </w:r>
          </w:p>
        </w:tc>
        <w:tc>
          <w:tcPr>
            <w:tcW w:w="1420" w:type="dxa"/>
            <w:tcBorders/>
            <w:shd w:fill="CCEEFF" w:val="clear"/>
            <w:vAlign w:val="center"/>
          </w:tcPr>
          <w:p>
            <w:pPr>
              <w:pStyle w:val="TableContents"/>
              <w:bidi w:val="0"/>
              <w:spacing w:before="0" w:after="283"/>
              <w:jc w:val="right"/>
              <w:rPr/>
            </w:pPr>
            <w:r>
              <w:rPr/>
              <w:t>3,119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1,044</w:t>
            </w:r>
          </w:p>
        </w:tc>
        <w:tc>
          <w:tcPr>
            <w:tcW w:w="75" w:type="dxa"/>
            <w:tcBorders/>
            <w:shd w:fill="CCEEFF" w:val="clear"/>
            <w:vAlign w:val="center"/>
          </w:tcPr>
          <w:p>
            <w:pPr>
              <w:pStyle w:val="TableContents"/>
              <w:bidi w:val="0"/>
              <w:spacing w:before="0" w:after="283"/>
              <w:jc w:val="left"/>
              <w:rPr/>
            </w:pPr>
            <w:r>
              <w:rPr/>
              <w:t> </w:t>
            </w:r>
            <w:bookmarkStart w:id="447" w:name="xdx_404_eus-gaap--InventoryWorkInProcess"/>
            <w:bookmarkEnd w:id="447"/>
          </w:p>
        </w:tc>
      </w:tr>
      <w:tr>
        <w:trPr/>
        <w:tc>
          <w:tcPr>
            <w:tcW w:w="1730" w:type="dxa"/>
            <w:tcBorders/>
            <w:shd w:fill="FFFFFF" w:val="clear"/>
            <w:vAlign w:val="center"/>
          </w:tcPr>
          <w:p>
            <w:pPr>
              <w:pStyle w:val="TableContents"/>
              <w:bidi w:val="0"/>
              <w:spacing w:before="0" w:after="283"/>
              <w:jc w:val="left"/>
              <w:rPr/>
            </w:pPr>
            <w:r>
              <w:rPr/>
              <w:t>Work in Process</w:t>
            </w:r>
          </w:p>
        </w:tc>
        <w:tc>
          <w:tcPr>
            <w:tcW w:w="60"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c>
          <w:tcPr>
            <w:tcW w:w="1420" w:type="dxa"/>
            <w:tcBorders/>
            <w:shd w:fill="FFFFFF" w:val="clear"/>
            <w:vAlign w:val="center"/>
          </w:tcPr>
          <w:p>
            <w:pPr>
              <w:pStyle w:val="TableContents"/>
              <w:bidi w:val="0"/>
              <w:spacing w:before="0" w:after="283"/>
              <w:jc w:val="right"/>
              <w:rPr/>
            </w:pPr>
            <w:r>
              <w:rPr/>
              <w:t>326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448" w:name="xdx_406_eus-gaap--InventoryFinishedGoods"/>
            <w:bookmarkEnd w:id="448"/>
          </w:p>
        </w:tc>
      </w:tr>
      <w:tr>
        <w:trPr/>
        <w:tc>
          <w:tcPr>
            <w:tcW w:w="1730" w:type="dxa"/>
            <w:tcBorders/>
            <w:shd w:fill="CCEEFF" w:val="clear"/>
            <w:vAlign w:val="center"/>
          </w:tcPr>
          <w:p>
            <w:pPr>
              <w:pStyle w:val="TableContents"/>
              <w:bidi w:val="0"/>
              <w:spacing w:before="0" w:after="283"/>
              <w:jc w:val="left"/>
              <w:rPr/>
            </w:pPr>
            <w:r>
              <w:rPr/>
              <w:t>Finished Products</w:t>
            </w:r>
          </w:p>
        </w:tc>
        <w:tc>
          <w:tcPr>
            <w:tcW w:w="60" w:type="dxa"/>
            <w:tcBorders/>
            <w:shd w:fill="CCEEFF" w:val="clear"/>
            <w:vAlign w:val="center"/>
          </w:tcPr>
          <w:p>
            <w:pPr>
              <w:pStyle w:val="TableContents"/>
              <w:bidi w:val="0"/>
              <w:spacing w:before="0" w:after="283"/>
              <w:jc w:val="left"/>
              <w:rPr/>
            </w:pPr>
            <w:r>
              <w:rPr/>
              <w:t> </w:t>
            </w:r>
          </w:p>
        </w:tc>
        <w:tc>
          <w:tcPr>
            <w:tcW w:w="35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420" w:type="dxa"/>
            <w:tcBorders>
              <w:bottom w:val="single" w:sz="12" w:space="0" w:color="000000"/>
            </w:tcBorders>
            <w:shd w:fill="CCEEFF" w:val="clear"/>
            <w:tcMar>
              <w:bottom w:w="28" w:type="dxa"/>
            </w:tcMar>
            <w:vAlign w:val="center"/>
          </w:tcPr>
          <w:p>
            <w:pPr>
              <w:pStyle w:val="TableContents"/>
              <w:bidi w:val="0"/>
              <w:spacing w:before="0" w:after="283"/>
              <w:jc w:val="right"/>
              <w:rPr/>
            </w:pPr>
            <w:r>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6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449" w:name="xdx_409_eus-gaap--InventoryNet_iTI_pn3n3"/>
            <w:bookmarkEnd w:id="449"/>
          </w:p>
        </w:tc>
      </w:tr>
      <w:tr>
        <w:trPr/>
        <w:tc>
          <w:tcPr>
            <w:tcW w:w="17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Inventory, net</w:t>
            </w:r>
          </w:p>
        </w:tc>
        <w:tc>
          <w:tcPr>
            <w:tcW w:w="60" w:type="dxa"/>
            <w:tcBorders/>
            <w:shd w:fill="FFFFFF" w:val="clear"/>
            <w:vAlign w:val="center"/>
          </w:tcPr>
          <w:p>
            <w:pPr>
              <w:pStyle w:val="TableContents"/>
              <w:bidi w:val="0"/>
              <w:spacing w:before="0" w:after="283"/>
              <w:jc w:val="left"/>
              <w:rPr/>
            </w:pPr>
            <w:r>
              <w:rPr/>
              <w:t> </w:t>
            </w:r>
          </w:p>
        </w:tc>
        <w:tc>
          <w:tcPr>
            <w:tcW w:w="35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20" w:type="dxa"/>
            <w:tcBorders>
              <w:bottom w:val="double" w:sz="6" w:space="0" w:color="000000"/>
            </w:tcBorders>
            <w:shd w:fill="FFFFFF" w:val="clear"/>
            <w:tcMar>
              <w:bottom w:w="28" w:type="dxa"/>
            </w:tcMar>
            <w:vAlign w:val="center"/>
          </w:tcPr>
          <w:p>
            <w:pPr>
              <w:pStyle w:val="TableContents"/>
              <w:bidi w:val="0"/>
              <w:spacing w:before="0" w:after="283"/>
              <w:jc w:val="right"/>
              <w:rPr/>
            </w:pPr>
            <w:r>
              <w:rPr/>
              <w:t>3,460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68" w:type="dxa"/>
            <w:tcBorders>
              <w:bottom w:val="double" w:sz="6" w:space="0" w:color="000000"/>
            </w:tcBorders>
            <w:shd w:fill="FFFFFF" w:val="clear"/>
            <w:tcMar>
              <w:bottom w:w="28" w:type="dxa"/>
            </w:tcMar>
            <w:vAlign w:val="center"/>
          </w:tcPr>
          <w:p>
            <w:pPr>
              <w:pStyle w:val="TableContents"/>
              <w:bidi w:val="0"/>
              <w:spacing w:before="0" w:after="283"/>
              <w:jc w:val="right"/>
              <w:rPr/>
            </w:pPr>
            <w:r>
              <w:rPr/>
              <w:t>1,044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50" w:name="xdx_8AA_zc8CW30Ja7J4"/>
      <w:bookmarkEnd w:id="450"/>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raw materials balance represents the majority of the inventory as the Company orders parts in quantity to fill orders. Work in process and finished products typically represent smaller portions of inventory as the Company does not historically hold finished products with the exception of assets transitioning to the lease fleet. The Company typically ships finished products as they are completed.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51" w:name="xdx_800_eus-gaap--OtherCurrentAssetsText"/>
      <w:bookmarkEnd w:id="451"/>
      <w:r>
        <w:rPr>
          <w:rFonts w:ascii="Times New Roman;Times;Serif" w:hAnsi="Times New Roman;Times;Serif"/>
          <w:b/>
          <w:i w:val="false"/>
          <w:caps w:val="false"/>
          <w:smallCaps w:val="false"/>
          <w:sz w:val="20"/>
        </w:rPr>
        <w:t xml:space="preserve">(5) </w:t>
      </w:r>
      <w:bookmarkStart w:id="452" w:name="xdx_826_zTIcw37iS6qk"/>
      <w:bookmarkEnd w:id="452"/>
      <w:r>
        <w:rPr>
          <w:rFonts w:ascii="Times New Roman;Times;Serif" w:hAnsi="Times New Roman;Times;Serif"/>
          <w:b/>
          <w:i w:val="false"/>
          <w:caps w:val="false"/>
          <w:smallCaps w:val="false"/>
          <w:sz w:val="20"/>
        </w:rPr>
        <w:t>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53" w:name="xdx_89F_eus-gaap--ScheduleOfOtherCurrent"/>
      <w:bookmarkEnd w:id="453"/>
      <w:r>
        <w:rPr>
          <w:rFonts w:ascii="Times New Roman;Times;Serif" w:hAnsi="Times New Roman;Times;Serif"/>
          <w:b w:val="false"/>
          <w:i w:val="false"/>
          <w:caps w:val="false"/>
          <w:smallCaps w:val="false"/>
          <w:sz w:val="20"/>
        </w:rPr>
        <w:t>Other current assets consisted of the following at January 31, 2024 and April 30, 2023:</w:t>
      </w:r>
    </w:p>
    <w:p>
      <w:pPr>
        <w:pStyle w:val="TextBody"/>
        <w:bidi w:val="0"/>
        <w:spacing w:before="0" w:after="0"/>
        <w:ind w:left="0" w:right="0" w:hanging="0"/>
        <w:jc w:val="both"/>
        <w:rPr>
          <w:caps w:val="false"/>
          <w:smallCaps w:val="false"/>
        </w:rPr>
      </w:pPr>
      <w:r>
        <w:rPr>
          <w:caps w:val="false"/>
          <w:smallCaps w:val="false"/>
        </w:rPr>
        <w:t> </w:t>
      </w:r>
      <w:bookmarkStart w:id="454" w:name="xdx_8BB_zIr2lzDwxMKb"/>
      <w:bookmarkEnd w:id="454"/>
      <w:r>
        <w:rPr>
          <w:rFonts w:ascii="Times New Roman;Times;Serif" w:hAnsi="Times New Roman;Times;Serif"/>
          <w:b w:val="false"/>
          <w:i w:val="false"/>
          <w:caps w:val="false"/>
          <w:smallCaps w:val="false"/>
          <w:sz w:val="20"/>
        </w:rPr>
        <w:t>Schedule of Other Current Assets</w:t>
      </w:r>
    </w:p>
    <w:tbl>
      <w:tblPr>
        <w:tblW w:w="10205" w:type="dxa"/>
        <w:jc w:val="left"/>
        <w:tblInd w:w="0" w:type="dxa"/>
        <w:tblLayout w:type="fixed"/>
        <w:tblCellMar>
          <w:top w:w="0" w:type="dxa"/>
          <w:left w:w="0" w:type="dxa"/>
          <w:bottom w:w="0" w:type="dxa"/>
          <w:right w:w="0" w:type="dxa"/>
        </w:tblCellMar>
      </w:tblPr>
      <w:tblGrid>
        <w:gridCol w:w="6835"/>
        <w:gridCol w:w="60"/>
        <w:gridCol w:w="343"/>
        <w:gridCol w:w="1372"/>
        <w:gridCol w:w="60"/>
        <w:gridCol w:w="60"/>
        <w:gridCol w:w="374"/>
        <w:gridCol w:w="1024"/>
        <w:gridCol w:w="77"/>
      </w:tblGrid>
      <w:tr>
        <w:trPr/>
        <w:tc>
          <w:tcPr>
            <w:tcW w:w="68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455" w:name="xdx_498_20240131_zIZvXYpGpMm7"/>
            <w:bookmarkEnd w:id="455"/>
          </w:p>
        </w:tc>
        <w:tc>
          <w:tcPr>
            <w:tcW w:w="17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January 31, 2024</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456" w:name="xdx_491_20230430_zEXcR385EVkc"/>
            <w:bookmarkEnd w:id="456"/>
          </w:p>
        </w:tc>
        <w:tc>
          <w:tcPr>
            <w:tcW w:w="139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April 30, 2023</w:t>
            </w:r>
          </w:p>
        </w:tc>
        <w:tc>
          <w:tcPr>
            <w:tcW w:w="77" w:type="dxa"/>
            <w:tcBorders/>
            <w:vAlign w:val="center"/>
          </w:tcPr>
          <w:p>
            <w:pPr>
              <w:pStyle w:val="TableContents"/>
              <w:bidi w:val="0"/>
              <w:spacing w:before="0" w:after="283"/>
              <w:jc w:val="center"/>
              <w:rPr/>
            </w:pPr>
            <w:r>
              <w:rPr/>
              <w:t> </w:t>
            </w:r>
          </w:p>
        </w:tc>
      </w:tr>
      <w:tr>
        <w:trPr/>
        <w:tc>
          <w:tcPr>
            <w:tcW w:w="68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233" w:type="dxa"/>
            <w:gridSpan w:val="6"/>
            <w:tcBorders/>
            <w:vAlign w:val="center"/>
          </w:tcPr>
          <w:p>
            <w:pPr>
              <w:pStyle w:val="TableContents"/>
              <w:bidi w:val="0"/>
              <w:spacing w:before="0" w:after="283"/>
              <w:jc w:val="center"/>
              <w:rPr/>
            </w:pPr>
            <w:r>
              <w:rPr/>
              <w:t>(in thousands)</w:t>
            </w:r>
          </w:p>
        </w:tc>
        <w:tc>
          <w:tcPr>
            <w:tcW w:w="77" w:type="dxa"/>
            <w:tcBorders/>
            <w:vAlign w:val="center"/>
          </w:tcPr>
          <w:p>
            <w:pPr>
              <w:pStyle w:val="TableContents"/>
              <w:bidi w:val="0"/>
              <w:spacing w:before="0" w:after="283"/>
              <w:jc w:val="center"/>
              <w:rPr/>
            </w:pPr>
            <w:r>
              <w:rPr/>
              <w:t> </w:t>
            </w:r>
            <w:bookmarkStart w:id="457" w:name="xdx_403_ecustom--ProceedsReceivableFromS"/>
            <w:bookmarkEnd w:id="457"/>
          </w:p>
        </w:tc>
      </w:tr>
      <w:tr>
        <w:trPr/>
        <w:tc>
          <w:tcPr>
            <w:tcW w:w="6835" w:type="dxa"/>
            <w:tcBorders/>
            <w:shd w:fill="CCEEFF" w:val="clear"/>
            <w:vAlign w:val="center"/>
          </w:tcPr>
          <w:p>
            <w:pPr>
              <w:pStyle w:val="TableContents"/>
              <w:bidi w:val="0"/>
              <w:spacing w:before="0" w:after="283"/>
              <w:jc w:val="left"/>
              <w:rPr/>
            </w:pPr>
            <w:r>
              <w:rPr/>
              <w:t>Proceeds receivable from sale of New Jersey net operating loss &amp; tax credits</w:t>
            </w:r>
          </w:p>
        </w:tc>
        <w:tc>
          <w:tcPr>
            <w:tcW w:w="60"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w:t>
            </w:r>
          </w:p>
        </w:tc>
        <w:tc>
          <w:tcPr>
            <w:tcW w:w="1372" w:type="dxa"/>
            <w:tcBorders/>
            <w:shd w:fill="CCEEFF" w:val="clear"/>
            <w:vAlign w:val="center"/>
          </w:tcPr>
          <w:p>
            <w:pPr>
              <w:pStyle w:val="TableContents"/>
              <w:bidi w:val="0"/>
              <w:spacing w:before="0" w:after="283"/>
              <w:jc w:val="right"/>
              <w:rPr/>
            </w:pPr>
            <w:r>
              <w:rPr/>
              <w:t>1,234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4" w:type="dxa"/>
            <w:tcBorders/>
            <w:shd w:fill="CCEEFF" w:val="clear"/>
            <w:vAlign w:val="center"/>
          </w:tcPr>
          <w:p>
            <w:pPr>
              <w:pStyle w:val="TableContents"/>
              <w:bidi w:val="0"/>
              <w:spacing w:before="0" w:after="283"/>
              <w:jc w:val="left"/>
              <w:rPr/>
            </w:pPr>
            <w:r>
              <w:rPr/>
              <w:t>$</w:t>
            </w:r>
          </w:p>
        </w:tc>
        <w:tc>
          <w:tcPr>
            <w:tcW w:w="1024"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left"/>
              <w:rPr/>
            </w:pPr>
            <w:r>
              <w:rPr/>
              <w:t> </w:t>
            </w:r>
            <w:bookmarkStart w:id="458" w:name="xdx_40A_ecustom--PrepaidInventoryMateria"/>
            <w:bookmarkEnd w:id="458"/>
          </w:p>
        </w:tc>
      </w:tr>
      <w:tr>
        <w:trPr/>
        <w:tc>
          <w:tcPr>
            <w:tcW w:w="6835" w:type="dxa"/>
            <w:tcBorders/>
            <w:shd w:fill="FFFFFF" w:val="clear"/>
            <w:vAlign w:val="center"/>
          </w:tcPr>
          <w:p>
            <w:pPr>
              <w:pStyle w:val="TableContents"/>
              <w:bidi w:val="0"/>
              <w:spacing w:before="0" w:after="283"/>
              <w:jc w:val="left"/>
              <w:rPr/>
            </w:pPr>
            <w:r>
              <w:rPr/>
              <w:t>Prepaid inventory materials</w:t>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1372" w:type="dxa"/>
            <w:tcBorders/>
            <w:shd w:fill="FFFFFF" w:val="clear"/>
            <w:vAlign w:val="center"/>
          </w:tcPr>
          <w:p>
            <w:pPr>
              <w:pStyle w:val="TableContents"/>
              <w:bidi w:val="0"/>
              <w:spacing w:before="0" w:after="283"/>
              <w:jc w:val="right"/>
              <w:rPr/>
            </w:pPr>
            <w:r>
              <w:rPr/>
              <w:t>1,088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4"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58</w:t>
            </w:r>
          </w:p>
        </w:tc>
        <w:tc>
          <w:tcPr>
            <w:tcW w:w="77" w:type="dxa"/>
            <w:tcBorders/>
            <w:shd w:fill="FFFFFF" w:val="clear"/>
            <w:vAlign w:val="center"/>
          </w:tcPr>
          <w:p>
            <w:pPr>
              <w:pStyle w:val="TableContents"/>
              <w:bidi w:val="0"/>
              <w:spacing w:before="0" w:after="283"/>
              <w:jc w:val="left"/>
              <w:rPr/>
            </w:pPr>
            <w:r>
              <w:rPr/>
              <w:t> </w:t>
            </w:r>
            <w:bookmarkStart w:id="459" w:name="xdx_403_eus-gaap--PrepaidInsurance_iI_pn"/>
            <w:bookmarkEnd w:id="459"/>
          </w:p>
        </w:tc>
      </w:tr>
      <w:tr>
        <w:trPr/>
        <w:tc>
          <w:tcPr>
            <w:tcW w:w="6835" w:type="dxa"/>
            <w:tcBorders/>
            <w:shd w:fill="CCEEFF" w:val="clear"/>
            <w:vAlign w:val="center"/>
          </w:tcPr>
          <w:p>
            <w:pPr>
              <w:pStyle w:val="TableContents"/>
              <w:bidi w:val="0"/>
              <w:spacing w:before="0" w:after="283"/>
              <w:jc w:val="left"/>
              <w:rPr/>
            </w:pPr>
            <w:r>
              <w:rPr/>
              <w:t>Prepaid insurance</w:t>
            </w:r>
          </w:p>
        </w:tc>
        <w:tc>
          <w:tcPr>
            <w:tcW w:w="60"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 </w:t>
            </w:r>
          </w:p>
        </w:tc>
        <w:tc>
          <w:tcPr>
            <w:tcW w:w="1372" w:type="dxa"/>
            <w:tcBorders/>
            <w:shd w:fill="CCEEFF" w:val="clear"/>
            <w:vAlign w:val="center"/>
          </w:tcPr>
          <w:p>
            <w:pPr>
              <w:pStyle w:val="TableContents"/>
              <w:bidi w:val="0"/>
              <w:spacing w:before="0" w:after="283"/>
              <w:jc w:val="right"/>
              <w:rPr/>
            </w:pPr>
            <w:r>
              <w:rPr/>
              <w:t>374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4"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358</w:t>
            </w:r>
          </w:p>
        </w:tc>
        <w:tc>
          <w:tcPr>
            <w:tcW w:w="77" w:type="dxa"/>
            <w:tcBorders/>
            <w:shd w:fill="CCEEFF" w:val="clear"/>
            <w:vAlign w:val="center"/>
          </w:tcPr>
          <w:p>
            <w:pPr>
              <w:pStyle w:val="TableContents"/>
              <w:bidi w:val="0"/>
              <w:spacing w:before="0" w:after="283"/>
              <w:jc w:val="left"/>
              <w:rPr/>
            </w:pPr>
            <w:r>
              <w:rPr/>
              <w:t> </w:t>
            </w:r>
            <w:bookmarkStart w:id="460" w:name="xdx_407_ecustom--PrepaidSoftwareAndLicen"/>
            <w:bookmarkEnd w:id="460"/>
          </w:p>
        </w:tc>
      </w:tr>
      <w:tr>
        <w:trPr/>
        <w:tc>
          <w:tcPr>
            <w:tcW w:w="6835" w:type="dxa"/>
            <w:tcBorders/>
            <w:shd w:fill="FFFFFF" w:val="clear"/>
            <w:vAlign w:val="center"/>
          </w:tcPr>
          <w:p>
            <w:pPr>
              <w:pStyle w:val="TableContents"/>
              <w:bidi w:val="0"/>
              <w:spacing w:before="0" w:after="283"/>
              <w:jc w:val="left"/>
              <w:rPr/>
            </w:pPr>
            <w:r>
              <w:rPr/>
              <w:t>Prepaid software &amp; licenses</w:t>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1372" w:type="dxa"/>
            <w:tcBorders/>
            <w:shd w:fill="FFFFFF" w:val="clear"/>
            <w:vAlign w:val="center"/>
          </w:tcPr>
          <w:p>
            <w:pPr>
              <w:pStyle w:val="TableContents"/>
              <w:bidi w:val="0"/>
              <w:spacing w:before="0" w:after="283"/>
              <w:jc w:val="right"/>
              <w:rPr/>
            </w:pPr>
            <w:r>
              <w:rPr/>
              <w:t>308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4"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190</w:t>
            </w:r>
          </w:p>
        </w:tc>
        <w:tc>
          <w:tcPr>
            <w:tcW w:w="77" w:type="dxa"/>
            <w:tcBorders/>
            <w:shd w:fill="FFFFFF" w:val="clear"/>
            <w:vAlign w:val="center"/>
          </w:tcPr>
          <w:p>
            <w:pPr>
              <w:pStyle w:val="TableContents"/>
              <w:bidi w:val="0"/>
              <w:spacing w:before="0" w:after="283"/>
              <w:jc w:val="left"/>
              <w:rPr/>
            </w:pPr>
            <w:r>
              <w:rPr/>
              <w:t> </w:t>
            </w:r>
            <w:bookmarkStart w:id="461" w:name="xdx_405_ecustom--PrepaidSalesAndMarketin"/>
            <w:bookmarkEnd w:id="461"/>
          </w:p>
        </w:tc>
      </w:tr>
      <w:tr>
        <w:trPr/>
        <w:tc>
          <w:tcPr>
            <w:tcW w:w="6835" w:type="dxa"/>
            <w:tcBorders/>
            <w:shd w:fill="CCEEFF" w:val="clear"/>
            <w:vAlign w:val="center"/>
          </w:tcPr>
          <w:p>
            <w:pPr>
              <w:pStyle w:val="TableContents"/>
              <w:bidi w:val="0"/>
              <w:spacing w:before="0" w:after="283"/>
              <w:jc w:val="left"/>
              <w:rPr/>
            </w:pPr>
            <w:r>
              <w:rPr/>
              <w:t>Prepaid sales &amp; marketing</w:t>
            </w:r>
          </w:p>
        </w:tc>
        <w:tc>
          <w:tcPr>
            <w:tcW w:w="60"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 </w:t>
            </w:r>
          </w:p>
        </w:tc>
        <w:tc>
          <w:tcPr>
            <w:tcW w:w="1372" w:type="dxa"/>
            <w:tcBorders/>
            <w:shd w:fill="CCEEFF" w:val="clear"/>
            <w:vAlign w:val="center"/>
          </w:tcPr>
          <w:p>
            <w:pPr>
              <w:pStyle w:val="TableContents"/>
              <w:bidi w:val="0"/>
              <w:spacing w:before="0" w:after="283"/>
              <w:jc w:val="right"/>
              <w:rPr/>
            </w:pPr>
            <w:r>
              <w:rPr/>
              <w:t>138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4"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122</w:t>
            </w:r>
          </w:p>
        </w:tc>
        <w:tc>
          <w:tcPr>
            <w:tcW w:w="77" w:type="dxa"/>
            <w:tcBorders/>
            <w:shd w:fill="CCEEFF" w:val="clear"/>
            <w:vAlign w:val="center"/>
          </w:tcPr>
          <w:p>
            <w:pPr>
              <w:pStyle w:val="TableContents"/>
              <w:bidi w:val="0"/>
              <w:spacing w:before="0" w:after="283"/>
              <w:jc w:val="left"/>
              <w:rPr/>
            </w:pPr>
            <w:r>
              <w:rPr/>
              <w:t> </w:t>
            </w:r>
            <w:bookmarkStart w:id="462" w:name="xdx_40F_ecustom--PrepaidProjectCosts_iI_"/>
            <w:bookmarkEnd w:id="462"/>
          </w:p>
        </w:tc>
      </w:tr>
      <w:tr>
        <w:trPr/>
        <w:tc>
          <w:tcPr>
            <w:tcW w:w="6835" w:type="dxa"/>
            <w:tcBorders/>
            <w:shd w:fill="FFFFFF" w:val="clear"/>
            <w:vAlign w:val="center"/>
          </w:tcPr>
          <w:p>
            <w:pPr>
              <w:pStyle w:val="TableContents"/>
              <w:bidi w:val="0"/>
              <w:spacing w:before="0" w:after="283"/>
              <w:jc w:val="left"/>
              <w:rPr/>
            </w:pPr>
            <w:r>
              <w:rPr/>
              <w:t>Prepaid project costs</w:t>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1372" w:type="dxa"/>
            <w:tcBorders/>
            <w:shd w:fill="FFFFFF" w:val="clear"/>
            <w:vAlign w:val="center"/>
          </w:tcPr>
          <w:p>
            <w:pPr>
              <w:pStyle w:val="TableContents"/>
              <w:bidi w:val="0"/>
              <w:spacing w:before="0" w:after="283"/>
              <w:jc w:val="right"/>
              <w:rPr/>
            </w:pPr>
            <w:r>
              <w:rPr/>
              <w:t>617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4"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46</w:t>
            </w:r>
          </w:p>
        </w:tc>
        <w:tc>
          <w:tcPr>
            <w:tcW w:w="77" w:type="dxa"/>
            <w:tcBorders/>
            <w:shd w:fill="FFFFFF" w:val="clear"/>
            <w:vAlign w:val="center"/>
          </w:tcPr>
          <w:p>
            <w:pPr>
              <w:pStyle w:val="TableContents"/>
              <w:bidi w:val="0"/>
              <w:spacing w:before="0" w:after="283"/>
              <w:jc w:val="left"/>
              <w:rPr/>
            </w:pPr>
            <w:r>
              <w:rPr/>
              <w:t> </w:t>
            </w:r>
            <w:bookmarkStart w:id="463" w:name="xdx_409_eus-gaap--OtherPrepaidExpenseCur"/>
            <w:bookmarkEnd w:id="463"/>
          </w:p>
        </w:tc>
      </w:tr>
      <w:tr>
        <w:trPr/>
        <w:tc>
          <w:tcPr>
            <w:tcW w:w="6835" w:type="dxa"/>
            <w:tcBorders/>
            <w:shd w:fill="CCEEFF" w:val="clear"/>
            <w:vAlign w:val="center"/>
          </w:tcPr>
          <w:p>
            <w:pPr>
              <w:pStyle w:val="TableContents"/>
              <w:bidi w:val="0"/>
              <w:spacing w:before="0" w:after="283"/>
              <w:jc w:val="left"/>
              <w:rPr/>
            </w:pPr>
            <w:r>
              <w:rPr/>
              <w:t>Prepaid expenses- other</w:t>
            </w:r>
          </w:p>
        </w:tc>
        <w:tc>
          <w:tcPr>
            <w:tcW w:w="60" w:type="dxa"/>
            <w:tcBorders/>
            <w:shd w:fill="CCEEFF" w:val="clear"/>
            <w:vAlign w:val="center"/>
          </w:tcPr>
          <w:p>
            <w:pPr>
              <w:pStyle w:val="TableContents"/>
              <w:bidi w:val="0"/>
              <w:spacing w:before="0" w:after="283"/>
              <w:jc w:val="left"/>
              <w:rPr/>
            </w:pPr>
            <w:r>
              <w:rPr/>
              <w:t> </w:t>
            </w:r>
          </w:p>
        </w:tc>
        <w:tc>
          <w:tcPr>
            <w:tcW w:w="3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72" w:type="dxa"/>
            <w:tcBorders>
              <w:bottom w:val="single" w:sz="12" w:space="0" w:color="000000"/>
            </w:tcBorders>
            <w:shd w:fill="CCEEFF" w:val="clear"/>
            <w:tcMar>
              <w:bottom w:w="28" w:type="dxa"/>
            </w:tcMar>
            <w:vAlign w:val="center"/>
          </w:tcPr>
          <w:p>
            <w:pPr>
              <w:pStyle w:val="TableContents"/>
              <w:bidi w:val="0"/>
              <w:spacing w:before="0" w:after="283"/>
              <w:jc w:val="right"/>
              <w:rPr/>
            </w:pPr>
            <w:r>
              <w:rPr/>
              <w:t>168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4" w:type="dxa"/>
            <w:tcBorders>
              <w:bottom w:val="single" w:sz="12" w:space="0" w:color="000000"/>
            </w:tcBorders>
            <w:shd w:fill="CCEEFF" w:val="clear"/>
            <w:tcMar>
              <w:bottom w:w="28" w:type="dxa"/>
            </w:tcMar>
            <w:vAlign w:val="center"/>
          </w:tcPr>
          <w:p>
            <w:pPr>
              <w:pStyle w:val="TableContents"/>
              <w:bidi w:val="0"/>
              <w:spacing w:before="0" w:after="283"/>
              <w:jc w:val="right"/>
              <w:rPr/>
            </w:pPr>
            <w:r>
              <w:rPr/>
              <w:t>220</w:t>
            </w:r>
          </w:p>
        </w:tc>
        <w:tc>
          <w:tcPr>
            <w:tcW w:w="77" w:type="dxa"/>
            <w:tcBorders/>
            <w:shd w:fill="CCEEFF" w:val="clear"/>
            <w:vAlign w:val="center"/>
          </w:tcPr>
          <w:p>
            <w:pPr>
              <w:pStyle w:val="TableContents"/>
              <w:bidi w:val="0"/>
              <w:spacing w:before="0" w:after="283"/>
              <w:jc w:val="left"/>
              <w:rPr/>
            </w:pPr>
            <w:r>
              <w:rPr/>
              <w:t> </w:t>
            </w:r>
            <w:bookmarkStart w:id="464" w:name="xdx_40A_eus-gaap--OtherAssetsCurrent_iTI"/>
            <w:bookmarkEnd w:id="464"/>
          </w:p>
        </w:tc>
      </w:tr>
      <w:tr>
        <w:trPr/>
        <w:tc>
          <w:tcPr>
            <w:tcW w:w="68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other current assets</w:t>
            </w:r>
          </w:p>
        </w:tc>
        <w:tc>
          <w:tcPr>
            <w:tcW w:w="60" w:type="dxa"/>
            <w:tcBorders/>
            <w:shd w:fill="FFFFFF" w:val="clear"/>
            <w:vAlign w:val="center"/>
          </w:tcPr>
          <w:p>
            <w:pPr>
              <w:pStyle w:val="TableContents"/>
              <w:bidi w:val="0"/>
              <w:spacing w:before="0" w:after="283"/>
              <w:jc w:val="left"/>
              <w:rPr/>
            </w:pPr>
            <w:r>
              <w:rPr/>
              <w:t> </w:t>
            </w:r>
          </w:p>
        </w:tc>
        <w:tc>
          <w:tcPr>
            <w:tcW w:w="34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72" w:type="dxa"/>
            <w:tcBorders>
              <w:bottom w:val="double" w:sz="6" w:space="0" w:color="000000"/>
            </w:tcBorders>
            <w:shd w:fill="FFFFFF" w:val="clear"/>
            <w:tcMar>
              <w:bottom w:w="28" w:type="dxa"/>
            </w:tcMar>
            <w:vAlign w:val="center"/>
          </w:tcPr>
          <w:p>
            <w:pPr>
              <w:pStyle w:val="TableContents"/>
              <w:bidi w:val="0"/>
              <w:spacing w:before="0" w:after="283"/>
              <w:jc w:val="right"/>
              <w:rPr/>
            </w:pPr>
            <w:r>
              <w:rPr/>
              <w:t>3,927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24" w:type="dxa"/>
            <w:tcBorders>
              <w:bottom w:val="double" w:sz="6" w:space="0" w:color="000000"/>
            </w:tcBorders>
            <w:shd w:fill="FFFFFF" w:val="clear"/>
            <w:tcMar>
              <w:bottom w:w="28" w:type="dxa"/>
            </w:tcMar>
            <w:vAlign w:val="center"/>
          </w:tcPr>
          <w:p>
            <w:pPr>
              <w:pStyle w:val="TableContents"/>
              <w:bidi w:val="0"/>
              <w:spacing w:before="0" w:after="283"/>
              <w:jc w:val="right"/>
              <w:rPr/>
            </w:pPr>
            <w:r>
              <w:rPr/>
              <w:t>994</w:t>
            </w:r>
          </w:p>
        </w:tc>
        <w:tc>
          <w:tcPr>
            <w:tcW w:w="7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65" w:name="xdx_8AE_zp4fdONQUxkj"/>
      <w:bookmarkEnd w:id="465"/>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66" w:name="xdx_809_eus-gaap--PropertyPlantAndEquipm"/>
      <w:bookmarkEnd w:id="466"/>
      <w:r>
        <w:rPr>
          <w:rFonts w:ascii="Times New Roman;Times;Serif" w:hAnsi="Times New Roman;Times;Serif"/>
          <w:b/>
          <w:i w:val="false"/>
          <w:caps w:val="false"/>
          <w:smallCaps w:val="false"/>
          <w:sz w:val="20"/>
        </w:rPr>
        <w:t xml:space="preserve">(6) </w:t>
      </w:r>
      <w:bookmarkStart w:id="467" w:name="xdx_822_zrtIAUM64Fbc"/>
      <w:bookmarkEnd w:id="467"/>
      <w:r>
        <w:rPr>
          <w:rFonts w:ascii="Times New Roman;Times;Serif" w:hAnsi="Times New Roman;Times;Serif"/>
          <w:b/>
          <w:i w:val="false"/>
          <w:caps w:val="false"/>
          <w:smallCaps w:val="false"/>
          <w:sz w:val="20"/>
        </w:rPr>
        <w:t>Property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68" w:name="xdx_89A_eus-gaap--PropertyPlantAndEquipm"/>
      <w:bookmarkEnd w:id="468"/>
      <w:r>
        <w:rPr>
          <w:rFonts w:ascii="Times New Roman;Times;Serif" w:hAnsi="Times New Roman;Times;Serif"/>
          <w:b w:val="false"/>
          <w:i w:val="false"/>
          <w:caps w:val="false"/>
          <w:smallCaps w:val="false"/>
          <w:sz w:val="20"/>
        </w:rPr>
        <w:t>The components of property and equipment, net as of January 31, 2024 and April 30, 2023 consisted of the following:</w:t>
      </w:r>
    </w:p>
    <w:p>
      <w:pPr>
        <w:pStyle w:val="TextBody"/>
        <w:bidi w:val="0"/>
        <w:spacing w:before="0" w:after="0"/>
        <w:ind w:left="0" w:right="0" w:hanging="0"/>
        <w:jc w:val="both"/>
        <w:rPr>
          <w:caps w:val="false"/>
          <w:smallCaps w:val="false"/>
        </w:rPr>
      </w:pPr>
      <w:r>
        <w:rPr>
          <w:caps w:val="false"/>
          <w:smallCaps w:val="false"/>
        </w:rPr>
        <w:t> </w:t>
      </w:r>
      <w:bookmarkStart w:id="469" w:name="xdx_8BE_z0rmGxiOnV8i"/>
      <w:bookmarkEnd w:id="469"/>
      <w:r>
        <w:rPr>
          <w:rFonts w:ascii="Times New Roman;Times;Serif" w:hAnsi="Times New Roman;Times;Serif"/>
          <w:b w:val="false"/>
          <w:i w:val="false"/>
          <w:caps w:val="false"/>
          <w:smallCaps w:val="false"/>
          <w:sz w:val="20"/>
        </w:rPr>
        <w:t>Schedule of Components of Property and Equipment</w:t>
      </w:r>
    </w:p>
    <w:tbl>
      <w:tblPr>
        <w:tblW w:w="6698" w:type="dxa"/>
        <w:jc w:val="left"/>
        <w:tblInd w:w="0" w:type="dxa"/>
        <w:tblLayout w:type="fixed"/>
        <w:tblCellMar>
          <w:top w:w="0" w:type="dxa"/>
          <w:left w:w="0" w:type="dxa"/>
          <w:bottom w:w="0" w:type="dxa"/>
          <w:right w:w="0" w:type="dxa"/>
        </w:tblCellMar>
      </w:tblPr>
      <w:tblGrid>
        <w:gridCol w:w="3140"/>
        <w:gridCol w:w="60"/>
        <w:gridCol w:w="320"/>
        <w:gridCol w:w="1454"/>
        <w:gridCol w:w="95"/>
        <w:gridCol w:w="60"/>
        <w:gridCol w:w="263"/>
        <w:gridCol w:w="1196"/>
        <w:gridCol w:w="110"/>
      </w:tblGrid>
      <w:tr>
        <w:trPr/>
        <w:tc>
          <w:tcPr>
            <w:tcW w:w="31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470" w:name="xdx_495_20240131_zY6Ty4m5tBC3"/>
            <w:bookmarkEnd w:id="470"/>
          </w:p>
        </w:tc>
        <w:tc>
          <w:tcPr>
            <w:tcW w:w="17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January 31, 2024</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471" w:name="xdx_498_20230430_zv2ZdzRdrZmi"/>
            <w:bookmarkEnd w:id="471"/>
          </w:p>
        </w:tc>
        <w:tc>
          <w:tcPr>
            <w:tcW w:w="14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April 30, 2023</w:t>
            </w:r>
          </w:p>
        </w:tc>
        <w:tc>
          <w:tcPr>
            <w:tcW w:w="110" w:type="dxa"/>
            <w:tcBorders/>
            <w:vAlign w:val="center"/>
          </w:tcPr>
          <w:p>
            <w:pPr>
              <w:pStyle w:val="TableContents"/>
              <w:bidi w:val="0"/>
              <w:spacing w:before="0" w:after="283"/>
              <w:jc w:val="center"/>
              <w:rPr/>
            </w:pPr>
            <w:r>
              <w:rPr/>
              <w:t> </w:t>
            </w:r>
          </w:p>
        </w:tc>
      </w:tr>
      <w:tr>
        <w:trPr/>
        <w:tc>
          <w:tcPr>
            <w:tcW w:w="31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498" w:type="dxa"/>
            <w:gridSpan w:val="7"/>
            <w:tcBorders/>
            <w:vAlign w:val="center"/>
          </w:tcPr>
          <w:p>
            <w:pPr>
              <w:pStyle w:val="TableContents"/>
              <w:bidi w:val="0"/>
              <w:spacing w:before="0" w:after="283"/>
              <w:jc w:val="center"/>
              <w:rPr/>
            </w:pPr>
            <w:r>
              <w:rPr/>
              <w:t>(in thousands)</w:t>
            </w:r>
            <w:bookmarkStart w:id="472" w:name="xdx_40D_eus-gaap--PropertyPlantAndEquipm"/>
            <w:bookmarkEnd w:id="472"/>
          </w:p>
        </w:tc>
      </w:tr>
      <w:tr>
        <w:trPr/>
        <w:tc>
          <w:tcPr>
            <w:tcW w:w="3140" w:type="dxa"/>
            <w:tcBorders/>
            <w:shd w:fill="CCEEFF" w:val="clear"/>
            <w:vAlign w:val="center"/>
          </w:tcPr>
          <w:p>
            <w:pPr>
              <w:pStyle w:val="TableContents"/>
              <w:bidi w:val="0"/>
              <w:spacing w:before="0" w:after="283"/>
              <w:jc w:val="left"/>
              <w:rPr/>
            </w:pPr>
            <w:r>
              <w:rPr/>
              <w:t>Equipment</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w:t>
            </w:r>
          </w:p>
        </w:tc>
        <w:tc>
          <w:tcPr>
            <w:tcW w:w="1454" w:type="dxa"/>
            <w:tcBorders/>
            <w:shd w:fill="CCEEFF" w:val="clear"/>
            <w:vAlign w:val="center"/>
          </w:tcPr>
          <w:p>
            <w:pPr>
              <w:pStyle w:val="TableContents"/>
              <w:bidi w:val="0"/>
              <w:spacing w:before="0" w:after="283"/>
              <w:jc w:val="right"/>
              <w:rPr/>
            </w:pPr>
            <w:r>
              <w:rPr/>
              <w:t>1,491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w:t>
            </w:r>
          </w:p>
        </w:tc>
        <w:tc>
          <w:tcPr>
            <w:tcW w:w="1196" w:type="dxa"/>
            <w:tcBorders/>
            <w:shd w:fill="CCEEFF" w:val="clear"/>
            <w:vAlign w:val="center"/>
          </w:tcPr>
          <w:p>
            <w:pPr>
              <w:pStyle w:val="TableContents"/>
              <w:bidi w:val="0"/>
              <w:spacing w:before="0" w:after="283"/>
              <w:jc w:val="right"/>
              <w:rPr/>
            </w:pPr>
            <w:r>
              <w:rPr/>
              <w:t>783</w:t>
            </w:r>
          </w:p>
        </w:tc>
        <w:tc>
          <w:tcPr>
            <w:tcW w:w="110" w:type="dxa"/>
            <w:tcBorders/>
            <w:shd w:fill="CCEEFF" w:val="clear"/>
            <w:vAlign w:val="center"/>
          </w:tcPr>
          <w:p>
            <w:pPr>
              <w:pStyle w:val="TableContents"/>
              <w:bidi w:val="0"/>
              <w:spacing w:before="0" w:after="283"/>
              <w:jc w:val="left"/>
              <w:rPr/>
            </w:pPr>
            <w:r>
              <w:rPr/>
              <w:t> </w:t>
            </w:r>
            <w:bookmarkStart w:id="473" w:name="xdx_40E_eus-gaap--PropertyPlantAndEquipm"/>
            <w:bookmarkEnd w:id="473"/>
          </w:p>
        </w:tc>
      </w:tr>
      <w:tr>
        <w:trPr/>
        <w:tc>
          <w:tcPr>
            <w:tcW w:w="3140" w:type="dxa"/>
            <w:tcBorders/>
            <w:shd w:fill="FFFFFF" w:val="clear"/>
            <w:vAlign w:val="center"/>
          </w:tcPr>
          <w:p>
            <w:pPr>
              <w:pStyle w:val="TableContents"/>
              <w:bidi w:val="0"/>
              <w:spacing w:before="0" w:after="283"/>
              <w:jc w:val="left"/>
              <w:rPr/>
            </w:pPr>
            <w:r>
              <w:rPr/>
              <w:t>Computer equipment &amp; software</w:t>
            </w:r>
          </w:p>
        </w:tc>
        <w:tc>
          <w:tcPr>
            <w:tcW w:w="60"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1454" w:type="dxa"/>
            <w:tcBorders/>
            <w:shd w:fill="FFFFFF" w:val="clear"/>
            <w:vAlign w:val="center"/>
          </w:tcPr>
          <w:p>
            <w:pPr>
              <w:pStyle w:val="TableContents"/>
              <w:bidi w:val="0"/>
              <w:spacing w:before="0" w:after="283"/>
              <w:jc w:val="right"/>
              <w:rPr/>
            </w:pPr>
            <w:r>
              <w:rPr/>
              <w:t>711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700</w:t>
            </w:r>
          </w:p>
        </w:tc>
        <w:tc>
          <w:tcPr>
            <w:tcW w:w="110" w:type="dxa"/>
            <w:tcBorders/>
            <w:shd w:fill="FFFFFF" w:val="clear"/>
            <w:vAlign w:val="center"/>
          </w:tcPr>
          <w:p>
            <w:pPr>
              <w:pStyle w:val="TableContents"/>
              <w:bidi w:val="0"/>
              <w:spacing w:before="0" w:after="283"/>
              <w:jc w:val="left"/>
              <w:rPr/>
            </w:pPr>
            <w:r>
              <w:rPr/>
              <w:t> </w:t>
            </w:r>
            <w:bookmarkStart w:id="474" w:name="xdx_402_eus-gaap--PropertyPlantAndEquipm"/>
            <w:bookmarkEnd w:id="474"/>
          </w:p>
        </w:tc>
      </w:tr>
      <w:tr>
        <w:trPr/>
        <w:tc>
          <w:tcPr>
            <w:tcW w:w="3140" w:type="dxa"/>
            <w:tcBorders/>
            <w:shd w:fill="CCEEFF" w:val="clear"/>
            <w:vAlign w:val="center"/>
          </w:tcPr>
          <w:p>
            <w:pPr>
              <w:pStyle w:val="TableContents"/>
              <w:bidi w:val="0"/>
              <w:spacing w:before="0" w:after="283"/>
              <w:jc w:val="left"/>
              <w:rPr/>
            </w:pPr>
            <w:r>
              <w:rPr/>
              <w:t>Office furniture &amp; equipment</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c>
          <w:tcPr>
            <w:tcW w:w="1454" w:type="dxa"/>
            <w:tcBorders/>
            <w:shd w:fill="CCEEFF" w:val="clear"/>
            <w:vAlign w:val="center"/>
          </w:tcPr>
          <w:p>
            <w:pPr>
              <w:pStyle w:val="TableContents"/>
              <w:bidi w:val="0"/>
              <w:spacing w:before="0" w:after="283"/>
              <w:jc w:val="right"/>
              <w:rPr/>
            </w:pPr>
            <w:r>
              <w:rPr/>
              <w:t>420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386</w:t>
            </w:r>
          </w:p>
        </w:tc>
        <w:tc>
          <w:tcPr>
            <w:tcW w:w="110" w:type="dxa"/>
            <w:tcBorders/>
            <w:shd w:fill="CCEEFF" w:val="clear"/>
            <w:vAlign w:val="center"/>
          </w:tcPr>
          <w:p>
            <w:pPr>
              <w:pStyle w:val="TableContents"/>
              <w:bidi w:val="0"/>
              <w:spacing w:before="0" w:after="283"/>
              <w:jc w:val="left"/>
              <w:rPr/>
            </w:pPr>
            <w:r>
              <w:rPr/>
              <w:t> </w:t>
            </w:r>
            <w:bookmarkStart w:id="475" w:name="xdx_400_eus-gaap--PropertyPlantAndEquipm"/>
            <w:bookmarkEnd w:id="475"/>
          </w:p>
        </w:tc>
      </w:tr>
      <w:tr>
        <w:trPr/>
        <w:tc>
          <w:tcPr>
            <w:tcW w:w="3140" w:type="dxa"/>
            <w:tcBorders/>
            <w:shd w:fill="FFFFFF" w:val="clear"/>
            <w:vAlign w:val="center"/>
          </w:tcPr>
          <w:p>
            <w:pPr>
              <w:pStyle w:val="TableContents"/>
              <w:bidi w:val="0"/>
              <w:spacing w:before="0" w:after="283"/>
              <w:jc w:val="left"/>
              <w:rPr/>
            </w:pPr>
            <w:r>
              <w:rPr/>
              <w:t>Leasehold improvements</w:t>
            </w:r>
          </w:p>
        </w:tc>
        <w:tc>
          <w:tcPr>
            <w:tcW w:w="60"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1454" w:type="dxa"/>
            <w:tcBorders/>
            <w:shd w:fill="FFFFFF" w:val="clear"/>
            <w:vAlign w:val="center"/>
          </w:tcPr>
          <w:p>
            <w:pPr>
              <w:pStyle w:val="TableContents"/>
              <w:bidi w:val="0"/>
              <w:spacing w:before="0" w:after="283"/>
              <w:jc w:val="right"/>
              <w:rPr/>
            </w:pPr>
            <w:r>
              <w:rPr/>
              <w:t>683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611</w:t>
            </w:r>
          </w:p>
        </w:tc>
        <w:tc>
          <w:tcPr>
            <w:tcW w:w="110" w:type="dxa"/>
            <w:tcBorders/>
            <w:shd w:fill="FFFFFF" w:val="clear"/>
            <w:vAlign w:val="center"/>
          </w:tcPr>
          <w:p>
            <w:pPr>
              <w:pStyle w:val="TableContents"/>
              <w:bidi w:val="0"/>
              <w:spacing w:before="0" w:after="283"/>
              <w:jc w:val="left"/>
              <w:rPr/>
            </w:pPr>
            <w:r>
              <w:rPr/>
              <w:t> </w:t>
            </w:r>
            <w:bookmarkStart w:id="476" w:name="xdx_408_eus-gaap--PropertyPlantAndEquipm"/>
            <w:bookmarkEnd w:id="476"/>
          </w:p>
        </w:tc>
      </w:tr>
      <w:tr>
        <w:trPr/>
        <w:tc>
          <w:tcPr>
            <w:tcW w:w="3140" w:type="dxa"/>
            <w:tcBorders/>
            <w:shd w:fill="CCEEFF" w:val="clear"/>
            <w:vAlign w:val="center"/>
          </w:tcPr>
          <w:p>
            <w:pPr>
              <w:pStyle w:val="TableContents"/>
              <w:bidi w:val="0"/>
              <w:spacing w:before="0" w:after="283"/>
              <w:jc w:val="left"/>
              <w:rPr/>
            </w:pPr>
            <w:r>
              <w:rPr/>
              <w:t>Leased WAM-V’s</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c>
          <w:tcPr>
            <w:tcW w:w="1454" w:type="dxa"/>
            <w:tcBorders/>
            <w:shd w:fill="CCEEFF" w:val="clear"/>
            <w:vAlign w:val="center"/>
          </w:tcPr>
          <w:p>
            <w:pPr>
              <w:pStyle w:val="TableContents"/>
              <w:bidi w:val="0"/>
              <w:spacing w:before="0" w:after="283"/>
              <w:jc w:val="right"/>
              <w:rPr/>
            </w:pPr>
            <w:r>
              <w:rPr/>
              <w:t>640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371</w:t>
            </w:r>
          </w:p>
        </w:tc>
        <w:tc>
          <w:tcPr>
            <w:tcW w:w="110" w:type="dxa"/>
            <w:tcBorders/>
            <w:shd w:fill="CCEEFF" w:val="clear"/>
            <w:vAlign w:val="center"/>
          </w:tcPr>
          <w:p>
            <w:pPr>
              <w:pStyle w:val="TableContents"/>
              <w:bidi w:val="0"/>
              <w:spacing w:before="0" w:after="283"/>
              <w:jc w:val="left"/>
              <w:rPr/>
            </w:pPr>
            <w:r>
              <w:rPr/>
              <w:t> </w:t>
            </w:r>
            <w:bookmarkStart w:id="477" w:name="xdx_40C_eus-gaap--PropertyPlantAndEquipm"/>
            <w:bookmarkEnd w:id="477"/>
          </w:p>
        </w:tc>
      </w:tr>
      <w:tr>
        <w:trPr/>
        <w:tc>
          <w:tcPr>
            <w:tcW w:w="3140" w:type="dxa"/>
            <w:tcBorders/>
            <w:shd w:fill="FFFFFF" w:val="clear"/>
            <w:vAlign w:val="center"/>
          </w:tcPr>
          <w:p>
            <w:pPr>
              <w:pStyle w:val="TableContents"/>
              <w:bidi w:val="0"/>
              <w:spacing w:before="0" w:after="283"/>
              <w:jc w:val="left"/>
              <w:rPr/>
            </w:pPr>
            <w:r>
              <w:rPr/>
              <w:t>Leased Buoys</w:t>
            </w:r>
          </w:p>
        </w:tc>
        <w:tc>
          <w:tcPr>
            <w:tcW w:w="60" w:type="dxa"/>
            <w:tcBorders/>
            <w:shd w:fill="FFFFFF" w:val="clear"/>
            <w:vAlign w:val="center"/>
          </w:tcPr>
          <w:p>
            <w:pPr>
              <w:pStyle w:val="TableContents"/>
              <w:bidi w:val="0"/>
              <w:spacing w:before="0" w:after="283"/>
              <w:jc w:val="left"/>
              <w:rPr/>
            </w:pPr>
            <w:r>
              <w:rPr/>
              <w:t> </w:t>
            </w:r>
          </w:p>
        </w:tc>
        <w:tc>
          <w:tcPr>
            <w:tcW w:w="3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54" w:type="dxa"/>
            <w:tcBorders>
              <w:bottom w:val="single" w:sz="12" w:space="0" w:color="000000"/>
            </w:tcBorders>
            <w:shd w:fill="FFFFFF" w:val="clear"/>
            <w:tcMar>
              <w:bottom w:w="28" w:type="dxa"/>
            </w:tcMar>
            <w:vAlign w:val="center"/>
          </w:tcPr>
          <w:p>
            <w:pPr>
              <w:pStyle w:val="TableContents"/>
              <w:bidi w:val="0"/>
              <w:spacing w:before="0" w:after="283"/>
              <w:jc w:val="right"/>
              <w:rPr/>
            </w:pPr>
            <w:r>
              <w:rPr/>
              <w:t>111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478" w:name="xdx_407_eus-gaap--PropertyPlantAndEquipm"/>
            <w:bookmarkEnd w:id="478"/>
          </w:p>
        </w:tc>
      </w:tr>
      <w:tr>
        <w:trPr/>
        <w:tc>
          <w:tcPr>
            <w:tcW w:w="31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and equipment, gross</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c>
          <w:tcPr>
            <w:tcW w:w="1454" w:type="dxa"/>
            <w:tcBorders/>
            <w:shd w:fill="CCEEFF" w:val="clear"/>
            <w:vAlign w:val="center"/>
          </w:tcPr>
          <w:p>
            <w:pPr>
              <w:pStyle w:val="TableContents"/>
              <w:bidi w:val="0"/>
              <w:spacing w:before="0" w:after="283"/>
              <w:jc w:val="right"/>
              <w:rPr/>
            </w:pPr>
            <w:r>
              <w:rPr/>
              <w:t>4,056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2,851</w:t>
            </w:r>
          </w:p>
        </w:tc>
        <w:tc>
          <w:tcPr>
            <w:tcW w:w="110" w:type="dxa"/>
            <w:tcBorders/>
            <w:shd w:fill="CCEEFF" w:val="clear"/>
            <w:vAlign w:val="center"/>
          </w:tcPr>
          <w:p>
            <w:pPr>
              <w:pStyle w:val="TableContents"/>
              <w:bidi w:val="0"/>
              <w:spacing w:before="0" w:after="283"/>
              <w:jc w:val="left"/>
              <w:rPr/>
            </w:pPr>
            <w:r>
              <w:rPr/>
              <w:t> </w:t>
            </w:r>
            <w:bookmarkStart w:id="479" w:name="xdx_401_eus-gaap--AccumulatedDepreciatio"/>
            <w:bookmarkEnd w:id="479"/>
          </w:p>
        </w:tc>
      </w:tr>
      <w:tr>
        <w:trPr/>
        <w:tc>
          <w:tcPr>
            <w:tcW w:w="3140" w:type="dxa"/>
            <w:tcBorders/>
            <w:shd w:fill="FFFFFF" w:val="clear"/>
            <w:vAlign w:val="center"/>
          </w:tcPr>
          <w:p>
            <w:pPr>
              <w:pStyle w:val="TableContents"/>
              <w:bidi w:val="0"/>
              <w:spacing w:before="0" w:after="283"/>
              <w:jc w:val="left"/>
              <w:rPr/>
            </w:pPr>
            <w:r>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3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54" w:type="dxa"/>
            <w:tcBorders>
              <w:bottom w:val="single" w:sz="12" w:space="0" w:color="000000"/>
            </w:tcBorders>
            <w:shd w:fill="FFFFFF" w:val="clear"/>
            <w:tcMar>
              <w:bottom w:w="28" w:type="dxa"/>
            </w:tcMar>
            <w:vAlign w:val="center"/>
          </w:tcPr>
          <w:p>
            <w:pPr>
              <w:pStyle w:val="TableContents"/>
              <w:bidi w:val="0"/>
              <w:spacing w:before="0" w:after="283"/>
              <w:jc w:val="right"/>
              <w:rPr/>
            </w:pPr>
            <w:r>
              <w:rPr/>
              <w:t>(1,839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6" w:type="dxa"/>
            <w:tcBorders>
              <w:bottom w:val="single" w:sz="12" w:space="0" w:color="000000"/>
            </w:tcBorders>
            <w:shd w:fill="FFFFFF" w:val="clear"/>
            <w:tcMar>
              <w:bottom w:w="28" w:type="dxa"/>
            </w:tcMar>
            <w:vAlign w:val="center"/>
          </w:tcPr>
          <w:p>
            <w:pPr>
              <w:pStyle w:val="TableContents"/>
              <w:bidi w:val="0"/>
              <w:spacing w:before="0" w:after="283"/>
              <w:jc w:val="right"/>
              <w:rPr/>
            </w:pPr>
            <w:r>
              <w:rPr/>
              <w:t>(1,571</w:t>
            </w:r>
          </w:p>
        </w:tc>
        <w:tc>
          <w:tcPr>
            <w:tcW w:w="110" w:type="dxa"/>
            <w:tcBorders/>
            <w:shd w:fill="FFFFFF" w:val="clear"/>
            <w:vAlign w:val="center"/>
          </w:tcPr>
          <w:p>
            <w:pPr>
              <w:pStyle w:val="TableContents"/>
              <w:bidi w:val="0"/>
              <w:spacing w:before="0" w:after="283"/>
              <w:jc w:val="left"/>
              <w:rPr/>
            </w:pPr>
            <w:r>
              <w:rPr/>
              <w:t>)</w:t>
            </w:r>
            <w:bookmarkStart w:id="480" w:name="xdx_406_eus-gaap--PropertyPlantAndEquipm"/>
            <w:bookmarkEnd w:id="480"/>
          </w:p>
        </w:tc>
      </w:tr>
      <w:tr>
        <w:trPr/>
        <w:tc>
          <w:tcPr>
            <w:tcW w:w="31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32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54" w:type="dxa"/>
            <w:tcBorders>
              <w:bottom w:val="double" w:sz="6" w:space="0" w:color="000000"/>
            </w:tcBorders>
            <w:shd w:fill="CCEEFF" w:val="clear"/>
            <w:tcMar>
              <w:bottom w:w="28" w:type="dxa"/>
            </w:tcMar>
            <w:vAlign w:val="center"/>
          </w:tcPr>
          <w:p>
            <w:pPr>
              <w:pStyle w:val="TableContents"/>
              <w:bidi w:val="0"/>
              <w:spacing w:before="0" w:after="283"/>
              <w:jc w:val="right"/>
              <w:rPr/>
            </w:pPr>
            <w:r>
              <w:rPr/>
              <w:t>2,217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6" w:type="dxa"/>
            <w:tcBorders>
              <w:bottom w:val="double" w:sz="6" w:space="0" w:color="000000"/>
            </w:tcBorders>
            <w:shd w:fill="CCEEFF" w:val="clear"/>
            <w:tcMar>
              <w:bottom w:w="28" w:type="dxa"/>
            </w:tcMar>
            <w:vAlign w:val="center"/>
          </w:tcPr>
          <w:p>
            <w:pPr>
              <w:pStyle w:val="TableContents"/>
              <w:bidi w:val="0"/>
              <w:spacing w:before="0" w:after="283"/>
              <w:jc w:val="right"/>
              <w:rPr/>
            </w:pPr>
            <w:r>
              <w:rPr/>
              <w:t>1,280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81" w:name="xdx_8A3_zgZebm335oVh"/>
      <w:bookmarkEnd w:id="48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Leased WAM-V’s represent fixed assets that are part of underlying operating leases with customers as discussed in the revenue recognition section of ASC 842 policy disclosure. Depreciation expense was approximately $</w:t>
      </w:r>
      <w:bookmarkStart w:id="482" w:name="xdx_90E_eus-gaap--Depreciation_c20230501"/>
      <w:bookmarkEnd w:id="482"/>
      <w:r>
        <w:rPr>
          <w:rFonts w:ascii="Times New Roman;Times;Serif" w:hAnsi="Times New Roman;Times;Serif"/>
          <w:b w:val="false"/>
          <w:i w:val="false"/>
          <w:caps w:val="false"/>
          <w:smallCaps w:val="false"/>
          <w:sz w:val="20"/>
        </w:rPr>
        <w:t>286,000 and $</w:t>
      </w:r>
      <w:bookmarkStart w:id="483" w:name="xdx_902_eus-gaap--Depreciation_c20220501"/>
      <w:bookmarkEnd w:id="483"/>
      <w:r>
        <w:rPr>
          <w:rFonts w:ascii="Times New Roman;Times;Serif" w:hAnsi="Times New Roman;Times;Serif"/>
          <w:b w:val="false"/>
          <w:i w:val="false"/>
          <w:caps w:val="false"/>
          <w:smallCaps w:val="false"/>
          <w:sz w:val="20"/>
        </w:rPr>
        <w:t>157,000 for the nine-month periods ended January 31, 2024 and 2023, respectively. Depreciation expense was approximately $</w:t>
      </w:r>
      <w:bookmarkStart w:id="484" w:name="xdx_90F_eus-gaap--Depreciation_c20231101"/>
      <w:bookmarkEnd w:id="484"/>
      <w:r>
        <w:rPr>
          <w:rFonts w:ascii="Times New Roman;Times;Serif" w:hAnsi="Times New Roman;Times;Serif"/>
          <w:b w:val="false"/>
          <w:i w:val="false"/>
          <w:caps w:val="false"/>
          <w:smallCaps w:val="false"/>
          <w:sz w:val="20"/>
        </w:rPr>
        <w:t>114,000 and $</w:t>
      </w:r>
      <w:bookmarkStart w:id="485" w:name="xdx_90A_eus-gaap--Depreciation_c20221101"/>
      <w:bookmarkEnd w:id="485"/>
      <w:r>
        <w:rPr>
          <w:rFonts w:ascii="Times New Roman;Times;Serif" w:hAnsi="Times New Roman;Times;Serif"/>
          <w:b w:val="false"/>
          <w:i w:val="false"/>
          <w:caps w:val="false"/>
          <w:smallCaps w:val="false"/>
          <w:sz w:val="20"/>
        </w:rPr>
        <w:t>40,000 for the three-month periods ended January 31, 2024 and 2023, respectively.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86" w:name="xdx_80A_eus-gaap--IntangibleAssetsDisclo"/>
      <w:bookmarkEnd w:id="486"/>
      <w:r>
        <w:rPr>
          <w:rFonts w:ascii="Times New Roman;Times;Serif" w:hAnsi="Times New Roman;Times;Serif"/>
          <w:b/>
          <w:i w:val="false"/>
          <w:caps w:val="false"/>
          <w:smallCaps w:val="false"/>
          <w:sz w:val="20"/>
        </w:rPr>
        <w:t xml:space="preserve">(7) </w:t>
      </w:r>
      <w:bookmarkStart w:id="487" w:name="xdx_82D_zYk0VNQh3JT1"/>
      <w:bookmarkEnd w:id="487"/>
      <w:r>
        <w:rPr>
          <w:rFonts w:ascii="Times New Roman;Times;Serif" w:hAnsi="Times New Roman;Times;Serif"/>
          <w:b/>
          <w:i w:val="false"/>
          <w:caps w:val="false"/>
          <w:smallCaps w:val="false"/>
          <w:sz w:val="20"/>
        </w:rPr>
        <w:t>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88" w:name="xdx_89D_eus-gaap--ScheduleOfFiniteLivedI"/>
      <w:bookmarkEnd w:id="488"/>
      <w:r>
        <w:rPr>
          <w:rFonts w:ascii="Times New Roman;Times;Serif" w:hAnsi="Times New Roman;Times;Serif"/>
          <w:b w:val="false"/>
          <w:i w:val="false"/>
          <w:caps w:val="false"/>
          <w:smallCaps w:val="false"/>
          <w:sz w:val="20"/>
        </w:rPr>
        <w:t>The components of intangible assets, net as of January 31, 2024 and April 30, 2023 consisted of the following:</w:t>
      </w:r>
    </w:p>
    <w:p>
      <w:pPr>
        <w:pStyle w:val="TextBody"/>
        <w:bidi w:val="0"/>
        <w:spacing w:before="0" w:after="0"/>
        <w:ind w:left="0" w:right="0" w:hanging="0"/>
        <w:jc w:val="both"/>
        <w:rPr>
          <w:caps w:val="false"/>
          <w:smallCaps w:val="false"/>
        </w:rPr>
      </w:pPr>
      <w:r>
        <w:rPr>
          <w:caps w:val="false"/>
          <w:smallCaps w:val="false"/>
        </w:rPr>
        <w:t> </w:t>
      </w:r>
      <w:bookmarkStart w:id="489" w:name="xdx_8BF_zrfVkNXVSQ85"/>
      <w:bookmarkEnd w:id="489"/>
      <w:r>
        <w:rPr>
          <w:rFonts w:ascii="Times New Roman;Times;Serif" w:hAnsi="Times New Roman;Times;Serif"/>
          <w:b w:val="false"/>
          <w:i w:val="false"/>
          <w:caps w:val="false"/>
          <w:smallCaps w:val="false"/>
          <w:sz w:val="20"/>
        </w:rPr>
        <w:t>Schedule of Components of Intangible Assets</w:t>
      </w:r>
    </w:p>
    <w:tbl>
      <w:tblPr>
        <w:tblW w:w="6083" w:type="dxa"/>
        <w:jc w:val="left"/>
        <w:tblInd w:w="0" w:type="dxa"/>
        <w:tblLayout w:type="fixed"/>
        <w:tblCellMar>
          <w:top w:w="0" w:type="dxa"/>
          <w:left w:w="0" w:type="dxa"/>
          <w:bottom w:w="0" w:type="dxa"/>
          <w:right w:w="0" w:type="dxa"/>
        </w:tblCellMar>
      </w:tblPr>
      <w:tblGrid>
        <w:gridCol w:w="2525"/>
        <w:gridCol w:w="60"/>
        <w:gridCol w:w="320"/>
        <w:gridCol w:w="1454"/>
        <w:gridCol w:w="95"/>
        <w:gridCol w:w="60"/>
        <w:gridCol w:w="263"/>
        <w:gridCol w:w="1196"/>
        <w:gridCol w:w="110"/>
      </w:tblGrid>
      <w:tr>
        <w:trPr/>
        <w:tc>
          <w:tcPr>
            <w:tcW w:w="25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490" w:name="xdx_49D_20240131_zNjBIKVq77ye"/>
            <w:bookmarkEnd w:id="490"/>
          </w:p>
        </w:tc>
        <w:tc>
          <w:tcPr>
            <w:tcW w:w="17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January 31, 2024</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491" w:name="xdx_498_20230430_zKJdnUCdHW39"/>
            <w:bookmarkEnd w:id="491"/>
          </w:p>
        </w:tc>
        <w:tc>
          <w:tcPr>
            <w:tcW w:w="14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April 30, 2023</w:t>
            </w:r>
          </w:p>
        </w:tc>
        <w:tc>
          <w:tcPr>
            <w:tcW w:w="110" w:type="dxa"/>
            <w:tcBorders/>
            <w:vAlign w:val="center"/>
          </w:tcPr>
          <w:p>
            <w:pPr>
              <w:pStyle w:val="TableContents"/>
              <w:bidi w:val="0"/>
              <w:spacing w:before="0" w:after="283"/>
              <w:jc w:val="center"/>
              <w:rPr/>
            </w:pPr>
            <w:r>
              <w:rPr/>
              <w:t> </w:t>
            </w:r>
          </w:p>
        </w:tc>
      </w:tr>
      <w:tr>
        <w:trPr/>
        <w:tc>
          <w:tcPr>
            <w:tcW w:w="25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388" w:type="dxa"/>
            <w:gridSpan w:val="6"/>
            <w:tcBorders/>
            <w:vAlign w:val="center"/>
          </w:tcPr>
          <w:p>
            <w:pPr>
              <w:pStyle w:val="TableContents"/>
              <w:bidi w:val="0"/>
              <w:spacing w:before="0" w:after="283"/>
              <w:jc w:val="center"/>
              <w:rPr/>
            </w:pPr>
            <w:r>
              <w:rPr/>
              <w:t>(in thousands)</w:t>
            </w:r>
          </w:p>
        </w:tc>
        <w:tc>
          <w:tcPr>
            <w:tcW w:w="110" w:type="dxa"/>
            <w:tcBorders/>
            <w:vAlign w:val="center"/>
          </w:tcPr>
          <w:p>
            <w:pPr>
              <w:pStyle w:val="TableContents"/>
              <w:bidi w:val="0"/>
              <w:spacing w:before="0" w:after="283"/>
              <w:jc w:val="center"/>
              <w:rPr/>
            </w:pPr>
            <w:r>
              <w:rPr/>
              <w:t> </w:t>
            </w:r>
            <w:bookmarkStart w:id="492" w:name="xdx_401_eus-gaap--FiniteLivedPatentsGros"/>
            <w:bookmarkEnd w:id="492"/>
          </w:p>
        </w:tc>
      </w:tr>
      <w:tr>
        <w:trPr/>
        <w:tc>
          <w:tcPr>
            <w:tcW w:w="2525" w:type="dxa"/>
            <w:tcBorders/>
            <w:shd w:fill="CCEEFF" w:val="clear"/>
            <w:vAlign w:val="center"/>
          </w:tcPr>
          <w:p>
            <w:pPr>
              <w:pStyle w:val="TableContents"/>
              <w:bidi w:val="0"/>
              <w:spacing w:before="0" w:after="283"/>
              <w:jc w:val="left"/>
              <w:rPr/>
            </w:pPr>
            <w:r>
              <w:rPr/>
              <w:t>Patents</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w:t>
            </w:r>
          </w:p>
        </w:tc>
        <w:tc>
          <w:tcPr>
            <w:tcW w:w="1454" w:type="dxa"/>
            <w:tcBorders/>
            <w:shd w:fill="CCEEFF" w:val="clear"/>
            <w:vAlign w:val="center"/>
          </w:tcPr>
          <w:p>
            <w:pPr>
              <w:pStyle w:val="TableContents"/>
              <w:bidi w:val="0"/>
              <w:spacing w:before="0" w:after="283"/>
              <w:jc w:val="right"/>
              <w:rPr/>
            </w:pPr>
            <w:r>
              <w:rPr/>
              <w:t>2,729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w:t>
            </w:r>
          </w:p>
        </w:tc>
        <w:tc>
          <w:tcPr>
            <w:tcW w:w="1196" w:type="dxa"/>
            <w:tcBorders/>
            <w:shd w:fill="CCEEFF" w:val="clear"/>
            <w:vAlign w:val="center"/>
          </w:tcPr>
          <w:p>
            <w:pPr>
              <w:pStyle w:val="TableContents"/>
              <w:bidi w:val="0"/>
              <w:spacing w:before="0" w:after="283"/>
              <w:jc w:val="right"/>
              <w:rPr/>
            </w:pPr>
            <w:r>
              <w:rPr/>
              <w:t>2,729</w:t>
            </w:r>
          </w:p>
        </w:tc>
        <w:tc>
          <w:tcPr>
            <w:tcW w:w="110" w:type="dxa"/>
            <w:tcBorders/>
            <w:shd w:fill="CCEEFF" w:val="clear"/>
            <w:vAlign w:val="center"/>
          </w:tcPr>
          <w:p>
            <w:pPr>
              <w:pStyle w:val="TableContents"/>
              <w:bidi w:val="0"/>
              <w:spacing w:before="0" w:after="283"/>
              <w:jc w:val="left"/>
              <w:rPr/>
            </w:pPr>
            <w:r>
              <w:rPr/>
              <w:t> </w:t>
            </w:r>
            <w:bookmarkStart w:id="493" w:name="xdx_40D_eus-gaap--FiniteLivedTrademarksG"/>
            <w:bookmarkEnd w:id="493"/>
          </w:p>
        </w:tc>
      </w:tr>
      <w:tr>
        <w:trPr/>
        <w:tc>
          <w:tcPr>
            <w:tcW w:w="2525" w:type="dxa"/>
            <w:tcBorders/>
            <w:shd w:fill="FFFFFF" w:val="clear"/>
            <w:vAlign w:val="center"/>
          </w:tcPr>
          <w:p>
            <w:pPr>
              <w:pStyle w:val="TableContents"/>
              <w:bidi w:val="0"/>
              <w:spacing w:before="0" w:after="283"/>
              <w:jc w:val="left"/>
              <w:rPr/>
            </w:pPr>
            <w:r>
              <w:rPr/>
              <w:t>Trademarks</w:t>
            </w:r>
          </w:p>
        </w:tc>
        <w:tc>
          <w:tcPr>
            <w:tcW w:w="60"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1454" w:type="dxa"/>
            <w:tcBorders/>
            <w:shd w:fill="FFFFFF" w:val="clear"/>
            <w:vAlign w:val="center"/>
          </w:tcPr>
          <w:p>
            <w:pPr>
              <w:pStyle w:val="TableContents"/>
              <w:bidi w:val="0"/>
              <w:spacing w:before="0" w:after="283"/>
              <w:jc w:val="right"/>
              <w:rPr/>
            </w:pPr>
            <w:r>
              <w:rPr/>
              <w:t>2,769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2,769</w:t>
            </w:r>
          </w:p>
        </w:tc>
        <w:tc>
          <w:tcPr>
            <w:tcW w:w="110" w:type="dxa"/>
            <w:tcBorders/>
            <w:shd w:fill="FFFFFF" w:val="clear"/>
            <w:vAlign w:val="center"/>
          </w:tcPr>
          <w:p>
            <w:pPr>
              <w:pStyle w:val="TableContents"/>
              <w:bidi w:val="0"/>
              <w:spacing w:before="0" w:after="283"/>
              <w:jc w:val="left"/>
              <w:rPr/>
            </w:pPr>
            <w:r>
              <w:rPr/>
              <w:t> </w:t>
            </w:r>
            <w:bookmarkStart w:id="494" w:name="xdx_409_eus-gaap--FiniteLivedTradeNamesG"/>
            <w:bookmarkEnd w:id="494"/>
          </w:p>
        </w:tc>
      </w:tr>
      <w:tr>
        <w:trPr/>
        <w:tc>
          <w:tcPr>
            <w:tcW w:w="2525" w:type="dxa"/>
            <w:tcBorders/>
            <w:shd w:fill="CCEEFF" w:val="clear"/>
            <w:vAlign w:val="center"/>
          </w:tcPr>
          <w:p>
            <w:pPr>
              <w:pStyle w:val="TableContents"/>
              <w:bidi w:val="0"/>
              <w:spacing w:before="0" w:after="283"/>
              <w:jc w:val="left"/>
              <w:rPr/>
            </w:pPr>
            <w:r>
              <w:rPr/>
              <w:t>Tradename</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c>
          <w:tcPr>
            <w:tcW w:w="145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130</w:t>
            </w:r>
          </w:p>
        </w:tc>
        <w:tc>
          <w:tcPr>
            <w:tcW w:w="110" w:type="dxa"/>
            <w:tcBorders/>
            <w:shd w:fill="CCEEFF" w:val="clear"/>
            <w:vAlign w:val="center"/>
          </w:tcPr>
          <w:p>
            <w:pPr>
              <w:pStyle w:val="TableContents"/>
              <w:bidi w:val="0"/>
              <w:spacing w:before="0" w:after="283"/>
              <w:jc w:val="left"/>
              <w:rPr/>
            </w:pPr>
            <w:r>
              <w:rPr/>
              <w:t> </w:t>
            </w:r>
            <w:bookmarkStart w:id="495" w:name="xdx_40C_eus-gaap--FiniteLivedCustomerRel"/>
            <w:bookmarkEnd w:id="495"/>
          </w:p>
        </w:tc>
      </w:tr>
      <w:tr>
        <w:trPr/>
        <w:tc>
          <w:tcPr>
            <w:tcW w:w="2525" w:type="dxa"/>
            <w:tcBorders/>
            <w:shd w:fill="FFFFFF" w:val="clear"/>
            <w:vAlign w:val="center"/>
          </w:tcPr>
          <w:p>
            <w:pPr>
              <w:pStyle w:val="TableContents"/>
              <w:bidi w:val="0"/>
              <w:spacing w:before="0" w:after="283"/>
              <w:jc w:val="left"/>
              <w:rPr/>
            </w:pPr>
            <w:r>
              <w:rPr/>
              <w:t>Customer Relationships</w:t>
            </w:r>
          </w:p>
        </w:tc>
        <w:tc>
          <w:tcPr>
            <w:tcW w:w="60" w:type="dxa"/>
            <w:tcBorders/>
            <w:shd w:fill="FFFFFF" w:val="clear"/>
            <w:vAlign w:val="center"/>
          </w:tcPr>
          <w:p>
            <w:pPr>
              <w:pStyle w:val="TableContents"/>
              <w:bidi w:val="0"/>
              <w:spacing w:before="0" w:after="283"/>
              <w:jc w:val="left"/>
              <w:rPr/>
            </w:pPr>
            <w:r>
              <w:rPr/>
              <w:t> </w:t>
            </w:r>
          </w:p>
        </w:tc>
        <w:tc>
          <w:tcPr>
            <w:tcW w:w="3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5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6" w:type="dxa"/>
            <w:tcBorders>
              <w:bottom w:val="single" w:sz="12" w:space="0" w:color="000000"/>
            </w:tcBorders>
            <w:shd w:fill="FFFFFF" w:val="clear"/>
            <w:tcMar>
              <w:bottom w:w="28" w:type="dxa"/>
            </w:tcMar>
            <w:vAlign w:val="center"/>
          </w:tcPr>
          <w:p>
            <w:pPr>
              <w:pStyle w:val="TableContents"/>
              <w:bidi w:val="0"/>
              <w:spacing w:before="0" w:after="283"/>
              <w:jc w:val="right"/>
              <w:rPr/>
            </w:pPr>
            <w:r>
              <w:rPr/>
              <w:t>150</w:t>
            </w:r>
          </w:p>
        </w:tc>
        <w:tc>
          <w:tcPr>
            <w:tcW w:w="110" w:type="dxa"/>
            <w:tcBorders/>
            <w:shd w:fill="FFFFFF" w:val="clear"/>
            <w:vAlign w:val="center"/>
          </w:tcPr>
          <w:p>
            <w:pPr>
              <w:pStyle w:val="TableContents"/>
              <w:bidi w:val="0"/>
              <w:spacing w:before="0" w:after="283"/>
              <w:jc w:val="left"/>
              <w:rPr/>
            </w:pPr>
            <w:r>
              <w:rPr/>
              <w:t> </w:t>
            </w:r>
            <w:bookmarkStart w:id="496" w:name="xdx_40E_eus-gaap--FiniteLivedIntangibleA"/>
            <w:bookmarkEnd w:id="496"/>
          </w:p>
        </w:tc>
      </w:tr>
      <w:tr>
        <w:trPr/>
        <w:tc>
          <w:tcPr>
            <w:tcW w:w="25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Intangible assets, gross</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c>
          <w:tcPr>
            <w:tcW w:w="1454" w:type="dxa"/>
            <w:tcBorders/>
            <w:shd w:fill="CCEEFF" w:val="clear"/>
            <w:vAlign w:val="center"/>
          </w:tcPr>
          <w:p>
            <w:pPr>
              <w:pStyle w:val="TableContents"/>
              <w:bidi w:val="0"/>
              <w:spacing w:before="0" w:after="283"/>
              <w:jc w:val="right"/>
              <w:rPr/>
            </w:pPr>
            <w:r>
              <w:rPr/>
              <w:t>5,498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5,778</w:t>
            </w:r>
          </w:p>
        </w:tc>
        <w:tc>
          <w:tcPr>
            <w:tcW w:w="110" w:type="dxa"/>
            <w:tcBorders/>
            <w:shd w:fill="CCEEFF" w:val="clear"/>
            <w:vAlign w:val="center"/>
          </w:tcPr>
          <w:p>
            <w:pPr>
              <w:pStyle w:val="TableContents"/>
              <w:bidi w:val="0"/>
              <w:spacing w:before="0" w:after="283"/>
              <w:jc w:val="left"/>
              <w:rPr/>
            </w:pPr>
            <w:r>
              <w:rPr/>
              <w:t> </w:t>
            </w:r>
            <w:bookmarkStart w:id="497" w:name="xdx_40A_eus-gaap--FiniteLivedIntangibleA"/>
            <w:bookmarkEnd w:id="497"/>
          </w:p>
        </w:tc>
      </w:tr>
      <w:tr>
        <w:trPr/>
        <w:tc>
          <w:tcPr>
            <w:tcW w:w="2525" w:type="dxa"/>
            <w:tcBorders/>
            <w:shd w:fill="FFFFFF" w:val="clear"/>
            <w:vAlign w:val="center"/>
          </w:tcPr>
          <w:p>
            <w:pPr>
              <w:pStyle w:val="TableContents"/>
              <w:bidi w:val="0"/>
              <w:spacing w:before="0" w:after="283"/>
              <w:jc w:val="left"/>
              <w:rPr/>
            </w:pPr>
            <w:r>
              <w:rPr/>
              <w:t>Accumulated amortization</w:t>
            </w:r>
          </w:p>
        </w:tc>
        <w:tc>
          <w:tcPr>
            <w:tcW w:w="60" w:type="dxa"/>
            <w:tcBorders/>
            <w:shd w:fill="FFFFFF" w:val="clear"/>
            <w:vAlign w:val="center"/>
          </w:tcPr>
          <w:p>
            <w:pPr>
              <w:pStyle w:val="TableContents"/>
              <w:bidi w:val="0"/>
              <w:spacing w:before="0" w:after="283"/>
              <w:jc w:val="left"/>
              <w:rPr/>
            </w:pPr>
            <w:r>
              <w:rPr/>
              <w:t> </w:t>
            </w:r>
          </w:p>
        </w:tc>
        <w:tc>
          <w:tcPr>
            <w:tcW w:w="3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54" w:type="dxa"/>
            <w:tcBorders>
              <w:bottom w:val="single" w:sz="12" w:space="0" w:color="000000"/>
            </w:tcBorders>
            <w:shd w:fill="FFFFFF" w:val="clear"/>
            <w:tcMar>
              <w:bottom w:w="28" w:type="dxa"/>
            </w:tcMar>
            <w:vAlign w:val="center"/>
          </w:tcPr>
          <w:p>
            <w:pPr>
              <w:pStyle w:val="TableContents"/>
              <w:bidi w:val="0"/>
              <w:spacing w:before="0" w:after="283"/>
              <w:jc w:val="right"/>
              <w:rPr/>
            </w:pPr>
            <w:r>
              <w:rPr/>
              <w:t>(1,842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6" w:type="dxa"/>
            <w:tcBorders>
              <w:bottom w:val="single" w:sz="12" w:space="0" w:color="000000"/>
            </w:tcBorders>
            <w:shd w:fill="FFFFFF" w:val="clear"/>
            <w:tcMar>
              <w:bottom w:w="28" w:type="dxa"/>
            </w:tcMar>
            <w:vAlign w:val="center"/>
          </w:tcPr>
          <w:p>
            <w:pPr>
              <w:pStyle w:val="TableContents"/>
              <w:bidi w:val="0"/>
              <w:spacing w:before="0" w:after="283"/>
              <w:jc w:val="right"/>
              <w:rPr/>
            </w:pPr>
            <w:r>
              <w:rPr/>
              <w:t>(1,800</w:t>
            </w:r>
          </w:p>
        </w:tc>
        <w:tc>
          <w:tcPr>
            <w:tcW w:w="110" w:type="dxa"/>
            <w:tcBorders/>
            <w:shd w:fill="FFFFFF" w:val="clear"/>
            <w:vAlign w:val="center"/>
          </w:tcPr>
          <w:p>
            <w:pPr>
              <w:pStyle w:val="TableContents"/>
              <w:bidi w:val="0"/>
              <w:spacing w:before="0" w:after="283"/>
              <w:jc w:val="left"/>
              <w:rPr/>
            </w:pPr>
            <w:r>
              <w:rPr/>
              <w:t>)</w:t>
            </w:r>
            <w:bookmarkStart w:id="498" w:name="xdx_401_eus-gaap--FiniteLivedIntangibleA"/>
            <w:bookmarkEnd w:id="498"/>
          </w:p>
        </w:tc>
      </w:tr>
      <w:tr>
        <w:trPr/>
        <w:tc>
          <w:tcPr>
            <w:tcW w:w="25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Intangible assets, net</w:t>
            </w:r>
          </w:p>
        </w:tc>
        <w:tc>
          <w:tcPr>
            <w:tcW w:w="60" w:type="dxa"/>
            <w:tcBorders/>
            <w:shd w:fill="CCEEFF" w:val="clear"/>
            <w:vAlign w:val="center"/>
          </w:tcPr>
          <w:p>
            <w:pPr>
              <w:pStyle w:val="TableContents"/>
              <w:bidi w:val="0"/>
              <w:spacing w:before="0" w:after="283"/>
              <w:jc w:val="left"/>
              <w:rPr/>
            </w:pPr>
            <w:r>
              <w:rPr/>
              <w:t> </w:t>
            </w:r>
          </w:p>
        </w:tc>
        <w:tc>
          <w:tcPr>
            <w:tcW w:w="32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54" w:type="dxa"/>
            <w:tcBorders>
              <w:bottom w:val="double" w:sz="6" w:space="0" w:color="000000"/>
            </w:tcBorders>
            <w:shd w:fill="CCEEFF" w:val="clear"/>
            <w:tcMar>
              <w:bottom w:w="28" w:type="dxa"/>
            </w:tcMar>
            <w:vAlign w:val="center"/>
          </w:tcPr>
          <w:p>
            <w:pPr>
              <w:pStyle w:val="TableContents"/>
              <w:bidi w:val="0"/>
              <w:spacing w:before="0" w:after="283"/>
              <w:jc w:val="right"/>
              <w:rPr/>
            </w:pPr>
            <w:r>
              <w:rPr/>
              <w:t>3,656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6" w:type="dxa"/>
            <w:tcBorders>
              <w:bottom w:val="double" w:sz="6" w:space="0" w:color="000000"/>
            </w:tcBorders>
            <w:shd w:fill="CCEEFF" w:val="clear"/>
            <w:tcMar>
              <w:bottom w:w="28" w:type="dxa"/>
            </w:tcMar>
            <w:vAlign w:val="center"/>
          </w:tcPr>
          <w:p>
            <w:pPr>
              <w:pStyle w:val="TableContents"/>
              <w:bidi w:val="0"/>
              <w:spacing w:before="0" w:after="283"/>
              <w:jc w:val="right"/>
              <w:rPr/>
            </w:pPr>
            <w:r>
              <w:rPr/>
              <w:t>3,978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99" w:name="xdx_8A8_zaxmLBhNWmq6"/>
      <w:bookmarkEnd w:id="49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expense was approximately $</w:t>
      </w:r>
      <w:bookmarkStart w:id="500" w:name="xdx_909_eus-gaap--AmortizationOfIntangib"/>
      <w:bookmarkEnd w:id="500"/>
      <w:r>
        <w:rPr>
          <w:rFonts w:ascii="Times New Roman;Times;Serif" w:hAnsi="Times New Roman;Times;Serif"/>
          <w:b w:val="false"/>
          <w:i w:val="false"/>
          <w:caps w:val="false"/>
          <w:smallCaps w:val="false"/>
          <w:sz w:val="20"/>
        </w:rPr>
        <w:t>114,000 and $</w:t>
      </w:r>
      <w:bookmarkStart w:id="501" w:name="xdx_900_eus-gaap--AmortizationOfIntangib"/>
      <w:bookmarkEnd w:id="501"/>
      <w:r>
        <w:rPr>
          <w:rFonts w:ascii="Times New Roman;Times;Serif" w:hAnsi="Times New Roman;Times;Serif"/>
          <w:b w:val="false"/>
          <w:i w:val="false"/>
          <w:caps w:val="false"/>
          <w:smallCaps w:val="false"/>
          <w:sz w:val="20"/>
        </w:rPr>
        <w:t>119,000 for the nine-month periods ended January 31, 2024 and 2023, respectively. Amortization expense was approximately $</w:t>
      </w:r>
      <w:bookmarkStart w:id="502" w:name="xdx_904_eus-gaap--AmortizationOfIntangib"/>
      <w:bookmarkEnd w:id="502"/>
      <w:r>
        <w:rPr>
          <w:rFonts w:ascii="Times New Roman;Times;Serif" w:hAnsi="Times New Roman;Times;Serif"/>
          <w:b w:val="false"/>
          <w:i w:val="false"/>
          <w:caps w:val="false"/>
          <w:smallCaps w:val="false"/>
          <w:sz w:val="20"/>
        </w:rPr>
        <w:t>34,000 and $</w:t>
      </w:r>
      <w:bookmarkStart w:id="503" w:name="xdx_902_eus-gaap--AmortizationOfIntangib"/>
      <w:bookmarkEnd w:id="503"/>
      <w:r>
        <w:rPr>
          <w:rFonts w:ascii="Times New Roman;Times;Serif" w:hAnsi="Times New Roman;Times;Serif"/>
          <w:b w:val="false"/>
          <w:i w:val="false"/>
          <w:caps w:val="false"/>
          <w:smallCaps w:val="false"/>
          <w:sz w:val="20"/>
        </w:rPr>
        <w:t>40,000 for the three-month periods ended January 31, 2024 and 2023,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 connection with the sale of 3Dent in November of 2023, the Tradename and Customer Relationships were both expensed fully during the nine-month periods ended January 31, 2024 under Loss on disposition of assets on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04" w:name="xdx_80D_eus-gaap--GoodwillDisclosureText"/>
      <w:bookmarkEnd w:id="504"/>
      <w:r>
        <w:rPr>
          <w:rFonts w:ascii="Times New Roman;Times;Serif" w:hAnsi="Times New Roman;Times;Serif"/>
          <w:b/>
          <w:i w:val="false"/>
          <w:caps w:val="false"/>
          <w:smallCaps w:val="false"/>
          <w:sz w:val="20"/>
        </w:rPr>
        <w:t xml:space="preserve">(8) </w:t>
      </w:r>
      <w:bookmarkStart w:id="505" w:name="xdx_82F_zbDWPRlteq0d"/>
      <w:bookmarkEnd w:id="505"/>
      <w:r>
        <w:rPr>
          <w:rFonts w:ascii="Times New Roman;Times;Serif" w:hAnsi="Times New Roman;Times;Serif"/>
          <w:b/>
          <w:i w:val="false"/>
          <w:caps w:val="false"/>
          <w:smallCaps w:val="false"/>
          <w:sz w:val="20"/>
        </w:rPr>
        <w:t>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in the amount of $</w:t>
      </w:r>
      <w:bookmarkStart w:id="506" w:name="xdx_90D_eus-gaap--Goodwill_iI_pn5n6_c202"/>
      <w:bookmarkEnd w:id="506"/>
      <w:r>
        <w:rPr>
          <w:rFonts w:ascii="Times New Roman;Times;Serif" w:hAnsi="Times New Roman;Times;Serif"/>
          <w:b w:val="false"/>
          <w:i w:val="false"/>
          <w:caps w:val="false"/>
          <w:smallCaps w:val="false"/>
          <w:sz w:val="20"/>
        </w:rPr>
        <w:t>8.5 million was recognized in November 2021 related to the acquisition of MAR. There have been no additions to, or any impairment of, goodwill during the nine-month periods ended January 31,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07" w:name="xdx_802_eus-gaap--LesseeOperatingLeasesT"/>
      <w:bookmarkEnd w:id="507"/>
      <w:r>
        <w:rPr>
          <w:rFonts w:ascii="Times New Roman;Times;Serif" w:hAnsi="Times New Roman;Times;Serif"/>
          <w:b/>
          <w:i w:val="false"/>
          <w:caps w:val="false"/>
          <w:smallCaps w:val="false"/>
          <w:sz w:val="20"/>
        </w:rPr>
        <w:t xml:space="preserve">(9) </w:t>
      </w:r>
      <w:bookmarkStart w:id="508" w:name="xdx_827_zBbfvrCidy24"/>
      <w:bookmarkEnd w:id="508"/>
      <w:r>
        <w:rPr>
          <w:rFonts w:ascii="Times New Roman;Times;Serif" w:hAnsi="Times New Roman;Times;Serif"/>
          <w:b/>
          <w:i w:val="false"/>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Lessor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January 31, 2024 and April 30, 2023, the Company had five and three WAM-V’s leased to customers which have been classified as operating leases per accounting guidance contained within ASC Topic 842, “Leases”, respectively. The remaining term on these operating leases is less than </w:t>
      </w:r>
      <w:bookmarkStart w:id="509" w:name="xdx_902_eus-gaap--LesseeOperatingLeaseRe"/>
      <w:bookmarkEnd w:id="509"/>
      <w:r>
        <w:rPr>
          <w:rFonts w:ascii="Times New Roman;Times;Serif" w:hAnsi="Times New Roman;Times;Serif"/>
          <w:b w:val="false"/>
          <w:i w:val="false"/>
          <w:caps w:val="false"/>
          <w:smallCaps w:val="false"/>
          <w:sz w:val="20"/>
        </w:rPr>
        <w:t>2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Lessee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 and operating lease liabilities are recognized based on the present value of future minimum lease payments over the lease term at commencement date. When the implicit rate of the lease is not provided or cannot be determined, the Company uses the incremental borrowing rate based on the information available at the effective date to determine the present value of future payments. Lease terms may include options to extend or terminate the lease when it is reasonably certain that the Company will exercise those options. The renewal options have not been included in the lease term as they are not reasonably certain of exercise. The Company’s operating leases consist of leases for office facilities and warehouse space. Lease expense for minimum lease payments is recognized on a straight- line basis over the lease term and consists of interest on the lease liability and the amortization of the right of use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a lease for its facility located in Monroe Township, New Jersey that is used as warehouse/production space and the Company’s principal offices and corporate headquarters. </w:t>
      </w:r>
      <w:bookmarkStart w:id="510" w:name="xdx_90B_eus-gaap--LesseeOperatingLeaseOp"/>
      <w:bookmarkEnd w:id="510"/>
      <w:r>
        <w:rPr>
          <w:rFonts w:ascii="Times New Roman;Times;Serif" w:hAnsi="Times New Roman;Times;Serif"/>
          <w:b w:val="false"/>
          <w:i w:val="false"/>
          <w:caps w:val="false"/>
          <w:smallCaps w:val="false"/>
          <w:sz w:val="20"/>
        </w:rPr>
        <w:t>The Company filed an 8-K subsequent to the end of the quarter on February 8, 2024 discussing the lease extension for its main headquarters in Monroe NJ to April 30, 2026. The Company’s Board of Directors approved the amendment on January 30, 2024 and it was executed and recorded as an additional right of use asset and liability as of January 31, 2024. The lease is classified as an operating lease and is included in right-of-use assets, right-of-use liabilities on the Company’s Consolidated Balance Sheets.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also had a lease for office space located in Houston, Texas. The lease term was for </w:t>
      </w:r>
      <w:bookmarkStart w:id="511" w:name="xdx_904_eus-gaap--LesseeOperatingLeaseTe"/>
      <w:bookmarkEnd w:id="511"/>
      <w:r>
        <w:rPr>
          <w:rFonts w:ascii="Times New Roman;Times;Serif" w:hAnsi="Times New Roman;Times;Serif"/>
          <w:b w:val="false"/>
          <w:i w:val="false"/>
          <w:caps w:val="false"/>
          <w:smallCaps w:val="false"/>
          <w:sz w:val="20"/>
        </w:rPr>
        <w:t xml:space="preserve">1 year, and </w:t>
      </w:r>
      <w:bookmarkStart w:id="512" w:name="xdx_90D_eus-gaap--LesseeOperatingLeaseOp"/>
      <w:bookmarkEnd w:id="512"/>
      <w:r>
        <w:rPr>
          <w:rFonts w:ascii="Times New Roman;Times;Serif" w:hAnsi="Times New Roman;Times;Serif"/>
          <w:b w:val="false"/>
          <w:i w:val="false"/>
          <w:caps w:val="false"/>
          <w:smallCaps w:val="false"/>
          <w:sz w:val="20"/>
        </w:rPr>
        <w:t>expired in January 2024. ASC 842 allows a company an accounting policy election to recognize lease payments within the Consolidated Statement of Operations on a straight-line basis if the lease term is equal to or less than 12 months and not recognize a right-of use asset and lease liability. The accounting policy election was made on the commencement date of the lease. The Company chose this election for the Houston lease and classified it as a short-term lease. Final payment was made in January of 2024 and this lease has been terminated.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also has a lease for office space located in Richmond, California. This lease commenced in April of 2023 and will continue for </w:t>
      </w:r>
      <w:bookmarkStart w:id="513" w:name="xdx_908_eus-gaap--LesseeOperatingLeaseTe"/>
      <w:bookmarkEnd w:id="513"/>
      <w:r>
        <w:rPr>
          <w:rFonts w:ascii="Times New Roman;Times;Serif" w:hAnsi="Times New Roman;Times;Serif"/>
          <w:b w:val="false"/>
          <w:i w:val="false"/>
          <w:caps w:val="false"/>
          <w:smallCaps w:val="false"/>
          <w:sz w:val="20"/>
        </w:rPr>
        <w:t>62 months. The lease is classified as an operating lease and is included in right-of-use assets, right-of-use liabilities- current and right-of-use liabilities- long-term on the Company’s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Variable lease expenses, if any, are recorded as incurred. The operating lease cash flow payments for the three months ended January 31, 2024 and 2023 were $</w:t>
      </w:r>
      <w:bookmarkStart w:id="514" w:name="xdx_90B_eus-gaap--OperatingLeasePayments"/>
      <w:bookmarkEnd w:id="514"/>
      <w:r>
        <w:rPr>
          <w:rFonts w:ascii="Times New Roman;Times;Serif" w:hAnsi="Times New Roman;Times;Serif"/>
          <w:b w:val="false"/>
          <w:i w:val="false"/>
          <w:caps w:val="false"/>
          <w:smallCaps w:val="false"/>
          <w:sz w:val="20"/>
        </w:rPr>
        <w:t>193,000 and $</w:t>
      </w:r>
      <w:bookmarkStart w:id="515" w:name="xdx_909_eus-gaap--OperatingLeasePayments"/>
      <w:bookmarkEnd w:id="515"/>
      <w:r>
        <w:rPr>
          <w:rFonts w:ascii="Times New Roman;Times;Serif" w:hAnsi="Times New Roman;Times;Serif"/>
          <w:b w:val="false"/>
          <w:i w:val="false"/>
          <w:caps w:val="false"/>
          <w:smallCaps w:val="false"/>
          <w:sz w:val="20"/>
        </w:rPr>
        <w:t>110,000, respectively. The operating lease cash flow payments for the nine months ended January 31, 2024 and 2023 were $</w:t>
      </w:r>
      <w:bookmarkStart w:id="516" w:name="xdx_90E_eus-gaap--OperatingLeasePayments"/>
      <w:bookmarkEnd w:id="516"/>
      <w:r>
        <w:rPr>
          <w:rFonts w:ascii="Times New Roman;Times;Serif" w:hAnsi="Times New Roman;Times;Serif"/>
          <w:b w:val="false"/>
          <w:i w:val="false"/>
          <w:caps w:val="false"/>
          <w:smallCaps w:val="false"/>
          <w:sz w:val="20"/>
        </w:rPr>
        <w:t>564,000 and $</w:t>
      </w:r>
      <w:bookmarkStart w:id="517" w:name="xdx_90E_eus-gaap--OperatingLeasePayments"/>
      <w:bookmarkEnd w:id="517"/>
      <w:r>
        <w:rPr>
          <w:rFonts w:ascii="Times New Roman;Times;Serif" w:hAnsi="Times New Roman;Times;Serif"/>
          <w:b w:val="false"/>
          <w:i w:val="false"/>
          <w:caps w:val="false"/>
          <w:smallCaps w:val="false"/>
          <w:sz w:val="20"/>
        </w:rPr>
        <w:t>326,000,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18" w:name="xdx_89A_eus-gaap--LeaseCostTableTextBloc"/>
      <w:bookmarkEnd w:id="518"/>
      <w:r>
        <w:rPr>
          <w:rFonts w:ascii="Times New Roman;Times;Serif" w:hAnsi="Times New Roman;Times;Serif"/>
          <w:b w:val="false"/>
          <w:i w:val="false"/>
          <w:caps w:val="false"/>
          <w:smallCaps w:val="false"/>
          <w:sz w:val="20"/>
        </w:rPr>
        <w:t>The components of lease expense in the Consolidated Statement of Operations for the three and nine months ended January 31, 2024 and 2023 were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19" w:name="xdx_8B4_zB6bRGKrQQG1"/>
      <w:bookmarkEnd w:id="519"/>
      <w:r>
        <w:rPr>
          <w:rFonts w:ascii="Times New Roman;Times;Serif" w:hAnsi="Times New Roman;Times;Serif"/>
          <w:b w:val="false"/>
          <w:i w:val="false"/>
          <w:caps w:val="false"/>
          <w:smallCaps w:val="false"/>
          <w:sz w:val="20"/>
        </w:rPr>
        <w:t>Schedule of Operating Lease Costs </w:t>
      </w:r>
    </w:p>
    <w:tbl>
      <w:tblPr>
        <w:tblW w:w="8903" w:type="dxa"/>
        <w:jc w:val="left"/>
        <w:tblInd w:w="0" w:type="dxa"/>
        <w:tblLayout w:type="fixed"/>
        <w:tblCellMar>
          <w:top w:w="0" w:type="dxa"/>
          <w:left w:w="0" w:type="dxa"/>
          <w:bottom w:w="0" w:type="dxa"/>
          <w:right w:w="0" w:type="dxa"/>
        </w:tblCellMar>
      </w:tblPr>
      <w:tblGrid>
        <w:gridCol w:w="2000"/>
        <w:gridCol w:w="60"/>
        <w:gridCol w:w="409"/>
        <w:gridCol w:w="1112"/>
        <w:gridCol w:w="175"/>
        <w:gridCol w:w="175"/>
        <w:gridCol w:w="409"/>
        <w:gridCol w:w="1112"/>
        <w:gridCol w:w="60"/>
        <w:gridCol w:w="60"/>
        <w:gridCol w:w="393"/>
        <w:gridCol w:w="1067"/>
        <w:gridCol w:w="168"/>
        <w:gridCol w:w="168"/>
        <w:gridCol w:w="393"/>
        <w:gridCol w:w="1067"/>
        <w:gridCol w:w="75"/>
      </w:tblGrid>
      <w:tr>
        <w:trPr/>
        <w:tc>
          <w:tcPr>
            <w:tcW w:w="20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520" w:name="xdx_49B_20231101__20240131_zLaXowxCgH0i"/>
            <w:bookmarkEnd w:id="520"/>
          </w:p>
        </w:tc>
        <w:tc>
          <w:tcPr>
            <w:tcW w:w="152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5" w:type="dxa"/>
            <w:tcBorders/>
            <w:vAlign w:val="center"/>
          </w:tcPr>
          <w:p>
            <w:pPr>
              <w:pStyle w:val="TableContents"/>
              <w:bidi w:val="0"/>
              <w:spacing w:before="0" w:after="283"/>
              <w:jc w:val="center"/>
              <w:rPr/>
            </w:pPr>
            <w:r>
              <w:rPr/>
              <w:t> </w:t>
            </w:r>
          </w:p>
        </w:tc>
        <w:tc>
          <w:tcPr>
            <w:tcW w:w="175" w:type="dxa"/>
            <w:tcBorders/>
            <w:vAlign w:val="center"/>
          </w:tcPr>
          <w:p>
            <w:pPr>
              <w:pStyle w:val="TableContents"/>
              <w:bidi w:val="0"/>
              <w:spacing w:before="0" w:after="283"/>
              <w:jc w:val="center"/>
              <w:rPr/>
            </w:pPr>
            <w:r>
              <w:rPr/>
              <w:t> </w:t>
            </w:r>
            <w:bookmarkStart w:id="521" w:name="xdx_498_20221101__20230131_zV5yrnEIZyAk"/>
            <w:bookmarkEnd w:id="521"/>
          </w:p>
        </w:tc>
        <w:tc>
          <w:tcPr>
            <w:tcW w:w="152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522" w:name="xdx_49C_20230501__20240131_zdYlfMfse9df"/>
            <w:bookmarkEnd w:id="522"/>
          </w:p>
        </w:tc>
        <w:tc>
          <w:tcPr>
            <w:tcW w:w="14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68" w:type="dxa"/>
            <w:tcBorders/>
            <w:vAlign w:val="center"/>
          </w:tcPr>
          <w:p>
            <w:pPr>
              <w:pStyle w:val="TableContents"/>
              <w:bidi w:val="0"/>
              <w:spacing w:before="0" w:after="283"/>
              <w:jc w:val="center"/>
              <w:rPr/>
            </w:pPr>
            <w:r>
              <w:rPr/>
              <w:t> </w:t>
            </w:r>
          </w:p>
        </w:tc>
        <w:tc>
          <w:tcPr>
            <w:tcW w:w="168" w:type="dxa"/>
            <w:tcBorders/>
            <w:vAlign w:val="center"/>
          </w:tcPr>
          <w:p>
            <w:pPr>
              <w:pStyle w:val="TableContents"/>
              <w:bidi w:val="0"/>
              <w:spacing w:before="0" w:after="283"/>
              <w:jc w:val="center"/>
              <w:rPr/>
            </w:pPr>
            <w:r>
              <w:rPr/>
              <w:t> </w:t>
            </w:r>
            <w:bookmarkStart w:id="523" w:name="xdx_491_20220501__20230131_zFDXH5kkpDai"/>
            <w:bookmarkEnd w:id="523"/>
          </w:p>
        </w:tc>
        <w:tc>
          <w:tcPr>
            <w:tcW w:w="14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center"/>
              <w:rPr/>
            </w:pPr>
            <w:r>
              <w:rPr/>
              <w:t> </w:t>
            </w:r>
          </w:p>
        </w:tc>
      </w:tr>
      <w:tr>
        <w:trPr/>
        <w:tc>
          <w:tcPr>
            <w:tcW w:w="20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39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 January 31,</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25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Nine months ended January 31,</w:t>
            </w:r>
          </w:p>
        </w:tc>
        <w:tc>
          <w:tcPr>
            <w:tcW w:w="75" w:type="dxa"/>
            <w:tcBorders/>
            <w:vAlign w:val="center"/>
          </w:tcPr>
          <w:p>
            <w:pPr>
              <w:pStyle w:val="TableContents"/>
              <w:bidi w:val="0"/>
              <w:spacing w:before="0" w:after="283"/>
              <w:jc w:val="center"/>
              <w:rPr/>
            </w:pPr>
            <w:r>
              <w:rPr/>
              <w:t> </w:t>
            </w:r>
          </w:p>
        </w:tc>
      </w:tr>
      <w:tr>
        <w:trPr/>
        <w:tc>
          <w:tcPr>
            <w:tcW w:w="20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2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5" w:type="dxa"/>
            <w:tcBorders/>
            <w:vAlign w:val="center"/>
          </w:tcPr>
          <w:p>
            <w:pPr>
              <w:pStyle w:val="TableContents"/>
              <w:bidi w:val="0"/>
              <w:spacing w:before="0" w:after="283"/>
              <w:jc w:val="center"/>
              <w:rPr/>
            </w:pPr>
            <w:r>
              <w:rPr/>
              <w:t> </w:t>
            </w:r>
          </w:p>
        </w:tc>
        <w:tc>
          <w:tcPr>
            <w:tcW w:w="175" w:type="dxa"/>
            <w:tcBorders/>
            <w:vAlign w:val="center"/>
          </w:tcPr>
          <w:p>
            <w:pPr>
              <w:pStyle w:val="TableContents"/>
              <w:bidi w:val="0"/>
              <w:spacing w:before="0" w:after="283"/>
              <w:jc w:val="center"/>
              <w:rPr/>
            </w:pPr>
            <w:r>
              <w:rPr/>
              <w:t> </w:t>
            </w:r>
          </w:p>
        </w:tc>
        <w:tc>
          <w:tcPr>
            <w:tcW w:w="152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68" w:type="dxa"/>
            <w:tcBorders/>
            <w:vAlign w:val="center"/>
          </w:tcPr>
          <w:p>
            <w:pPr>
              <w:pStyle w:val="TableContents"/>
              <w:bidi w:val="0"/>
              <w:spacing w:before="0" w:after="283"/>
              <w:jc w:val="center"/>
              <w:rPr/>
            </w:pPr>
            <w:r>
              <w:rPr/>
              <w:t> </w:t>
            </w:r>
          </w:p>
        </w:tc>
        <w:tc>
          <w:tcPr>
            <w:tcW w:w="168" w:type="dxa"/>
            <w:tcBorders/>
            <w:vAlign w:val="center"/>
          </w:tcPr>
          <w:p>
            <w:pPr>
              <w:pStyle w:val="TableContents"/>
              <w:bidi w:val="0"/>
              <w:spacing w:before="0" w:after="283"/>
              <w:jc w:val="center"/>
              <w:rPr/>
            </w:pPr>
            <w:r>
              <w:rPr/>
              <w:t> </w:t>
            </w:r>
          </w:p>
        </w:tc>
        <w:tc>
          <w:tcPr>
            <w:tcW w:w="14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center"/>
              <w:rPr/>
            </w:pPr>
            <w:r>
              <w:rPr/>
              <w:t> </w:t>
            </w:r>
          </w:p>
        </w:tc>
      </w:tr>
      <w:tr>
        <w:trPr/>
        <w:tc>
          <w:tcPr>
            <w:tcW w:w="20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392" w:type="dxa"/>
            <w:gridSpan w:val="6"/>
            <w:tcBorders/>
            <w:vAlign w:val="center"/>
          </w:tcPr>
          <w:p>
            <w:pPr>
              <w:pStyle w:val="TableContents"/>
              <w:bidi w:val="0"/>
              <w:spacing w:before="0" w:after="283"/>
              <w:jc w:val="center"/>
              <w:rPr/>
            </w:pPr>
            <w:r>
              <w:rPr/>
              <w:t>(in thousands)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256" w:type="dxa"/>
            <w:gridSpan w:val="6"/>
            <w:tcBorders/>
            <w:vAlign w:val="center"/>
          </w:tcPr>
          <w:p>
            <w:pPr>
              <w:pStyle w:val="TableContents"/>
              <w:bidi w:val="0"/>
              <w:spacing w:before="0" w:after="283"/>
              <w:jc w:val="center"/>
              <w:rPr/>
            </w:pPr>
            <w:r>
              <w:rPr/>
              <w:t>(in thousands)</w:t>
            </w:r>
          </w:p>
        </w:tc>
        <w:tc>
          <w:tcPr>
            <w:tcW w:w="75" w:type="dxa"/>
            <w:tcBorders/>
            <w:vAlign w:val="center"/>
          </w:tcPr>
          <w:p>
            <w:pPr>
              <w:pStyle w:val="TableContents"/>
              <w:bidi w:val="0"/>
              <w:spacing w:before="0" w:after="283"/>
              <w:jc w:val="center"/>
              <w:rPr/>
            </w:pPr>
            <w:r>
              <w:rPr/>
              <w:t> </w:t>
            </w:r>
            <w:bookmarkStart w:id="524" w:name="xdx_409_eus-gaap--OperatingLeaseCost_pn3"/>
            <w:bookmarkEnd w:id="524"/>
          </w:p>
        </w:tc>
      </w:tr>
      <w:tr>
        <w:trPr/>
        <w:tc>
          <w:tcPr>
            <w:tcW w:w="2000" w:type="dxa"/>
            <w:tcBorders/>
            <w:shd w:fill="CCEEFF" w:val="clear"/>
            <w:vAlign w:val="center"/>
          </w:tcPr>
          <w:p>
            <w:pPr>
              <w:pStyle w:val="TableContents"/>
              <w:bidi w:val="0"/>
              <w:spacing w:before="0" w:after="283"/>
              <w:jc w:val="left"/>
              <w:rPr/>
            </w:pPr>
            <w:r>
              <w:rPr/>
              <w:t>Operating lease cost</w:t>
            </w:r>
          </w:p>
        </w:tc>
        <w:tc>
          <w:tcPr>
            <w:tcW w:w="60" w:type="dxa"/>
            <w:tcBorders/>
            <w:shd w:fill="CCEEFF" w:val="clear"/>
            <w:vAlign w:val="center"/>
          </w:tcPr>
          <w:p>
            <w:pPr>
              <w:pStyle w:val="TableContents"/>
              <w:bidi w:val="0"/>
              <w:spacing w:before="0" w:after="283"/>
              <w:jc w:val="left"/>
              <w:rPr/>
            </w:pPr>
            <w:r>
              <w:rPr/>
              <w:t> </w:t>
            </w:r>
          </w:p>
        </w:tc>
        <w:tc>
          <w:tcPr>
            <w:tcW w:w="409" w:type="dxa"/>
            <w:tcBorders/>
            <w:shd w:fill="CCEEFF" w:val="clear"/>
            <w:vAlign w:val="center"/>
          </w:tcPr>
          <w:p>
            <w:pPr>
              <w:pStyle w:val="TableContents"/>
              <w:bidi w:val="0"/>
              <w:spacing w:before="0" w:after="283"/>
              <w:jc w:val="left"/>
              <w:rPr/>
            </w:pPr>
            <w:r>
              <w:rPr/>
              <w:t>$</w:t>
            </w:r>
          </w:p>
        </w:tc>
        <w:tc>
          <w:tcPr>
            <w:tcW w:w="1112" w:type="dxa"/>
            <w:tcBorders/>
            <w:shd w:fill="CCEEFF" w:val="clear"/>
            <w:vAlign w:val="center"/>
          </w:tcPr>
          <w:p>
            <w:pPr>
              <w:pStyle w:val="TableContents"/>
              <w:bidi w:val="0"/>
              <w:spacing w:before="0" w:after="283"/>
              <w:jc w:val="right"/>
              <w:rPr/>
            </w:pPr>
            <w:r>
              <w:rPr/>
              <w:t>162</w:t>
            </w:r>
          </w:p>
        </w:tc>
        <w:tc>
          <w:tcPr>
            <w:tcW w:w="1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409" w:type="dxa"/>
            <w:tcBorders/>
            <w:shd w:fill="CCEEFF" w:val="clear"/>
            <w:vAlign w:val="center"/>
          </w:tcPr>
          <w:p>
            <w:pPr>
              <w:pStyle w:val="TableContents"/>
              <w:bidi w:val="0"/>
              <w:spacing w:before="0" w:after="283"/>
              <w:jc w:val="left"/>
              <w:rPr/>
            </w:pPr>
            <w:r>
              <w:rPr/>
              <w:t>$</w:t>
            </w:r>
          </w:p>
        </w:tc>
        <w:tc>
          <w:tcPr>
            <w:tcW w:w="1112" w:type="dxa"/>
            <w:tcBorders/>
            <w:shd w:fill="CCEEFF" w:val="clear"/>
            <w:vAlign w:val="center"/>
          </w:tcPr>
          <w:p>
            <w:pPr>
              <w:pStyle w:val="TableContents"/>
              <w:bidi w:val="0"/>
              <w:spacing w:before="0" w:after="283"/>
              <w:jc w:val="right"/>
              <w:rPr/>
            </w:pPr>
            <w:r>
              <w:rPr/>
              <w:t>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3" w:type="dxa"/>
            <w:tcBorders/>
            <w:shd w:fill="CCEEFF" w:val="clear"/>
            <w:vAlign w:val="center"/>
          </w:tcPr>
          <w:p>
            <w:pPr>
              <w:pStyle w:val="TableContents"/>
              <w:bidi w:val="0"/>
              <w:spacing w:before="0" w:after="283"/>
              <w:jc w:val="left"/>
              <w:rPr/>
            </w:pPr>
            <w:r>
              <w:rPr/>
              <w:t>$</w:t>
            </w:r>
          </w:p>
        </w:tc>
        <w:tc>
          <w:tcPr>
            <w:tcW w:w="1067" w:type="dxa"/>
            <w:tcBorders/>
            <w:shd w:fill="CCEEFF" w:val="clear"/>
            <w:vAlign w:val="center"/>
          </w:tcPr>
          <w:p>
            <w:pPr>
              <w:pStyle w:val="TableContents"/>
              <w:bidi w:val="0"/>
              <w:spacing w:before="0" w:after="283"/>
              <w:jc w:val="right"/>
              <w:rPr/>
            </w:pPr>
            <w:r>
              <w:rPr/>
              <w:t>478</w:t>
            </w:r>
          </w:p>
        </w:tc>
        <w:tc>
          <w:tcPr>
            <w:tcW w:w="168"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393" w:type="dxa"/>
            <w:tcBorders/>
            <w:shd w:fill="CCEEFF" w:val="clear"/>
            <w:vAlign w:val="center"/>
          </w:tcPr>
          <w:p>
            <w:pPr>
              <w:pStyle w:val="TableContents"/>
              <w:bidi w:val="0"/>
              <w:spacing w:before="0" w:after="283"/>
              <w:jc w:val="left"/>
              <w:rPr/>
            </w:pPr>
            <w:r>
              <w:rPr/>
              <w:t>$</w:t>
            </w:r>
          </w:p>
        </w:tc>
        <w:tc>
          <w:tcPr>
            <w:tcW w:w="1067" w:type="dxa"/>
            <w:tcBorders/>
            <w:shd w:fill="CCEEFF" w:val="clear"/>
            <w:vAlign w:val="center"/>
          </w:tcPr>
          <w:p>
            <w:pPr>
              <w:pStyle w:val="TableContents"/>
              <w:bidi w:val="0"/>
              <w:spacing w:before="0" w:after="283"/>
              <w:jc w:val="right"/>
              <w:rPr/>
            </w:pPr>
            <w:r>
              <w:rPr/>
              <w:t>276</w:t>
            </w:r>
          </w:p>
        </w:tc>
        <w:tc>
          <w:tcPr>
            <w:tcW w:w="75" w:type="dxa"/>
            <w:tcBorders/>
            <w:shd w:fill="CCEEFF" w:val="clear"/>
            <w:vAlign w:val="center"/>
          </w:tcPr>
          <w:p>
            <w:pPr>
              <w:pStyle w:val="TableContents"/>
              <w:bidi w:val="0"/>
              <w:spacing w:before="0" w:after="283"/>
              <w:jc w:val="left"/>
              <w:rPr/>
            </w:pPr>
            <w:r>
              <w:rPr/>
              <w:t> </w:t>
            </w:r>
            <w:bookmarkStart w:id="525" w:name="xdx_400_eus-gaap--ShortTermLeaseCost_pn3"/>
            <w:bookmarkEnd w:id="525"/>
          </w:p>
        </w:tc>
      </w:tr>
      <w:tr>
        <w:trPr/>
        <w:tc>
          <w:tcPr>
            <w:tcW w:w="2000" w:type="dxa"/>
            <w:tcBorders/>
            <w:shd w:fill="FFFFFF" w:val="clear"/>
            <w:vAlign w:val="center"/>
          </w:tcPr>
          <w:p>
            <w:pPr>
              <w:pStyle w:val="TableContents"/>
              <w:bidi w:val="0"/>
              <w:spacing w:before="0" w:after="283"/>
              <w:jc w:val="left"/>
              <w:rPr/>
            </w:pPr>
            <w:r>
              <w:rPr/>
              <w:t>Short-term lease cost</w:t>
            </w:r>
          </w:p>
        </w:tc>
        <w:tc>
          <w:tcPr>
            <w:tcW w:w="60" w:type="dxa"/>
            <w:tcBorders/>
            <w:shd w:fill="FFFFFF" w:val="clear"/>
            <w:vAlign w:val="center"/>
          </w:tcPr>
          <w:p>
            <w:pPr>
              <w:pStyle w:val="TableContents"/>
              <w:bidi w:val="0"/>
              <w:spacing w:before="0" w:after="283"/>
              <w:jc w:val="left"/>
              <w:rPr/>
            </w:pPr>
            <w:r>
              <w:rPr/>
              <w:t> </w:t>
            </w:r>
          </w:p>
        </w:tc>
        <w:tc>
          <w:tcPr>
            <w:tcW w:w="4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2" w:type="dxa"/>
            <w:tcBorders>
              <w:bottom w:val="single" w:sz="12" w:space="0" w:color="000000"/>
            </w:tcBorders>
            <w:shd w:fill="FFFFFF" w:val="clear"/>
            <w:tcMar>
              <w:bottom w:w="28" w:type="dxa"/>
            </w:tcMar>
            <w:vAlign w:val="center"/>
          </w:tcPr>
          <w:p>
            <w:pPr>
              <w:pStyle w:val="TableContents"/>
              <w:bidi w:val="0"/>
              <w:spacing w:before="0" w:after="283"/>
              <w:jc w:val="right"/>
              <w:rPr/>
            </w:pPr>
            <w:r>
              <w:rPr/>
              <w:t>20</w:t>
            </w:r>
          </w:p>
        </w:tc>
        <w:tc>
          <w:tcPr>
            <w:tcW w:w="1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4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2" w:type="dxa"/>
            <w:tcBorders>
              <w:bottom w:val="single" w:sz="12" w:space="0" w:color="000000"/>
            </w:tcBorders>
            <w:shd w:fill="FFFFFF" w:val="clear"/>
            <w:tcMar>
              <w:bottom w:w="28" w:type="dxa"/>
            </w:tcMar>
            <w:vAlign w:val="center"/>
          </w:tcPr>
          <w:p>
            <w:pPr>
              <w:pStyle w:val="TableContents"/>
              <w:bidi w:val="0"/>
              <w:spacing w:before="0" w:after="283"/>
              <w:jc w:val="right"/>
              <w:rPr/>
            </w:pPr>
            <w:r>
              <w:rPr/>
              <w:t>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7" w:type="dxa"/>
            <w:tcBorders>
              <w:bottom w:val="single" w:sz="12" w:space="0" w:color="000000"/>
            </w:tcBorders>
            <w:shd w:fill="FFFFFF" w:val="clear"/>
            <w:tcMar>
              <w:bottom w:w="28" w:type="dxa"/>
            </w:tcMar>
            <w:vAlign w:val="center"/>
          </w:tcPr>
          <w:p>
            <w:pPr>
              <w:pStyle w:val="TableContents"/>
              <w:bidi w:val="0"/>
              <w:spacing w:before="0" w:after="283"/>
              <w:jc w:val="right"/>
              <w:rPr/>
            </w:pPr>
            <w:r>
              <w:rPr/>
              <w:t>60</w:t>
            </w:r>
          </w:p>
        </w:tc>
        <w:tc>
          <w:tcPr>
            <w:tcW w:w="168"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39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7" w:type="dxa"/>
            <w:tcBorders>
              <w:bottom w:val="single" w:sz="12" w:space="0" w:color="000000"/>
            </w:tcBorders>
            <w:shd w:fill="FFFFFF" w:val="clear"/>
            <w:tcMar>
              <w:bottom w:w="28" w:type="dxa"/>
            </w:tcMar>
            <w:vAlign w:val="center"/>
          </w:tcPr>
          <w:p>
            <w:pPr>
              <w:pStyle w:val="TableContents"/>
              <w:bidi w:val="0"/>
              <w:spacing w:before="0" w:after="283"/>
              <w:jc w:val="right"/>
              <w:rPr/>
            </w:pPr>
            <w:r>
              <w:rPr/>
              <w:t>24</w:t>
            </w:r>
          </w:p>
        </w:tc>
        <w:tc>
          <w:tcPr>
            <w:tcW w:w="75" w:type="dxa"/>
            <w:tcBorders/>
            <w:shd w:fill="FFFFFF" w:val="clear"/>
            <w:vAlign w:val="center"/>
          </w:tcPr>
          <w:p>
            <w:pPr>
              <w:pStyle w:val="TableContents"/>
              <w:bidi w:val="0"/>
              <w:spacing w:before="0" w:after="283"/>
              <w:jc w:val="left"/>
              <w:rPr/>
            </w:pPr>
            <w:r>
              <w:rPr/>
              <w:t> </w:t>
            </w:r>
            <w:bookmarkStart w:id="526" w:name="xdx_40F_eus-gaap--LeaseCost_iT_pn3n3_mtL"/>
            <w:bookmarkEnd w:id="526"/>
          </w:p>
        </w:tc>
      </w:tr>
      <w:tr>
        <w:trPr/>
        <w:tc>
          <w:tcPr>
            <w:tcW w:w="2000" w:type="dxa"/>
            <w:tcBorders/>
            <w:shd w:fill="CCEEFF" w:val="clear"/>
            <w:vAlign w:val="center"/>
          </w:tcPr>
          <w:p>
            <w:pPr>
              <w:pStyle w:val="TableContents"/>
              <w:bidi w:val="0"/>
              <w:spacing w:before="0" w:after="283"/>
              <w:jc w:val="left"/>
              <w:rPr/>
            </w:pPr>
            <w:r>
              <w:rPr/>
              <w:t>Total lease cost</w:t>
            </w:r>
          </w:p>
        </w:tc>
        <w:tc>
          <w:tcPr>
            <w:tcW w:w="60" w:type="dxa"/>
            <w:tcBorders/>
            <w:shd w:fill="CCEEFF" w:val="clear"/>
            <w:vAlign w:val="center"/>
          </w:tcPr>
          <w:p>
            <w:pPr>
              <w:pStyle w:val="TableContents"/>
              <w:bidi w:val="0"/>
              <w:spacing w:before="0" w:after="283"/>
              <w:jc w:val="left"/>
              <w:rPr/>
            </w:pPr>
            <w:r>
              <w:rPr/>
              <w:t> </w:t>
            </w:r>
          </w:p>
        </w:tc>
        <w:tc>
          <w:tcPr>
            <w:tcW w:w="40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12" w:type="dxa"/>
            <w:tcBorders>
              <w:bottom w:val="double" w:sz="6" w:space="0" w:color="000000"/>
            </w:tcBorders>
            <w:shd w:fill="CCEEFF" w:val="clear"/>
            <w:tcMar>
              <w:bottom w:w="28" w:type="dxa"/>
            </w:tcMar>
            <w:vAlign w:val="center"/>
          </w:tcPr>
          <w:p>
            <w:pPr>
              <w:pStyle w:val="TableContents"/>
              <w:bidi w:val="0"/>
              <w:spacing w:before="0" w:after="283"/>
              <w:jc w:val="right"/>
              <w:rPr/>
            </w:pPr>
            <w:r>
              <w:rPr/>
              <w:t>182</w:t>
            </w:r>
          </w:p>
        </w:tc>
        <w:tc>
          <w:tcPr>
            <w:tcW w:w="1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40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12" w:type="dxa"/>
            <w:tcBorders>
              <w:bottom w:val="double" w:sz="6" w:space="0" w:color="000000"/>
            </w:tcBorders>
            <w:shd w:fill="CCEEFF" w:val="clear"/>
            <w:tcMar>
              <w:bottom w:w="28" w:type="dxa"/>
            </w:tcMar>
            <w:vAlign w:val="center"/>
          </w:tcPr>
          <w:p>
            <w:pPr>
              <w:pStyle w:val="TableContents"/>
              <w:bidi w:val="0"/>
              <w:spacing w:before="0" w:after="283"/>
              <w:jc w:val="right"/>
              <w:rPr/>
            </w:pPr>
            <w:r>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67" w:type="dxa"/>
            <w:tcBorders>
              <w:bottom w:val="double" w:sz="6" w:space="0" w:color="000000"/>
            </w:tcBorders>
            <w:shd w:fill="CCEEFF" w:val="clear"/>
            <w:tcMar>
              <w:bottom w:w="28" w:type="dxa"/>
            </w:tcMar>
            <w:vAlign w:val="center"/>
          </w:tcPr>
          <w:p>
            <w:pPr>
              <w:pStyle w:val="TableContents"/>
              <w:bidi w:val="0"/>
              <w:spacing w:before="0" w:after="283"/>
              <w:jc w:val="right"/>
              <w:rPr/>
            </w:pPr>
            <w:r>
              <w:rPr/>
              <w:t>538</w:t>
            </w:r>
          </w:p>
        </w:tc>
        <w:tc>
          <w:tcPr>
            <w:tcW w:w="168"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39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67" w:type="dxa"/>
            <w:tcBorders>
              <w:bottom w:val="double" w:sz="6" w:space="0" w:color="000000"/>
            </w:tcBorders>
            <w:shd w:fill="CCEEFF" w:val="clear"/>
            <w:tcMar>
              <w:bottom w:w="28" w:type="dxa"/>
            </w:tcMar>
            <w:vAlign w:val="center"/>
          </w:tcPr>
          <w:p>
            <w:pPr>
              <w:pStyle w:val="TableContents"/>
              <w:bidi w:val="0"/>
              <w:spacing w:before="0" w:after="283"/>
              <w:jc w:val="right"/>
              <w:rPr/>
            </w:pPr>
            <w:r>
              <w:rPr/>
              <w:t>300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27" w:name="xdx_8AE_ztRRaFwBJM05"/>
      <w:bookmarkEnd w:id="52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28" w:name="xdx_895_ecustom--ScheduleOfRightofUseAss"/>
      <w:bookmarkEnd w:id="528"/>
      <w:r>
        <w:rPr>
          <w:rFonts w:ascii="Times New Roman;Times;Serif" w:hAnsi="Times New Roman;Times;Serif"/>
          <w:b w:val="false"/>
          <w:i w:val="false"/>
          <w:caps w:val="false"/>
          <w:smallCaps w:val="false"/>
          <w:sz w:val="20"/>
        </w:rPr>
        <w:t>Information related to the Company’s right-of use assets and lease liabilities as of January 31, 2024 was as follows:</w:t>
      </w:r>
    </w:p>
    <w:p>
      <w:pPr>
        <w:pStyle w:val="TextBody"/>
        <w:bidi w:val="0"/>
        <w:spacing w:before="0" w:after="0"/>
        <w:ind w:left="0" w:right="0" w:hanging="0"/>
        <w:jc w:val="both"/>
        <w:rPr>
          <w:caps w:val="false"/>
          <w:smallCaps w:val="false"/>
        </w:rPr>
      </w:pPr>
      <w:r>
        <w:rPr>
          <w:caps w:val="false"/>
          <w:smallCaps w:val="false"/>
        </w:rPr>
        <w:t> </w:t>
      </w:r>
      <w:bookmarkStart w:id="529" w:name="xdx_8BB_zZDCp0UrfJE"/>
      <w:bookmarkEnd w:id="529"/>
      <w:r>
        <w:rPr>
          <w:rFonts w:ascii="Times New Roman;Times;Serif" w:hAnsi="Times New Roman;Times;Serif"/>
          <w:b w:val="false"/>
          <w:i w:val="false"/>
          <w:caps w:val="false"/>
          <w:smallCaps w:val="false"/>
          <w:sz w:val="20"/>
        </w:rPr>
        <w:t>Schedule of Right-of use Assets and Lease Liabilities</w:t>
      </w:r>
    </w:p>
    <w:tbl>
      <w:tblPr>
        <w:tblW w:w="7454" w:type="dxa"/>
        <w:jc w:val="left"/>
        <w:tblInd w:w="0" w:type="dxa"/>
        <w:tblLayout w:type="fixed"/>
        <w:tblCellMar>
          <w:top w:w="0" w:type="dxa"/>
          <w:left w:w="0" w:type="dxa"/>
          <w:bottom w:w="0" w:type="dxa"/>
          <w:right w:w="0" w:type="dxa"/>
        </w:tblCellMar>
      </w:tblPr>
      <w:tblGrid>
        <w:gridCol w:w="5390"/>
        <w:gridCol w:w="60"/>
        <w:gridCol w:w="252"/>
        <w:gridCol w:w="1522"/>
        <w:gridCol w:w="230"/>
      </w:tblGrid>
      <w:tr>
        <w:trPr/>
        <w:tc>
          <w:tcPr>
            <w:tcW w:w="5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530" w:name="xdx_499_20240131_zcB87wo7sIF7"/>
            <w:bookmarkEnd w:id="530"/>
          </w:p>
        </w:tc>
        <w:tc>
          <w:tcPr>
            <w:tcW w:w="17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January 31, 2024</w:t>
            </w:r>
          </w:p>
        </w:tc>
        <w:tc>
          <w:tcPr>
            <w:tcW w:w="230" w:type="dxa"/>
            <w:tcBorders/>
            <w:vAlign w:val="center"/>
          </w:tcPr>
          <w:p>
            <w:pPr>
              <w:pStyle w:val="TableContents"/>
              <w:bidi w:val="0"/>
              <w:spacing w:before="0" w:after="283"/>
              <w:jc w:val="center"/>
              <w:rPr/>
            </w:pPr>
            <w:r>
              <w:rPr/>
              <w:t> </w:t>
            </w:r>
          </w:p>
        </w:tc>
      </w:tr>
      <w:tr>
        <w:trPr/>
        <w:tc>
          <w:tcPr>
            <w:tcW w:w="5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74" w:type="dxa"/>
            <w:gridSpan w:val="2"/>
            <w:tcBorders/>
            <w:vAlign w:val="center"/>
          </w:tcPr>
          <w:p>
            <w:pPr>
              <w:pStyle w:val="TableContents"/>
              <w:bidi w:val="0"/>
              <w:spacing w:before="0" w:after="283"/>
              <w:jc w:val="center"/>
              <w:rPr/>
            </w:pPr>
            <w:r>
              <w:rPr/>
              <w:t>(in thousands)</w:t>
            </w:r>
          </w:p>
        </w:tc>
        <w:tc>
          <w:tcPr>
            <w:tcW w:w="230" w:type="dxa"/>
            <w:tcBorders/>
            <w:vAlign w:val="center"/>
          </w:tcPr>
          <w:p>
            <w:pPr>
              <w:pStyle w:val="TableContents"/>
              <w:bidi w:val="0"/>
              <w:spacing w:before="0" w:after="283"/>
              <w:jc w:val="center"/>
              <w:rPr/>
            </w:pPr>
            <w:r>
              <w:rPr/>
              <w:t> </w:t>
            </w:r>
          </w:p>
        </w:tc>
      </w:tr>
      <w:tr>
        <w:trPr/>
        <w:tc>
          <w:tcPr>
            <w:tcW w:w="5390" w:type="dxa"/>
            <w:tcBorders/>
            <w:shd w:fill="CCEEFF" w:val="clear"/>
            <w:vAlign w:val="center"/>
          </w:tcPr>
          <w:p>
            <w:pPr>
              <w:pStyle w:val="TableContents"/>
              <w:bidi w:val="0"/>
              <w:spacing w:before="0" w:after="283"/>
              <w:jc w:val="left"/>
              <w:rPr>
                <w:u w:val="single"/>
              </w:rPr>
            </w:pPr>
            <w:r>
              <w:rPr>
                <w:u w:val="single"/>
              </w:rPr>
              <w:t>Operating lease:</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522"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bookmarkStart w:id="531" w:name="xdx_40E_eus-gaap--OperatingLeaseRightOfU"/>
            <w:bookmarkEnd w:id="531"/>
          </w:p>
        </w:tc>
      </w:tr>
      <w:tr>
        <w:trPr/>
        <w:tc>
          <w:tcPr>
            <w:tcW w:w="5390" w:type="dxa"/>
            <w:tcBorders/>
            <w:shd w:fill="FFFFFF" w:val="clear"/>
            <w:vAlign w:val="center"/>
          </w:tcPr>
          <w:p>
            <w:pPr>
              <w:pStyle w:val="TableContents"/>
              <w:bidi w:val="0"/>
              <w:spacing w:before="0" w:after="283"/>
              <w:jc w:val="left"/>
              <w:rPr/>
            </w:pPr>
            <w:r>
              <w:rPr/>
              <w:t>Operating right-of-use assets, net</w:t>
            </w:r>
          </w:p>
        </w:tc>
        <w:tc>
          <w:tcPr>
            <w:tcW w:w="60" w:type="dxa"/>
            <w:tcBorders/>
            <w:shd w:fill="FFFFFF" w:val="cle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22" w:type="dxa"/>
            <w:tcBorders>
              <w:bottom w:val="double" w:sz="6" w:space="0" w:color="000000"/>
            </w:tcBorders>
            <w:shd w:fill="FFFFFF" w:val="clear"/>
            <w:tcMar>
              <w:bottom w:w="28" w:type="dxa"/>
            </w:tcMar>
            <w:vAlign w:val="center"/>
          </w:tcPr>
          <w:p>
            <w:pPr>
              <w:pStyle w:val="TableContents"/>
              <w:bidi w:val="0"/>
              <w:spacing w:before="0" w:after="283"/>
              <w:jc w:val="right"/>
              <w:rPr/>
            </w:pPr>
            <w:r>
              <w:rPr/>
              <w:t>2,610</w:t>
            </w:r>
          </w:p>
        </w:tc>
        <w:tc>
          <w:tcPr>
            <w:tcW w:w="230" w:type="dxa"/>
            <w:tcBorders/>
            <w:shd w:fill="FFFFFF" w:val="clear"/>
            <w:vAlign w:val="center"/>
          </w:tcPr>
          <w:p>
            <w:pPr>
              <w:pStyle w:val="TableContents"/>
              <w:bidi w:val="0"/>
              <w:spacing w:before="0" w:after="283"/>
              <w:jc w:val="left"/>
              <w:rPr/>
            </w:pPr>
            <w:r>
              <w:rPr/>
              <w:t> </w:t>
            </w:r>
          </w:p>
        </w:tc>
      </w:tr>
      <w:tr>
        <w:trPr/>
        <w:tc>
          <w:tcPr>
            <w:tcW w:w="53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522"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bookmarkStart w:id="532" w:name="xdx_40A_eus-gaap--OperatingLeaseLiabilit"/>
            <w:bookmarkEnd w:id="532"/>
          </w:p>
        </w:tc>
      </w:tr>
      <w:tr>
        <w:trPr/>
        <w:tc>
          <w:tcPr>
            <w:tcW w:w="5390" w:type="dxa"/>
            <w:tcBorders/>
            <w:shd w:fill="FFFFFF" w:val="clear"/>
            <w:vAlign w:val="center"/>
          </w:tcPr>
          <w:p>
            <w:pPr>
              <w:pStyle w:val="TableContents"/>
              <w:bidi w:val="0"/>
              <w:spacing w:before="0" w:after="283"/>
              <w:jc w:val="left"/>
              <w:rPr/>
            </w:pPr>
            <w:r>
              <w:rPr/>
              <w:t>Right-of-use liabilities- current</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w:t>
            </w:r>
          </w:p>
        </w:tc>
        <w:tc>
          <w:tcPr>
            <w:tcW w:w="1522" w:type="dxa"/>
            <w:tcBorders/>
            <w:shd w:fill="FFFFFF" w:val="clear"/>
            <w:vAlign w:val="center"/>
          </w:tcPr>
          <w:p>
            <w:pPr>
              <w:pStyle w:val="TableContents"/>
              <w:bidi w:val="0"/>
              <w:spacing w:before="0" w:after="283"/>
              <w:jc w:val="right"/>
              <w:rPr/>
            </w:pPr>
            <w:r>
              <w:rPr/>
              <w:t>625</w:t>
            </w:r>
          </w:p>
        </w:tc>
        <w:tc>
          <w:tcPr>
            <w:tcW w:w="230" w:type="dxa"/>
            <w:tcBorders/>
            <w:shd w:fill="FFFFFF" w:val="clear"/>
            <w:vAlign w:val="center"/>
          </w:tcPr>
          <w:p>
            <w:pPr>
              <w:pStyle w:val="TableContents"/>
              <w:bidi w:val="0"/>
              <w:spacing w:before="0" w:after="283"/>
              <w:jc w:val="left"/>
              <w:rPr/>
            </w:pPr>
            <w:r>
              <w:rPr/>
              <w:t> </w:t>
            </w:r>
            <w:bookmarkStart w:id="533" w:name="xdx_40A_eus-gaap--OperatingLeaseLiabilit"/>
            <w:bookmarkEnd w:id="533"/>
          </w:p>
        </w:tc>
      </w:tr>
      <w:tr>
        <w:trPr/>
        <w:tc>
          <w:tcPr>
            <w:tcW w:w="5390" w:type="dxa"/>
            <w:tcBorders/>
            <w:shd w:fill="CCEEFF" w:val="clear"/>
            <w:vAlign w:val="center"/>
          </w:tcPr>
          <w:p>
            <w:pPr>
              <w:pStyle w:val="TableContents"/>
              <w:bidi w:val="0"/>
              <w:spacing w:before="0" w:after="283"/>
              <w:jc w:val="left"/>
              <w:rPr/>
            </w:pPr>
            <w:r>
              <w:rPr/>
              <w:t>Right-of-use liabilities- long term</w:t>
            </w:r>
          </w:p>
        </w:tc>
        <w:tc>
          <w:tcPr>
            <w:tcW w:w="60" w:type="dxa"/>
            <w:tcBorders/>
            <w:shd w:fill="CCEEFF" w:val="clear"/>
            <w:vAlign w:val="center"/>
          </w:tcPr>
          <w:p>
            <w:pPr>
              <w:pStyle w:val="TableContents"/>
              <w:bidi w:val="0"/>
              <w:spacing w:before="0" w:after="283"/>
              <w:jc w:val="left"/>
              <w:rPr/>
            </w:pPr>
            <w:r>
              <w:rPr/>
              <w:t> </w:t>
            </w:r>
          </w:p>
        </w:tc>
        <w:tc>
          <w:tcPr>
            <w:tcW w:w="2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22" w:type="dxa"/>
            <w:tcBorders>
              <w:bottom w:val="single" w:sz="12" w:space="0" w:color="000000"/>
            </w:tcBorders>
            <w:shd w:fill="CCEEFF" w:val="clear"/>
            <w:tcMar>
              <w:bottom w:w="28" w:type="dxa"/>
            </w:tcMar>
            <w:vAlign w:val="center"/>
          </w:tcPr>
          <w:p>
            <w:pPr>
              <w:pStyle w:val="TableContents"/>
              <w:bidi w:val="0"/>
              <w:spacing w:before="0" w:after="283"/>
              <w:jc w:val="right"/>
              <w:rPr/>
            </w:pPr>
            <w:r>
              <w:rPr/>
              <w:t>2,065</w:t>
            </w:r>
          </w:p>
        </w:tc>
        <w:tc>
          <w:tcPr>
            <w:tcW w:w="230" w:type="dxa"/>
            <w:tcBorders/>
            <w:shd w:fill="CCEEFF" w:val="clear"/>
            <w:vAlign w:val="center"/>
          </w:tcPr>
          <w:p>
            <w:pPr>
              <w:pStyle w:val="TableContents"/>
              <w:bidi w:val="0"/>
              <w:spacing w:before="0" w:after="283"/>
              <w:jc w:val="left"/>
              <w:rPr/>
            </w:pPr>
            <w:r>
              <w:rPr/>
              <w:t> </w:t>
            </w:r>
            <w:bookmarkStart w:id="534" w:name="xdx_40B_eus-gaap--OperatingLeaseLiabilit"/>
            <w:bookmarkEnd w:id="534"/>
          </w:p>
        </w:tc>
      </w:tr>
      <w:tr>
        <w:trPr/>
        <w:tc>
          <w:tcPr>
            <w:tcW w:w="5390" w:type="dxa"/>
            <w:tcBorders/>
            <w:shd w:fill="FFFFFF" w:val="clear"/>
            <w:vAlign w:val="center"/>
          </w:tcPr>
          <w:p>
            <w:pPr>
              <w:pStyle w:val="TableContents"/>
              <w:bidi w:val="0"/>
              <w:spacing w:before="0" w:after="283"/>
              <w:jc w:val="left"/>
              <w:rPr/>
            </w:pPr>
            <w:r>
              <w:rPr/>
              <w:t>Total lease liabilities</w:t>
            </w:r>
          </w:p>
        </w:tc>
        <w:tc>
          <w:tcPr>
            <w:tcW w:w="60" w:type="dxa"/>
            <w:tcBorders/>
            <w:shd w:fill="FFFFFF" w:val="cle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22" w:type="dxa"/>
            <w:tcBorders>
              <w:bottom w:val="double" w:sz="6" w:space="0" w:color="000000"/>
            </w:tcBorders>
            <w:shd w:fill="FFFFFF" w:val="clear"/>
            <w:tcMar>
              <w:bottom w:w="28" w:type="dxa"/>
            </w:tcMar>
            <w:vAlign w:val="center"/>
          </w:tcPr>
          <w:p>
            <w:pPr>
              <w:pStyle w:val="TableContents"/>
              <w:bidi w:val="0"/>
              <w:spacing w:before="0" w:after="283"/>
              <w:jc w:val="right"/>
              <w:rPr/>
            </w:pPr>
            <w:r>
              <w:rPr/>
              <w:t>2,690</w:t>
            </w:r>
          </w:p>
        </w:tc>
        <w:tc>
          <w:tcPr>
            <w:tcW w:w="230" w:type="dxa"/>
            <w:tcBorders/>
            <w:shd w:fill="FFFFFF" w:val="clear"/>
            <w:vAlign w:val="center"/>
          </w:tcPr>
          <w:p>
            <w:pPr>
              <w:pStyle w:val="TableContents"/>
              <w:bidi w:val="0"/>
              <w:spacing w:before="0" w:after="283"/>
              <w:jc w:val="left"/>
              <w:rPr/>
            </w:pPr>
            <w:r>
              <w:rPr/>
              <w:t> </w:t>
            </w:r>
          </w:p>
        </w:tc>
      </w:tr>
      <w:tr>
        <w:trPr/>
        <w:tc>
          <w:tcPr>
            <w:tcW w:w="53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522"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390" w:type="dxa"/>
            <w:tcBorders/>
            <w:shd w:fill="FFFFFF" w:val="clear"/>
            <w:vAlign w:val="center"/>
          </w:tcPr>
          <w:p>
            <w:pPr>
              <w:pStyle w:val="TableContents"/>
              <w:bidi w:val="0"/>
              <w:spacing w:before="0" w:after="283"/>
              <w:jc w:val="left"/>
              <w:rPr/>
            </w:pPr>
            <w:r>
              <w:rPr/>
              <w:t>Weighted average remaining lease term- operating leases</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522" w:type="dxa"/>
            <w:tcBorders/>
            <w:shd w:fill="FFFFFF" w:val="clear"/>
            <w:vAlign w:val="center"/>
          </w:tcPr>
          <w:p>
            <w:pPr>
              <w:pStyle w:val="TableContents"/>
              <w:bidi w:val="0"/>
              <w:spacing w:before="0" w:after="283"/>
              <w:jc w:val="right"/>
              <w:rPr>
                <w:rFonts w:ascii="Times New Roman;Times;Serif" w:hAnsi="Times New Roman;Times;Serif"/>
                <w:sz w:val="20"/>
              </w:rPr>
            </w:pPr>
            <w:bookmarkStart w:id="535" w:name="xdx_909_eus-gaap--OperatingLeaseWeighted"/>
            <w:bookmarkEnd w:id="535"/>
            <w:r>
              <w:rPr>
                <w:rFonts w:ascii="Times New Roman;Times;Serif" w:hAnsi="Times New Roman;Times;Serif"/>
                <w:sz w:val="20"/>
              </w:rPr>
              <w:t>3.23 years</w:t>
            </w:r>
          </w:p>
        </w:tc>
        <w:tc>
          <w:tcPr>
            <w:tcW w:w="230" w:type="dxa"/>
            <w:tcBorders/>
            <w:shd w:fill="FFFFFF" w:val="clear"/>
            <w:vAlign w:val="center"/>
          </w:tcPr>
          <w:p>
            <w:pPr>
              <w:pStyle w:val="TableContents"/>
              <w:bidi w:val="0"/>
              <w:spacing w:before="0" w:after="283"/>
              <w:jc w:val="left"/>
              <w:rPr/>
            </w:pPr>
            <w:r>
              <w:rPr/>
              <w:t> </w:t>
            </w:r>
          </w:p>
        </w:tc>
      </w:tr>
      <w:tr>
        <w:trPr/>
        <w:tc>
          <w:tcPr>
            <w:tcW w:w="5390" w:type="dxa"/>
            <w:tcBorders/>
            <w:shd w:fill="CCEEFF" w:val="clear"/>
            <w:vAlign w:val="center"/>
          </w:tcPr>
          <w:p>
            <w:pPr>
              <w:pStyle w:val="TableContents"/>
              <w:bidi w:val="0"/>
              <w:spacing w:before="0" w:after="283"/>
              <w:jc w:val="left"/>
              <w:rPr/>
            </w:pPr>
            <w:r>
              <w:rPr/>
              <w:t>Weighted average discount rate- operating leases</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522" w:type="dxa"/>
            <w:tcBorders/>
            <w:shd w:fill="CCEEFF" w:val="clear"/>
            <w:vAlign w:val="center"/>
          </w:tcPr>
          <w:p>
            <w:pPr>
              <w:pStyle w:val="TableContents"/>
              <w:bidi w:val="0"/>
              <w:spacing w:before="0" w:after="283"/>
              <w:jc w:val="right"/>
              <w:rPr/>
            </w:pPr>
            <w:bookmarkStart w:id="536" w:name="xdx_905_eus-gaap--OperatingLeaseWeighted"/>
            <w:bookmarkEnd w:id="536"/>
            <w:r>
              <w:rPr/>
              <w:t>8.4</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537" w:name="xdx_8A5_zYO06rqcouA"/>
      <w:bookmarkEnd w:id="537"/>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38" w:name="xdx_891_eus-gaap--LesseeOperatingLeaseLi"/>
      <w:bookmarkEnd w:id="538"/>
      <w:r>
        <w:rPr>
          <w:rFonts w:ascii="Times New Roman;Times;Serif" w:hAnsi="Times New Roman;Times;Serif"/>
          <w:b w:val="false"/>
          <w:i w:val="false"/>
          <w:caps w:val="false"/>
          <w:smallCaps w:val="false"/>
          <w:sz w:val="20"/>
        </w:rPr>
        <w:t>Total remaining lease payments under the Company’s operating leases are as follows:</w:t>
      </w:r>
    </w:p>
    <w:p>
      <w:pPr>
        <w:pStyle w:val="TextBody"/>
        <w:bidi w:val="0"/>
        <w:spacing w:before="0" w:after="0"/>
        <w:ind w:left="0" w:right="0" w:hanging="0"/>
        <w:jc w:val="both"/>
        <w:rPr>
          <w:caps w:val="false"/>
          <w:smallCaps w:val="false"/>
        </w:rPr>
      </w:pPr>
      <w:r>
        <w:rPr>
          <w:caps w:val="false"/>
          <w:smallCaps w:val="false"/>
        </w:rPr>
        <w:t> </w:t>
      </w:r>
      <w:bookmarkStart w:id="539" w:name="xdx_8BF_z3wCvCebcqT"/>
      <w:bookmarkEnd w:id="539"/>
      <w:r>
        <w:rPr>
          <w:rFonts w:ascii="Times New Roman;Times;Serif" w:hAnsi="Times New Roman;Times;Serif"/>
          <w:b w:val="false"/>
          <w:i w:val="false"/>
          <w:caps w:val="false"/>
          <w:smallCaps w:val="false"/>
          <w:sz w:val="20"/>
        </w:rPr>
        <w:t>Schedule of Future Minimum Lease payments Under Operating Lease</w:t>
      </w:r>
    </w:p>
    <w:tbl>
      <w:tblPr>
        <w:tblW w:w="5534" w:type="dxa"/>
        <w:jc w:val="left"/>
        <w:tblInd w:w="0" w:type="dxa"/>
        <w:tblLayout w:type="fixed"/>
        <w:tblCellMar>
          <w:top w:w="0" w:type="dxa"/>
          <w:left w:w="0" w:type="dxa"/>
          <w:bottom w:w="0" w:type="dxa"/>
          <w:right w:w="0" w:type="dxa"/>
        </w:tblCellMar>
      </w:tblPr>
      <w:tblGrid>
        <w:gridCol w:w="3590"/>
        <w:gridCol w:w="60"/>
        <w:gridCol w:w="320"/>
        <w:gridCol w:w="1454"/>
        <w:gridCol w:w="110"/>
      </w:tblGrid>
      <w:tr>
        <w:trPr/>
        <w:tc>
          <w:tcPr>
            <w:tcW w:w="3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540" w:name="xdx_494_20240131_zBrdKzKHRQK2"/>
            <w:bookmarkEnd w:id="540"/>
          </w:p>
        </w:tc>
        <w:tc>
          <w:tcPr>
            <w:tcW w:w="17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January 31, 2024</w:t>
            </w:r>
          </w:p>
        </w:tc>
        <w:tc>
          <w:tcPr>
            <w:tcW w:w="110"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4" w:type="dxa"/>
            <w:gridSpan w:val="2"/>
            <w:tcBorders/>
            <w:vAlign w:val="center"/>
          </w:tcPr>
          <w:p>
            <w:pPr>
              <w:pStyle w:val="TableContents"/>
              <w:bidi w:val="0"/>
              <w:spacing w:before="0" w:after="283"/>
              <w:jc w:val="center"/>
              <w:rPr/>
            </w:pPr>
            <w:r>
              <w:rPr/>
              <w:t>(in thousands)</w:t>
            </w:r>
          </w:p>
        </w:tc>
        <w:tc>
          <w:tcPr>
            <w:tcW w:w="110" w:type="dxa"/>
            <w:tcBorders/>
            <w:vAlign w:val="center"/>
          </w:tcPr>
          <w:p>
            <w:pPr>
              <w:pStyle w:val="TableContents"/>
              <w:bidi w:val="0"/>
              <w:spacing w:before="0" w:after="283"/>
              <w:jc w:val="left"/>
              <w:rPr/>
            </w:pPr>
            <w:r>
              <w:rPr/>
              <w:t> </w:t>
            </w:r>
            <w:bookmarkStart w:id="541" w:name="xdx_40E_eus-gaap--LesseeOperatingLeaseLi"/>
            <w:bookmarkEnd w:id="541"/>
          </w:p>
        </w:tc>
      </w:tr>
      <w:tr>
        <w:trPr/>
        <w:tc>
          <w:tcPr>
            <w:tcW w:w="3590" w:type="dxa"/>
            <w:tcBorders/>
            <w:shd w:fill="CCEEFF" w:val="clear"/>
            <w:vAlign w:val="center"/>
          </w:tcPr>
          <w:p>
            <w:pPr>
              <w:pStyle w:val="TableContents"/>
              <w:bidi w:val="0"/>
              <w:spacing w:before="0" w:after="283"/>
              <w:jc w:val="left"/>
              <w:rPr/>
            </w:pPr>
            <w:r>
              <w:rPr/>
              <w:t>Remainder of fiscal year 2024</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w:t>
            </w:r>
          </w:p>
        </w:tc>
        <w:tc>
          <w:tcPr>
            <w:tcW w:w="1454" w:type="dxa"/>
            <w:tcBorders/>
            <w:shd w:fill="CCEEFF" w:val="clear"/>
            <w:vAlign w:val="center"/>
          </w:tcPr>
          <w:p>
            <w:pPr>
              <w:pStyle w:val="TableContents"/>
              <w:bidi w:val="0"/>
              <w:spacing w:before="0" w:after="283"/>
              <w:jc w:val="right"/>
              <w:rPr/>
            </w:pPr>
            <w:r>
              <w:rPr/>
              <w:t>174</w:t>
            </w:r>
          </w:p>
        </w:tc>
        <w:tc>
          <w:tcPr>
            <w:tcW w:w="110" w:type="dxa"/>
            <w:tcBorders/>
            <w:shd w:fill="CCEEFF" w:val="clear"/>
            <w:vAlign w:val="center"/>
          </w:tcPr>
          <w:p>
            <w:pPr>
              <w:pStyle w:val="TableContents"/>
              <w:bidi w:val="0"/>
              <w:spacing w:before="0" w:after="283"/>
              <w:jc w:val="left"/>
              <w:rPr/>
            </w:pPr>
            <w:r>
              <w:rPr/>
              <w:t> </w:t>
            </w:r>
            <w:bookmarkStart w:id="542" w:name="xdx_40B_eus-gaap--LesseeOperatingLeaseLi"/>
            <w:bookmarkEnd w:id="542"/>
          </w:p>
        </w:tc>
      </w:tr>
      <w:tr>
        <w:trPr/>
        <w:tc>
          <w:tcPr>
            <w:tcW w:w="3590" w:type="dxa"/>
            <w:tcBorders/>
            <w:shd w:fill="FFFFFF" w:val="clear"/>
            <w:vAlign w:val="center"/>
          </w:tcPr>
          <w:p>
            <w:pPr>
              <w:pStyle w:val="TableContents"/>
              <w:bidi w:val="0"/>
              <w:spacing w:before="0" w:after="283"/>
              <w:jc w:val="left"/>
              <w:rPr/>
            </w:pPr>
            <w:r>
              <w:rPr/>
              <w:t>2025</w:t>
            </w:r>
          </w:p>
        </w:tc>
        <w:tc>
          <w:tcPr>
            <w:tcW w:w="60"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1454" w:type="dxa"/>
            <w:tcBorders/>
            <w:shd w:fill="FFFFFF" w:val="clear"/>
            <w:vAlign w:val="center"/>
          </w:tcPr>
          <w:p>
            <w:pPr>
              <w:pStyle w:val="TableContents"/>
              <w:bidi w:val="0"/>
              <w:spacing w:before="0" w:after="283"/>
              <w:jc w:val="right"/>
              <w:rPr/>
            </w:pPr>
            <w:r>
              <w:rPr/>
              <w:t>1,410</w:t>
            </w:r>
          </w:p>
        </w:tc>
        <w:tc>
          <w:tcPr>
            <w:tcW w:w="110" w:type="dxa"/>
            <w:tcBorders/>
            <w:shd w:fill="FFFFFF" w:val="clear"/>
            <w:vAlign w:val="center"/>
          </w:tcPr>
          <w:p>
            <w:pPr>
              <w:pStyle w:val="TableContents"/>
              <w:bidi w:val="0"/>
              <w:spacing w:before="0" w:after="283"/>
              <w:jc w:val="left"/>
              <w:rPr/>
            </w:pPr>
            <w:r>
              <w:rPr/>
              <w:t> </w:t>
            </w:r>
            <w:bookmarkStart w:id="543" w:name="xdx_401_eus-gaap--LesseeOperatingLeaseLi"/>
            <w:bookmarkEnd w:id="543"/>
          </w:p>
        </w:tc>
      </w:tr>
      <w:tr>
        <w:trPr/>
        <w:tc>
          <w:tcPr>
            <w:tcW w:w="3590" w:type="dxa"/>
            <w:tcBorders/>
            <w:shd w:fill="CCEEFF" w:val="clear"/>
            <w:vAlign w:val="center"/>
          </w:tcPr>
          <w:p>
            <w:pPr>
              <w:pStyle w:val="TableContents"/>
              <w:bidi w:val="0"/>
              <w:spacing w:before="0" w:after="283"/>
              <w:jc w:val="left"/>
              <w:rPr/>
            </w:pPr>
            <w:r>
              <w:rPr/>
              <w:t>2026</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c>
          <w:tcPr>
            <w:tcW w:w="1454" w:type="dxa"/>
            <w:tcBorders/>
            <w:shd w:fill="CCEEFF" w:val="clear"/>
            <w:vAlign w:val="center"/>
          </w:tcPr>
          <w:p>
            <w:pPr>
              <w:pStyle w:val="TableContents"/>
              <w:bidi w:val="0"/>
              <w:spacing w:before="0" w:after="283"/>
              <w:jc w:val="right"/>
              <w:rPr/>
            </w:pPr>
            <w:r>
              <w:rPr/>
              <w:t>1,847</w:t>
            </w:r>
          </w:p>
        </w:tc>
        <w:tc>
          <w:tcPr>
            <w:tcW w:w="110" w:type="dxa"/>
            <w:tcBorders/>
            <w:shd w:fill="CCEEFF" w:val="clear"/>
            <w:vAlign w:val="center"/>
          </w:tcPr>
          <w:p>
            <w:pPr>
              <w:pStyle w:val="TableContents"/>
              <w:bidi w:val="0"/>
              <w:spacing w:before="0" w:after="283"/>
              <w:jc w:val="left"/>
              <w:rPr/>
            </w:pPr>
            <w:r>
              <w:rPr/>
              <w:t> </w:t>
            </w:r>
            <w:bookmarkStart w:id="544" w:name="xdx_40F_eus-gaap--LesseeOperatingLeaseLi"/>
            <w:bookmarkEnd w:id="544"/>
          </w:p>
        </w:tc>
      </w:tr>
      <w:tr>
        <w:trPr/>
        <w:tc>
          <w:tcPr>
            <w:tcW w:w="3590"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1454" w:type="dxa"/>
            <w:tcBorders/>
            <w:shd w:fill="FFFFFF" w:val="clear"/>
            <w:vAlign w:val="center"/>
          </w:tcPr>
          <w:p>
            <w:pPr>
              <w:pStyle w:val="TableContents"/>
              <w:bidi w:val="0"/>
              <w:spacing w:before="0" w:after="283"/>
              <w:jc w:val="right"/>
              <w:rPr/>
            </w:pPr>
            <w:r>
              <w:rPr/>
              <w:t>329</w:t>
            </w:r>
          </w:p>
        </w:tc>
        <w:tc>
          <w:tcPr>
            <w:tcW w:w="110" w:type="dxa"/>
            <w:tcBorders/>
            <w:shd w:fill="FFFFFF" w:val="clear"/>
            <w:vAlign w:val="center"/>
          </w:tcPr>
          <w:p>
            <w:pPr>
              <w:pStyle w:val="TableContents"/>
              <w:bidi w:val="0"/>
              <w:spacing w:before="0" w:after="283"/>
              <w:jc w:val="left"/>
              <w:rPr/>
            </w:pPr>
            <w:r>
              <w:rPr/>
              <w:t> </w:t>
            </w:r>
            <w:bookmarkStart w:id="545" w:name="xdx_406_eus-gaap--LesseeOperatingLeaseLi"/>
            <w:bookmarkEnd w:id="545"/>
          </w:p>
        </w:tc>
      </w:tr>
      <w:tr>
        <w:trPr/>
        <w:tc>
          <w:tcPr>
            <w:tcW w:w="3590" w:type="dxa"/>
            <w:tcBorders/>
            <w:shd w:fill="CCEEFF" w:val="clear"/>
            <w:vAlign w:val="center"/>
          </w:tcPr>
          <w:p>
            <w:pPr>
              <w:pStyle w:val="TableContents"/>
              <w:bidi w:val="0"/>
              <w:spacing w:before="0" w:after="283"/>
              <w:jc w:val="left"/>
              <w:rPr/>
            </w:pPr>
            <w:r>
              <w:rPr/>
              <w:t>2028</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c>
          <w:tcPr>
            <w:tcW w:w="1454" w:type="dxa"/>
            <w:tcBorders/>
            <w:shd w:fill="CCEEFF" w:val="clear"/>
            <w:vAlign w:val="center"/>
          </w:tcPr>
          <w:p>
            <w:pPr>
              <w:pStyle w:val="TableContents"/>
              <w:bidi w:val="0"/>
              <w:spacing w:before="0" w:after="283"/>
              <w:jc w:val="right"/>
              <w:rPr/>
            </w:pPr>
            <w:r>
              <w:rPr/>
              <w:t>333</w:t>
            </w:r>
          </w:p>
        </w:tc>
        <w:tc>
          <w:tcPr>
            <w:tcW w:w="110" w:type="dxa"/>
            <w:tcBorders/>
            <w:shd w:fill="CCEEFF" w:val="clear"/>
            <w:vAlign w:val="center"/>
          </w:tcPr>
          <w:p>
            <w:pPr>
              <w:pStyle w:val="TableContents"/>
              <w:bidi w:val="0"/>
              <w:spacing w:before="0" w:after="283"/>
              <w:jc w:val="left"/>
              <w:rPr/>
            </w:pPr>
            <w:r>
              <w:rPr/>
              <w:t> </w:t>
            </w:r>
            <w:bookmarkStart w:id="546" w:name="xdx_40F_eus-gaap--LesseeOperatingLeaseLi"/>
            <w:bookmarkEnd w:id="546"/>
          </w:p>
        </w:tc>
      </w:tr>
      <w:tr>
        <w:trPr/>
        <w:tc>
          <w:tcPr>
            <w:tcW w:w="3590" w:type="dxa"/>
            <w:tcBorders/>
            <w:shd w:fill="FFFFFF" w:val="clear"/>
            <w:vAlign w:val="center"/>
          </w:tcPr>
          <w:p>
            <w:pPr>
              <w:pStyle w:val="TableContents"/>
              <w:bidi w:val="0"/>
              <w:spacing w:before="0" w:after="283"/>
              <w:jc w:val="left"/>
              <w:rPr/>
            </w:pPr>
            <w:r>
              <w:rPr/>
              <w:t>thereafter</w:t>
            </w:r>
          </w:p>
        </w:tc>
        <w:tc>
          <w:tcPr>
            <w:tcW w:w="60" w:type="dxa"/>
            <w:tcBorders/>
            <w:shd w:fill="FFFFFF" w:val="clear"/>
            <w:vAlign w:val="center"/>
          </w:tcPr>
          <w:p>
            <w:pPr>
              <w:pStyle w:val="TableContents"/>
              <w:bidi w:val="0"/>
              <w:spacing w:before="0" w:after="283"/>
              <w:jc w:val="left"/>
              <w:rPr/>
            </w:pPr>
            <w:r>
              <w:rPr/>
              <w:t> </w:t>
            </w:r>
          </w:p>
        </w:tc>
        <w:tc>
          <w:tcPr>
            <w:tcW w:w="3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54" w:type="dxa"/>
            <w:tcBorders>
              <w:bottom w:val="single" w:sz="12" w:space="0" w:color="000000"/>
            </w:tcBorders>
            <w:shd w:fill="FFFFFF" w:val="clear"/>
            <w:tcMar>
              <w:bottom w:w="28" w:type="dxa"/>
            </w:tcMar>
            <w:vAlign w:val="center"/>
          </w:tcPr>
          <w:p>
            <w:pPr>
              <w:pStyle w:val="TableContents"/>
              <w:bidi w:val="0"/>
              <w:spacing w:before="0" w:after="283"/>
              <w:jc w:val="right"/>
              <w:rPr/>
            </w:pPr>
            <w:r>
              <w:rPr/>
              <w:t>28</w:t>
            </w:r>
          </w:p>
        </w:tc>
        <w:tc>
          <w:tcPr>
            <w:tcW w:w="110" w:type="dxa"/>
            <w:tcBorders/>
            <w:shd w:fill="FFFFFF" w:val="clear"/>
            <w:vAlign w:val="center"/>
          </w:tcPr>
          <w:p>
            <w:pPr>
              <w:pStyle w:val="TableContents"/>
              <w:bidi w:val="0"/>
              <w:spacing w:before="0" w:after="283"/>
              <w:jc w:val="left"/>
              <w:rPr/>
            </w:pPr>
            <w:r>
              <w:rPr/>
              <w:t> </w:t>
            </w:r>
            <w:bookmarkStart w:id="547" w:name="xdx_403_eus-gaap--LesseeOperatingLeaseLi"/>
            <w:bookmarkEnd w:id="547"/>
          </w:p>
        </w:tc>
      </w:tr>
      <w:tr>
        <w:trPr/>
        <w:tc>
          <w:tcPr>
            <w:tcW w:w="3590" w:type="dxa"/>
            <w:tcBorders/>
            <w:shd w:fill="CCEEFF" w:val="clear"/>
            <w:vAlign w:val="center"/>
          </w:tcPr>
          <w:p>
            <w:pPr>
              <w:pStyle w:val="TableContents"/>
              <w:bidi w:val="0"/>
              <w:spacing w:before="0" w:after="283"/>
              <w:jc w:val="left"/>
              <w:rPr/>
            </w:pPr>
            <w:r>
              <w:rPr/>
              <w:t>Total future minimum lease payments</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w:t>
            </w:r>
          </w:p>
        </w:tc>
        <w:tc>
          <w:tcPr>
            <w:tcW w:w="1454" w:type="dxa"/>
            <w:tcBorders/>
            <w:shd w:fill="CCEEFF" w:val="clear"/>
            <w:vAlign w:val="center"/>
          </w:tcPr>
          <w:p>
            <w:pPr>
              <w:pStyle w:val="TableContents"/>
              <w:bidi w:val="0"/>
              <w:spacing w:before="0" w:after="283"/>
              <w:jc w:val="right"/>
              <w:rPr/>
            </w:pPr>
            <w:r>
              <w:rPr/>
              <w:t>4,121</w:t>
            </w:r>
          </w:p>
        </w:tc>
        <w:tc>
          <w:tcPr>
            <w:tcW w:w="110" w:type="dxa"/>
            <w:tcBorders/>
            <w:shd w:fill="CCEEFF" w:val="clear"/>
            <w:vAlign w:val="center"/>
          </w:tcPr>
          <w:p>
            <w:pPr>
              <w:pStyle w:val="TableContents"/>
              <w:bidi w:val="0"/>
              <w:spacing w:before="0" w:after="283"/>
              <w:jc w:val="left"/>
              <w:rPr/>
            </w:pPr>
            <w:r>
              <w:rPr/>
              <w:t> </w:t>
            </w:r>
            <w:bookmarkStart w:id="548" w:name="xdx_40E_eus-gaap--LesseeOperatingLeaseLi"/>
            <w:bookmarkEnd w:id="548"/>
          </w:p>
        </w:tc>
      </w:tr>
      <w:tr>
        <w:trPr/>
        <w:tc>
          <w:tcPr>
            <w:tcW w:w="3590" w:type="dxa"/>
            <w:tcBorders/>
            <w:shd w:fill="FFFFFF" w:val="clear"/>
            <w:vAlign w:val="center"/>
          </w:tcPr>
          <w:p>
            <w:pPr>
              <w:pStyle w:val="TableContents"/>
              <w:bidi w:val="0"/>
              <w:spacing w:before="0" w:after="283"/>
              <w:jc w:val="left"/>
              <w:rPr/>
            </w:pPr>
            <w:r>
              <w:rPr/>
              <w:t>Less imputed interest</w:t>
            </w:r>
          </w:p>
        </w:tc>
        <w:tc>
          <w:tcPr>
            <w:tcW w:w="60" w:type="dxa"/>
            <w:tcBorders/>
            <w:shd w:fill="FFFFFF" w:val="clear"/>
            <w:vAlign w:val="center"/>
          </w:tcPr>
          <w:p>
            <w:pPr>
              <w:pStyle w:val="TableContents"/>
              <w:bidi w:val="0"/>
              <w:spacing w:before="0" w:after="283"/>
              <w:jc w:val="left"/>
              <w:rPr/>
            </w:pPr>
            <w:r>
              <w:rPr/>
              <w:t> </w:t>
            </w:r>
          </w:p>
        </w:tc>
        <w:tc>
          <w:tcPr>
            <w:tcW w:w="3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54" w:type="dxa"/>
            <w:tcBorders>
              <w:bottom w:val="single" w:sz="12" w:space="0" w:color="000000"/>
            </w:tcBorders>
            <w:shd w:fill="FFFFFF" w:val="clear"/>
            <w:tcMar>
              <w:bottom w:w="28" w:type="dxa"/>
            </w:tcMar>
            <w:vAlign w:val="center"/>
          </w:tcPr>
          <w:p>
            <w:pPr>
              <w:pStyle w:val="TableContents"/>
              <w:bidi w:val="0"/>
              <w:spacing w:before="0" w:after="283"/>
              <w:jc w:val="right"/>
              <w:rPr/>
            </w:pPr>
            <w:r>
              <w:rPr/>
              <w:t>(1,431</w:t>
            </w:r>
          </w:p>
        </w:tc>
        <w:tc>
          <w:tcPr>
            <w:tcW w:w="110" w:type="dxa"/>
            <w:tcBorders/>
            <w:shd w:fill="FFFFFF" w:val="clear"/>
            <w:vAlign w:val="center"/>
          </w:tcPr>
          <w:p>
            <w:pPr>
              <w:pStyle w:val="TableContents"/>
              <w:bidi w:val="0"/>
              <w:spacing w:before="0" w:after="283"/>
              <w:jc w:val="left"/>
              <w:rPr/>
            </w:pPr>
            <w:r>
              <w:rPr/>
              <w:t>)</w:t>
            </w:r>
            <w:bookmarkStart w:id="549" w:name="xdx_403_eus-gaap--OperatingLeaseLiabilit"/>
            <w:bookmarkEnd w:id="549"/>
          </w:p>
        </w:tc>
      </w:tr>
      <w:tr>
        <w:trPr/>
        <w:tc>
          <w:tcPr>
            <w:tcW w:w="359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32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54" w:type="dxa"/>
            <w:tcBorders>
              <w:bottom w:val="double" w:sz="6" w:space="0" w:color="000000"/>
            </w:tcBorders>
            <w:shd w:fill="CCEEFF" w:val="clear"/>
            <w:tcMar>
              <w:bottom w:w="28" w:type="dxa"/>
            </w:tcMar>
            <w:vAlign w:val="center"/>
          </w:tcPr>
          <w:p>
            <w:pPr>
              <w:pStyle w:val="TableContents"/>
              <w:bidi w:val="0"/>
              <w:spacing w:before="0" w:after="283"/>
              <w:jc w:val="right"/>
              <w:rPr/>
            </w:pPr>
            <w:r>
              <w:rPr/>
              <w:t>2,690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50" w:name="xdx_8A0_zReme8ggZtDk"/>
      <w:bookmarkEnd w:id="550"/>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51" w:name="xdx_800_eus-gaap--AccountsPayableAndAccr"/>
      <w:bookmarkEnd w:id="551"/>
      <w:r>
        <w:rPr>
          <w:rFonts w:ascii="Times New Roman;Times;Serif" w:hAnsi="Times New Roman;Times;Serif"/>
          <w:b/>
          <w:i w:val="false"/>
          <w:caps w:val="false"/>
          <w:smallCaps w:val="false"/>
          <w:sz w:val="20"/>
        </w:rPr>
        <w:t xml:space="preserve">(10) </w:t>
      </w:r>
      <w:bookmarkStart w:id="552" w:name="xdx_823_zxrXkp7KpZ3c"/>
      <w:bookmarkEnd w:id="552"/>
      <w:r>
        <w:rPr>
          <w:rFonts w:ascii="Times New Roman;Times;Serif" w:hAnsi="Times New Roman;Times;Serif"/>
          <w:b/>
          <w:i w:val="false"/>
          <w:caps w:val="false"/>
          <w:smallCaps w:val="false"/>
          <w:sz w:val="20"/>
        </w:rPr>
        <w:t>Accrued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53" w:name="xdx_892_eus-gaap--ScheduleOfAccruedLiabi"/>
      <w:bookmarkEnd w:id="553"/>
      <w:r>
        <w:rPr>
          <w:rFonts w:ascii="Times New Roman;Times;Serif" w:hAnsi="Times New Roman;Times;Serif"/>
          <w:b w:val="false"/>
          <w:i w:val="false"/>
          <w:caps w:val="false"/>
          <w:smallCaps w:val="false"/>
          <w:sz w:val="20"/>
        </w:rPr>
        <w:t>Accrued expenses consisted of the following at January 31, 2024 and April 30, 2023:</w:t>
      </w:r>
    </w:p>
    <w:p>
      <w:pPr>
        <w:pStyle w:val="TextBody"/>
        <w:bidi w:val="0"/>
        <w:spacing w:before="0" w:after="0"/>
        <w:ind w:left="0" w:right="0" w:hanging="0"/>
        <w:jc w:val="both"/>
        <w:rPr>
          <w:caps w:val="false"/>
          <w:smallCaps w:val="false"/>
        </w:rPr>
      </w:pPr>
      <w:r>
        <w:rPr>
          <w:caps w:val="false"/>
          <w:smallCaps w:val="false"/>
        </w:rPr>
        <w:t> </w:t>
      </w:r>
      <w:bookmarkStart w:id="554" w:name="xdx_8BF_zQIF72kMIjj2"/>
      <w:bookmarkEnd w:id="554"/>
      <w:r>
        <w:rPr>
          <w:rFonts w:ascii="Times New Roman;Times;Serif" w:hAnsi="Times New Roman;Times;Serif"/>
          <w:b w:val="false"/>
          <w:i w:val="false"/>
          <w:caps w:val="false"/>
          <w:smallCaps w:val="false"/>
          <w:sz w:val="20"/>
        </w:rPr>
        <w:t>Schedule of Accrued Expenses</w:t>
      </w:r>
    </w:p>
    <w:tbl>
      <w:tblPr>
        <w:tblW w:w="6360" w:type="dxa"/>
        <w:jc w:val="left"/>
        <w:tblInd w:w="0" w:type="dxa"/>
        <w:tblLayout w:type="fixed"/>
        <w:tblCellMar>
          <w:top w:w="0" w:type="dxa"/>
          <w:left w:w="0" w:type="dxa"/>
          <w:bottom w:w="0" w:type="dxa"/>
          <w:right w:w="0" w:type="dxa"/>
        </w:tblCellMar>
      </w:tblPr>
      <w:tblGrid>
        <w:gridCol w:w="2870"/>
        <w:gridCol w:w="60"/>
        <w:gridCol w:w="355"/>
        <w:gridCol w:w="1420"/>
        <w:gridCol w:w="60"/>
        <w:gridCol w:w="60"/>
        <w:gridCol w:w="292"/>
        <w:gridCol w:w="1168"/>
        <w:gridCol w:w="75"/>
      </w:tblGrid>
      <w:tr>
        <w:trPr/>
        <w:tc>
          <w:tcPr>
            <w:tcW w:w="28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555" w:name="xdx_49C_20240131_zgUzx07rfQm3"/>
            <w:bookmarkEnd w:id="555"/>
          </w:p>
        </w:tc>
        <w:tc>
          <w:tcPr>
            <w:tcW w:w="17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January 31, 2024</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556" w:name="xdx_497_20230430_zPWjnC02sSM8"/>
            <w:bookmarkEnd w:id="556"/>
          </w:p>
        </w:tc>
        <w:tc>
          <w:tcPr>
            <w:tcW w:w="14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April 30, 2023</w:t>
            </w:r>
          </w:p>
        </w:tc>
        <w:tc>
          <w:tcPr>
            <w:tcW w:w="75" w:type="dxa"/>
            <w:tcBorders/>
            <w:vAlign w:val="center"/>
          </w:tcPr>
          <w:p>
            <w:pPr>
              <w:pStyle w:val="TableContents"/>
              <w:bidi w:val="0"/>
              <w:spacing w:before="0" w:after="283"/>
              <w:jc w:val="center"/>
              <w:rPr/>
            </w:pPr>
            <w:r>
              <w:rPr/>
              <w:t> </w:t>
            </w:r>
          </w:p>
        </w:tc>
      </w:tr>
      <w:tr>
        <w:trPr/>
        <w:tc>
          <w:tcPr>
            <w:tcW w:w="28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55" w:type="dxa"/>
            <w:gridSpan w:val="6"/>
            <w:tcBorders/>
            <w:vAlign w:val="center"/>
          </w:tcPr>
          <w:p>
            <w:pPr>
              <w:pStyle w:val="TableContents"/>
              <w:bidi w:val="0"/>
              <w:spacing w:before="0" w:after="283"/>
              <w:jc w:val="center"/>
              <w:rPr/>
            </w:pPr>
            <w:r>
              <w:rPr/>
              <w:t>(in thousands)</w:t>
            </w:r>
          </w:p>
        </w:tc>
        <w:tc>
          <w:tcPr>
            <w:tcW w:w="75" w:type="dxa"/>
            <w:tcBorders/>
            <w:vAlign w:val="center"/>
          </w:tcPr>
          <w:p>
            <w:pPr>
              <w:pStyle w:val="TableContents"/>
              <w:bidi w:val="0"/>
              <w:spacing w:before="0" w:after="283"/>
              <w:jc w:val="left"/>
              <w:rPr/>
            </w:pPr>
            <w:r>
              <w:rPr/>
              <w:t> </w:t>
            </w:r>
            <w:bookmarkStart w:id="557" w:name="xdx_406_eus-gaap--ConstructionPayableCur"/>
            <w:bookmarkEnd w:id="557"/>
          </w:p>
        </w:tc>
      </w:tr>
      <w:tr>
        <w:trPr/>
        <w:tc>
          <w:tcPr>
            <w:tcW w:w="2870" w:type="dxa"/>
            <w:tcBorders/>
            <w:shd w:fill="CCEEFF" w:val="clear"/>
            <w:vAlign w:val="center"/>
          </w:tcPr>
          <w:p>
            <w:pPr>
              <w:pStyle w:val="TableContents"/>
              <w:bidi w:val="0"/>
              <w:spacing w:before="0" w:after="283"/>
              <w:jc w:val="left"/>
              <w:rPr/>
            </w:pPr>
            <w:r>
              <w:rPr/>
              <w:t>Project costs</w:t>
            </w:r>
          </w:p>
        </w:tc>
        <w:tc>
          <w:tcPr>
            <w:tcW w:w="60"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pPr>
            <w:r>
              <w:rPr/>
              <w:t>$</w:t>
            </w:r>
          </w:p>
        </w:tc>
        <w:tc>
          <w:tcPr>
            <w:tcW w:w="1420" w:type="dxa"/>
            <w:tcBorders/>
            <w:shd w:fill="CCEEFF" w:val="clear"/>
            <w:vAlign w:val="center"/>
          </w:tcPr>
          <w:p>
            <w:pPr>
              <w:pStyle w:val="TableContents"/>
              <w:bidi w:val="0"/>
              <w:spacing w:before="0" w:after="283"/>
              <w:jc w:val="right"/>
              <w:rPr/>
            </w:pPr>
            <w:r>
              <w:rPr/>
              <w:t>135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181</w:t>
            </w:r>
          </w:p>
        </w:tc>
        <w:tc>
          <w:tcPr>
            <w:tcW w:w="75" w:type="dxa"/>
            <w:tcBorders/>
            <w:shd w:fill="CCEEFF" w:val="clear"/>
            <w:vAlign w:val="center"/>
          </w:tcPr>
          <w:p>
            <w:pPr>
              <w:pStyle w:val="TableContents"/>
              <w:bidi w:val="0"/>
              <w:spacing w:before="0" w:after="283"/>
              <w:jc w:val="left"/>
              <w:rPr/>
            </w:pPr>
            <w:r>
              <w:rPr/>
              <w:t> </w:t>
            </w:r>
            <w:bookmarkStart w:id="558" w:name="xdx_40E_eus-gaap--OtherEmployeeRelatedLi"/>
            <w:bookmarkEnd w:id="558"/>
          </w:p>
        </w:tc>
      </w:tr>
      <w:tr>
        <w:trPr/>
        <w:tc>
          <w:tcPr>
            <w:tcW w:w="2870" w:type="dxa"/>
            <w:tcBorders/>
            <w:shd w:fill="FFFFFF" w:val="clear"/>
            <w:vAlign w:val="center"/>
          </w:tcPr>
          <w:p>
            <w:pPr>
              <w:pStyle w:val="TableContents"/>
              <w:bidi w:val="0"/>
              <w:spacing w:before="0" w:after="283"/>
              <w:jc w:val="left"/>
              <w:rPr/>
            </w:pPr>
            <w:r>
              <w:rPr/>
              <w:t>Employee incentive payments</w:t>
            </w:r>
          </w:p>
        </w:tc>
        <w:tc>
          <w:tcPr>
            <w:tcW w:w="60"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c>
          <w:tcPr>
            <w:tcW w:w="1420" w:type="dxa"/>
            <w:tcBorders/>
            <w:shd w:fill="FFFFFF" w:val="clear"/>
            <w:vAlign w:val="center"/>
          </w:tcPr>
          <w:p>
            <w:pPr>
              <w:pStyle w:val="TableContents"/>
              <w:bidi w:val="0"/>
              <w:spacing w:before="0" w:after="283"/>
              <w:jc w:val="right"/>
              <w:rPr/>
            </w:pPr>
            <w:r>
              <w:rPr/>
              <w:t>1,137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1,948</w:t>
            </w:r>
          </w:p>
        </w:tc>
        <w:tc>
          <w:tcPr>
            <w:tcW w:w="75" w:type="dxa"/>
            <w:tcBorders/>
            <w:shd w:fill="FFFFFF" w:val="clear"/>
            <w:vAlign w:val="center"/>
          </w:tcPr>
          <w:p>
            <w:pPr>
              <w:pStyle w:val="TableContents"/>
              <w:bidi w:val="0"/>
              <w:spacing w:before="0" w:after="283"/>
              <w:jc w:val="left"/>
              <w:rPr/>
            </w:pPr>
            <w:r>
              <w:rPr/>
              <w:t> </w:t>
            </w:r>
            <w:bookmarkStart w:id="559" w:name="xdx_408_eus-gaap--AccruedSalariesCurrent"/>
            <w:bookmarkEnd w:id="559"/>
          </w:p>
        </w:tc>
      </w:tr>
      <w:tr>
        <w:trPr/>
        <w:tc>
          <w:tcPr>
            <w:tcW w:w="2870" w:type="dxa"/>
            <w:tcBorders/>
            <w:shd w:fill="CCEEFF" w:val="clear"/>
            <w:vAlign w:val="center"/>
          </w:tcPr>
          <w:p>
            <w:pPr>
              <w:pStyle w:val="TableContents"/>
              <w:bidi w:val="0"/>
              <w:spacing w:before="0" w:after="283"/>
              <w:jc w:val="left"/>
              <w:rPr/>
            </w:pPr>
            <w:r>
              <w:rPr/>
              <w:t>Accrued salary and benefits</w:t>
            </w:r>
          </w:p>
        </w:tc>
        <w:tc>
          <w:tcPr>
            <w:tcW w:w="60"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pPr>
            <w:r>
              <w:rPr/>
              <w:t> </w:t>
            </w:r>
          </w:p>
        </w:tc>
        <w:tc>
          <w:tcPr>
            <w:tcW w:w="1420" w:type="dxa"/>
            <w:tcBorders/>
            <w:shd w:fill="CCEEFF" w:val="clear"/>
            <w:vAlign w:val="center"/>
          </w:tcPr>
          <w:p>
            <w:pPr>
              <w:pStyle w:val="TableContents"/>
              <w:bidi w:val="0"/>
              <w:spacing w:before="0" w:after="283"/>
              <w:jc w:val="right"/>
              <w:rPr/>
            </w:pPr>
            <w:r>
              <w:rPr/>
              <w:t>287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52</w:t>
            </w:r>
          </w:p>
        </w:tc>
        <w:tc>
          <w:tcPr>
            <w:tcW w:w="75" w:type="dxa"/>
            <w:tcBorders/>
            <w:shd w:fill="CCEEFF" w:val="clear"/>
            <w:vAlign w:val="center"/>
          </w:tcPr>
          <w:p>
            <w:pPr>
              <w:pStyle w:val="TableContents"/>
              <w:bidi w:val="0"/>
              <w:spacing w:before="0" w:after="283"/>
              <w:jc w:val="left"/>
              <w:rPr/>
            </w:pPr>
            <w:r>
              <w:rPr/>
              <w:t> </w:t>
            </w:r>
            <w:bookmarkStart w:id="560" w:name="xdx_40F_eus-gaap--AccruedProfessionalFee"/>
            <w:bookmarkEnd w:id="560"/>
          </w:p>
        </w:tc>
      </w:tr>
      <w:tr>
        <w:trPr/>
        <w:tc>
          <w:tcPr>
            <w:tcW w:w="2870" w:type="dxa"/>
            <w:tcBorders/>
            <w:shd w:fill="FFFFFF" w:val="clear"/>
            <w:vAlign w:val="center"/>
          </w:tcPr>
          <w:p>
            <w:pPr>
              <w:pStyle w:val="TableContents"/>
              <w:bidi w:val="0"/>
              <w:spacing w:before="0" w:after="283"/>
              <w:jc w:val="left"/>
              <w:rPr/>
            </w:pPr>
            <w:r>
              <w:rPr/>
              <w:t>Professional fees</w:t>
            </w:r>
          </w:p>
        </w:tc>
        <w:tc>
          <w:tcPr>
            <w:tcW w:w="60"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c>
          <w:tcPr>
            <w:tcW w:w="1420" w:type="dxa"/>
            <w:tcBorders/>
            <w:shd w:fill="FFFFFF" w:val="clear"/>
            <w:vAlign w:val="center"/>
          </w:tcPr>
          <w:p>
            <w:pPr>
              <w:pStyle w:val="TableContents"/>
              <w:bidi w:val="0"/>
              <w:spacing w:before="0" w:after="283"/>
              <w:jc w:val="right"/>
              <w:rPr/>
            </w:pPr>
            <w:r>
              <w:rPr/>
              <w:t>917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561" w:name="xdx_409_ecustom--InvestorRelationsCurren"/>
            <w:bookmarkEnd w:id="561"/>
          </w:p>
        </w:tc>
      </w:tr>
      <w:tr>
        <w:trPr/>
        <w:tc>
          <w:tcPr>
            <w:tcW w:w="2870" w:type="dxa"/>
            <w:tcBorders/>
            <w:shd w:fill="CCEEFF" w:val="clear"/>
            <w:vAlign w:val="center"/>
          </w:tcPr>
          <w:p>
            <w:pPr>
              <w:pStyle w:val="TableContents"/>
              <w:bidi w:val="0"/>
              <w:spacing w:before="0" w:after="283"/>
              <w:jc w:val="left"/>
              <w:rPr/>
            </w:pPr>
            <w:r>
              <w:rPr/>
              <w:t>Investor relations</w:t>
            </w:r>
          </w:p>
        </w:tc>
        <w:tc>
          <w:tcPr>
            <w:tcW w:w="60"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pPr>
            <w:r>
              <w:rPr/>
              <w:t> </w:t>
            </w:r>
          </w:p>
        </w:tc>
        <w:tc>
          <w:tcPr>
            <w:tcW w:w="1420" w:type="dxa"/>
            <w:tcBorders/>
            <w:shd w:fill="CCEEFF" w:val="clear"/>
            <w:vAlign w:val="center"/>
          </w:tcPr>
          <w:p>
            <w:pPr>
              <w:pStyle w:val="TableContents"/>
              <w:bidi w:val="0"/>
              <w:spacing w:before="0" w:after="283"/>
              <w:jc w:val="right"/>
              <w:rPr/>
            </w:pPr>
            <w:r>
              <w:rPr/>
              <w:t>183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562" w:name="xdx_40D_eus-gaap--OtherAccruedLiabilitie"/>
            <w:bookmarkEnd w:id="562"/>
          </w:p>
        </w:tc>
      </w:tr>
      <w:tr>
        <w:trPr/>
        <w:tc>
          <w:tcPr>
            <w:tcW w:w="2870"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3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20" w:type="dxa"/>
            <w:tcBorders>
              <w:bottom w:val="single" w:sz="12" w:space="0" w:color="000000"/>
            </w:tcBorders>
            <w:shd w:fill="FFFFFF" w:val="clear"/>
            <w:tcMar>
              <w:bottom w:w="28" w:type="dxa"/>
            </w:tcMar>
            <w:vAlign w:val="center"/>
          </w:tcPr>
          <w:p>
            <w:pPr>
              <w:pStyle w:val="TableContents"/>
              <w:bidi w:val="0"/>
              <w:spacing w:before="0" w:after="283"/>
              <w:jc w:val="right"/>
              <w:rPr/>
            </w:pPr>
            <w:r>
              <w:rPr/>
              <w:t>332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8" w:type="dxa"/>
            <w:tcBorders>
              <w:bottom w:val="single" w:sz="12" w:space="0" w:color="000000"/>
            </w:tcBorders>
            <w:shd w:fill="FFFFFF" w:val="clear"/>
            <w:tcMar>
              <w:bottom w:w="28" w:type="dxa"/>
            </w:tcMar>
            <w:vAlign w:val="center"/>
          </w:tcPr>
          <w:p>
            <w:pPr>
              <w:pStyle w:val="TableContents"/>
              <w:bidi w:val="0"/>
              <w:spacing w:before="0" w:after="283"/>
              <w:jc w:val="right"/>
              <w:rPr/>
            </w:pPr>
            <w:r>
              <w:rPr/>
              <w:t>165</w:t>
            </w:r>
          </w:p>
        </w:tc>
        <w:tc>
          <w:tcPr>
            <w:tcW w:w="75" w:type="dxa"/>
            <w:tcBorders/>
            <w:shd w:fill="FFFFFF" w:val="clear"/>
            <w:vAlign w:val="center"/>
          </w:tcPr>
          <w:p>
            <w:pPr>
              <w:pStyle w:val="TableContents"/>
              <w:bidi w:val="0"/>
              <w:spacing w:before="0" w:after="283"/>
              <w:jc w:val="left"/>
              <w:rPr/>
            </w:pPr>
            <w:r>
              <w:rPr/>
              <w:t> </w:t>
            </w:r>
            <w:bookmarkStart w:id="563" w:name="xdx_409_eus-gaap--AccruedLiabilitiesCurr"/>
            <w:bookmarkEnd w:id="563"/>
          </w:p>
        </w:tc>
      </w:tr>
      <w:tr>
        <w:trPr/>
        <w:tc>
          <w:tcPr>
            <w:tcW w:w="28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expenses total</w:t>
            </w:r>
          </w:p>
        </w:tc>
        <w:tc>
          <w:tcPr>
            <w:tcW w:w="60" w:type="dxa"/>
            <w:tcBorders/>
            <w:shd w:fill="CCEEFF" w:val="clear"/>
            <w:vAlign w:val="center"/>
          </w:tcPr>
          <w:p>
            <w:pPr>
              <w:pStyle w:val="TableContents"/>
              <w:bidi w:val="0"/>
              <w:spacing w:before="0" w:after="283"/>
              <w:jc w:val="left"/>
              <w:rPr/>
            </w:pPr>
            <w:r>
              <w:rPr/>
              <w:t> </w:t>
            </w:r>
          </w:p>
        </w:tc>
        <w:tc>
          <w:tcPr>
            <w:tcW w:w="35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20" w:type="dxa"/>
            <w:tcBorders>
              <w:bottom w:val="double" w:sz="6" w:space="0" w:color="000000"/>
            </w:tcBorders>
            <w:shd w:fill="CCEEFF" w:val="clear"/>
            <w:tcMar>
              <w:bottom w:w="28" w:type="dxa"/>
            </w:tcMar>
            <w:vAlign w:val="center"/>
          </w:tcPr>
          <w:p>
            <w:pPr>
              <w:pStyle w:val="TableContents"/>
              <w:bidi w:val="0"/>
              <w:spacing w:before="0" w:after="283"/>
              <w:jc w:val="right"/>
              <w:rPr/>
            </w:pPr>
            <w:r>
              <w:rPr/>
              <w:t>2,991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8" w:type="dxa"/>
            <w:tcBorders>
              <w:bottom w:val="double" w:sz="6" w:space="0" w:color="000000"/>
            </w:tcBorders>
            <w:shd w:fill="CCEEFF" w:val="clear"/>
            <w:tcMar>
              <w:bottom w:w="28" w:type="dxa"/>
            </w:tcMar>
            <w:vAlign w:val="center"/>
          </w:tcPr>
          <w:p>
            <w:pPr>
              <w:pStyle w:val="TableContents"/>
              <w:bidi w:val="0"/>
              <w:spacing w:before="0" w:after="283"/>
              <w:jc w:val="right"/>
              <w:rPr/>
            </w:pPr>
            <w:r>
              <w:rPr/>
              <w:t>2,346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64" w:name="xdx_8A7_zHAHAWanymPd"/>
      <w:bookmarkEnd w:id="56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Professional fees at January 31, 2024 consist primarily of legal fees associated with the Paragon litigation (see Footnote 14).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65" w:name="xdx_807_ecustom--WarrantDisclosureTextBl"/>
      <w:bookmarkEnd w:id="565"/>
      <w:r>
        <w:rPr>
          <w:rFonts w:ascii="Times New Roman;Times;Serif" w:hAnsi="Times New Roman;Times;Serif"/>
          <w:b/>
          <w:i w:val="false"/>
          <w:caps w:val="false"/>
          <w:smallCaps w:val="false"/>
          <w:sz w:val="20"/>
        </w:rPr>
        <w:t xml:space="preserve">(11) </w:t>
      </w:r>
      <w:bookmarkStart w:id="566" w:name="xdx_82A_zRRT6mJqZMQ1"/>
      <w:bookmarkEnd w:id="566"/>
      <w:r>
        <w:rPr>
          <w:rFonts w:ascii="Times New Roman;Times;Serif" w:hAnsi="Times New Roman;Times;Serif"/>
          <w:b/>
          <w:i w:val="false"/>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Classified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underwritten public offering from April 2019 included the issuance of common stock warrants to purchase up to </w:t>
      </w:r>
      <w:bookmarkStart w:id="567" w:name="xdx_90C_eus-gaap--ClassOfWarrantOrRightN"/>
      <w:bookmarkEnd w:id="567"/>
      <w:r>
        <w:rPr>
          <w:rFonts w:ascii="Times New Roman;Times;Serif" w:hAnsi="Times New Roman;Times;Serif"/>
          <w:b w:val="false"/>
          <w:i w:val="false"/>
          <w:caps w:val="false"/>
          <w:smallCaps w:val="false"/>
          <w:sz w:val="20"/>
        </w:rPr>
        <w:t>4,927,680 shares of common stock that have an exercise price of $</w:t>
      </w:r>
      <w:bookmarkStart w:id="568" w:name="xdx_90C_eus-gaap--ClassOfWarrantOrRightE"/>
      <w:bookmarkEnd w:id="568"/>
      <w:r>
        <w:rPr>
          <w:rFonts w:ascii="Times New Roman;Times;Serif" w:hAnsi="Times New Roman;Times;Serif"/>
          <w:b w:val="false"/>
          <w:i w:val="false"/>
          <w:caps w:val="false"/>
          <w:smallCaps w:val="false"/>
          <w:sz w:val="20"/>
        </w:rPr>
        <w:t xml:space="preserve">3.85 per share and expire </w:t>
      </w:r>
      <w:bookmarkStart w:id="569" w:name="xdx_906_eus-gaap--WarrantsAndRightsOutst"/>
      <w:bookmarkEnd w:id="569"/>
      <w:r>
        <w:rPr>
          <w:rFonts w:ascii="Times New Roman;Times;Serif" w:hAnsi="Times New Roman;Times;Serif"/>
          <w:b w:val="false"/>
          <w:i w:val="false"/>
          <w:caps w:val="false"/>
          <w:smallCaps w:val="false"/>
          <w:sz w:val="20"/>
        </w:rPr>
        <w:t xml:space="preserve">five years from the issuance date. As of January 31, 2024, common warrants to purchase </w:t>
      </w:r>
      <w:bookmarkStart w:id="570" w:name="xdx_90D_ecustom--ClassOfWarrantOrRightNu"/>
      <w:bookmarkEnd w:id="570"/>
      <w:r>
        <w:rPr>
          <w:rFonts w:ascii="Times New Roman;Times;Serif" w:hAnsi="Times New Roman;Times;Serif"/>
          <w:b w:val="false"/>
          <w:i w:val="false"/>
          <w:caps w:val="false"/>
          <w:smallCaps w:val="false"/>
          <w:sz w:val="20"/>
        </w:rPr>
        <w:t>732,500 shares of the common stock had been exercised.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71" w:name="xdx_80E_eus-gaap--DisclosureOfCompensati"/>
      <w:bookmarkEnd w:id="571"/>
      <w:r>
        <w:rPr>
          <w:rFonts w:ascii="Times New Roman;Times;Serif" w:hAnsi="Times New Roman;Times;Serif"/>
          <w:b/>
          <w:i w:val="false"/>
          <w:caps w:val="false"/>
          <w:smallCaps w:val="false"/>
          <w:sz w:val="20"/>
        </w:rPr>
        <w:t xml:space="preserve">(12) </w:t>
      </w:r>
      <w:bookmarkStart w:id="572" w:name="xdx_822_zEK1KuSPoH79"/>
      <w:bookmarkEnd w:id="572"/>
      <w:r>
        <w:rPr>
          <w:rFonts w:ascii="Times New Roman;Times;Serif" w:hAnsi="Times New Roman;Times;Serif"/>
          <w:b/>
          <w:i w:val="false"/>
          <w:caps w:val="false"/>
          <w:smallCaps w:val="false"/>
          <w:sz w:val="20"/>
        </w:rPr>
        <w:t>Share-Based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2015, upon approval by the Company’s shareholders, the Company’s 2015 Omnibus Incentive Plan (the “2015 Plan”) became effective. A total of </w:t>
      </w:r>
      <w:bookmarkStart w:id="573" w:name="xdx_90E_eus-gaap--ShareBasedCompensation"/>
      <w:bookmarkEnd w:id="573"/>
      <w:r>
        <w:rPr>
          <w:rFonts w:ascii="Times New Roman;Times;Serif" w:hAnsi="Times New Roman;Times;Serif"/>
          <w:b w:val="false"/>
          <w:i w:val="false"/>
          <w:caps w:val="false"/>
          <w:smallCaps w:val="false"/>
          <w:sz w:val="20"/>
        </w:rPr>
        <w:t xml:space="preserve">1,332,036 shares were authorized for issuance under the 2015 Plan, including shares available for awards under the 2006 Stock Incentive Plan remaining at the time that plan terminated, or that were subject to awards under the 2006 Stock Incentive Plan that thereafter terminated by reason of expiration, forfeiture, cancellation or otherwise. If any award under the 2006 Stock Incentive Plan or 2015 Plan expires, is cancelled, terminates unexercised or is forfeited, those shares become again available for grant under the 2015 Plan. The 2015 Plan will terminate ten years after its effective date, in October 2025, but is subject to earlier termination as provided in the 2015 Plan. At subsequent shareholder meetings, including in January 2023, the shareholders approved an aggregate increase to the 2015 Plan of </w:t>
      </w:r>
      <w:bookmarkStart w:id="574" w:name="xdx_906_eus-gaap--ShareBasedCompensation"/>
      <w:bookmarkEnd w:id="574"/>
      <w:r>
        <w:rPr>
          <w:rFonts w:ascii="Times New Roman;Times;Serif" w:hAnsi="Times New Roman;Times;Serif"/>
          <w:b w:val="false"/>
          <w:i w:val="false"/>
          <w:caps w:val="false"/>
          <w:smallCaps w:val="false"/>
          <w:sz w:val="20"/>
        </w:rPr>
        <w:t xml:space="preserve">3,050,000 shares resulting in total shares authorized for issuance of </w:t>
      </w:r>
      <w:bookmarkStart w:id="575" w:name="xdx_903_eus-gaap--ShareBasedCompensation"/>
      <w:bookmarkEnd w:id="575"/>
      <w:r>
        <w:rPr>
          <w:rFonts w:ascii="Times New Roman;Times;Serif" w:hAnsi="Times New Roman;Times;Serif"/>
          <w:b w:val="false"/>
          <w:i w:val="false"/>
          <w:caps w:val="false"/>
          <w:smallCaps w:val="false"/>
          <w:sz w:val="20"/>
        </w:rPr>
        <w:t xml:space="preserve">4,382,036 as of January 2023. As of January 31, 2024, the Company had approximately </w:t>
      </w:r>
      <w:bookmarkStart w:id="576" w:name="xdx_90E_eus-gaap--CommonStockCapitalShar"/>
      <w:bookmarkEnd w:id="576"/>
      <w:r>
        <w:rPr>
          <w:rFonts w:ascii="Times New Roman;Times;Serif" w:hAnsi="Times New Roman;Times;Serif"/>
          <w:b w:val="false"/>
          <w:i w:val="false"/>
          <w:caps w:val="false"/>
          <w:smallCaps w:val="false"/>
          <w:sz w:val="20"/>
        </w:rPr>
        <w:t>1,167,000 shares available for future issuance under the 2015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18, 2018, the Company’s Board of Directors adopted the Company’s Employment Inducement Incentive Award Plan (the “2018 Inducement Plan”) pursuant to which the Company reserved </w:t>
      </w:r>
      <w:bookmarkStart w:id="577" w:name="xdx_902_eus-gaap--CommonStockCapitalShar"/>
      <w:bookmarkEnd w:id="577"/>
      <w:r>
        <w:rPr>
          <w:rFonts w:ascii="Times New Roman;Times;Serif" w:hAnsi="Times New Roman;Times;Serif"/>
          <w:b w:val="false"/>
          <w:i w:val="false"/>
          <w:caps w:val="false"/>
          <w:smallCaps w:val="false"/>
          <w:sz w:val="20"/>
        </w:rPr>
        <w:t xml:space="preserve">25,000 shares of common stock for issuance under the Inducement Plan in accordance with Rule 711(a) of the NYSE American Company Guide. On February 9, 2022, the 2018 Inducement Plan was amended to increase the authorized shares by </w:t>
      </w:r>
      <w:bookmarkStart w:id="578" w:name="xdx_904_eus-gaap--ShareBasedCompensation"/>
      <w:bookmarkEnd w:id="578"/>
      <w:r>
        <w:rPr>
          <w:rFonts w:ascii="Times New Roman;Times;Serif" w:hAnsi="Times New Roman;Times;Serif"/>
          <w:b w:val="false"/>
          <w:i w:val="false"/>
          <w:caps w:val="false"/>
          <w:smallCaps w:val="false"/>
          <w:sz w:val="20"/>
        </w:rPr>
        <w:t xml:space="preserve">250,000 to </w:t>
      </w:r>
      <w:bookmarkStart w:id="579" w:name="xdx_90C_eus-gaap--ShareBasedCompensation"/>
      <w:bookmarkEnd w:id="579"/>
      <w:r>
        <w:rPr>
          <w:rFonts w:ascii="Times New Roman;Times;Serif" w:hAnsi="Times New Roman;Times;Serif"/>
          <w:b w:val="false"/>
          <w:i w:val="false"/>
          <w:caps w:val="false"/>
          <w:smallCaps w:val="false"/>
          <w:sz w:val="20"/>
        </w:rPr>
        <w:t xml:space="preserve">275,000. As of January 31, 2024, there were approximately </w:t>
      </w:r>
      <w:bookmarkStart w:id="580" w:name="xdx_903_eus-gaap--ShareBasedCompensation"/>
      <w:bookmarkEnd w:id="580"/>
      <w:r>
        <w:rPr>
          <w:rFonts w:ascii="Times New Roman;Times;Serif" w:hAnsi="Times New Roman;Times;Serif"/>
          <w:b w:val="false"/>
          <w:i w:val="false"/>
          <w:caps w:val="false"/>
          <w:smallCaps w:val="false"/>
          <w:sz w:val="20"/>
        </w:rPr>
        <w:t>111,000 shares available for grant under the 2018 Inducement Plan. The 2015 Plan and the 2018 Inducement Plan together comprise the “Stock Incentive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estimates the fair value of each stock option award granted with service-based vesting requirements, using the Black-Scholes option pricing model, assuming no dividends, and using weighted average valuation assumptions. The risk-free rate is based on the U.S. Treasury yield curve in effect at the time of grant commensurate with the expected life of the award. The expected life (estimated period of time outstanding) of the stock options granted was estimated using the “simplified” method as permitted by the SEC’s Staff Accounting Bulletin No. 110, </w:t>
      </w:r>
      <w:r>
        <w:rPr>
          <w:rFonts w:ascii="Times New Roman;Times;Serif" w:hAnsi="Times New Roman;Times;Serif"/>
          <w:b w:val="false"/>
          <w:i/>
          <w:caps w:val="false"/>
          <w:smallCaps w:val="false"/>
          <w:sz w:val="20"/>
        </w:rPr>
        <w:t>Share-Based Payment.</w:t>
      </w:r>
      <w:r>
        <w:rPr>
          <w:rFonts w:ascii="Times New Roman;Times;Serif" w:hAnsi="Times New Roman;Times;Serif"/>
          <w:b w:val="false"/>
          <w:i w:val="false"/>
          <w:caps w:val="false"/>
          <w:smallCaps w:val="false"/>
          <w:sz w:val="20"/>
        </w:rPr>
        <w:t xml:space="preserve"> Expected volatility is based on the Company’s historical volatility over the expected life of the stock option granted. The Company did not grant any stock options during the three and nine months ended January 31,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81" w:name="xdx_898_eus-gaap--ScheduleOfShareBasedCo"/>
      <w:bookmarkEnd w:id="581"/>
      <w:r>
        <w:rPr>
          <w:rFonts w:ascii="Times New Roman;Times;Serif" w:hAnsi="Times New Roman;Times;Serif"/>
          <w:b w:val="false"/>
          <w:i w:val="false"/>
          <w:caps w:val="false"/>
          <w:smallCaps w:val="false"/>
          <w:sz w:val="20"/>
        </w:rPr>
        <w:t>A summary of stock options under the Stock Incentive Plans is detailed in the following table.</w:t>
      </w:r>
    </w:p>
    <w:p>
      <w:pPr>
        <w:pStyle w:val="TextBody"/>
        <w:bidi w:val="0"/>
        <w:spacing w:before="0" w:after="0"/>
        <w:ind w:left="0" w:right="0" w:hanging="0"/>
        <w:jc w:val="both"/>
        <w:rPr>
          <w:caps w:val="false"/>
          <w:smallCaps w:val="false"/>
        </w:rPr>
      </w:pPr>
      <w:r>
        <w:rPr>
          <w:caps w:val="false"/>
          <w:smallCaps w:val="false"/>
        </w:rPr>
        <w:t> </w:t>
      </w:r>
      <w:bookmarkStart w:id="582" w:name="xdx_8B6_zdTbnrBBs1nb"/>
      <w:bookmarkEnd w:id="582"/>
      <w:r>
        <w:rPr>
          <w:rFonts w:ascii="Times New Roman;Times;Serif" w:hAnsi="Times New Roman;Times;Serif"/>
          <w:b w:val="false"/>
          <w:i w:val="false"/>
          <w:caps w:val="false"/>
          <w:smallCaps w:val="false"/>
          <w:sz w:val="20"/>
        </w:rPr>
        <w:t>Schedule of Stock Option Activity </w:t>
      </w:r>
    </w:p>
    <w:tbl>
      <w:tblPr>
        <w:tblW w:w="9337" w:type="dxa"/>
        <w:jc w:val="left"/>
        <w:tblInd w:w="0" w:type="dxa"/>
        <w:tblLayout w:type="fixed"/>
        <w:tblCellMar>
          <w:top w:w="0" w:type="dxa"/>
          <w:left w:w="0" w:type="dxa"/>
          <w:bottom w:w="0" w:type="dxa"/>
          <w:right w:w="0" w:type="dxa"/>
        </w:tblCellMar>
      </w:tblPr>
      <w:tblGrid>
        <w:gridCol w:w="3395"/>
        <w:gridCol w:w="60"/>
        <w:gridCol w:w="115"/>
        <w:gridCol w:w="1914"/>
        <w:gridCol w:w="95"/>
        <w:gridCol w:w="60"/>
        <w:gridCol w:w="460"/>
        <w:gridCol w:w="1449"/>
        <w:gridCol w:w="60"/>
        <w:gridCol w:w="60"/>
        <w:gridCol w:w="251"/>
        <w:gridCol w:w="1343"/>
        <w:gridCol w:w="75"/>
      </w:tblGrid>
      <w:tr>
        <w:trPr/>
        <w:tc>
          <w:tcPr>
            <w:tcW w:w="33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0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br/>
              <w:t>Underlying Options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 Average</w:t>
              <w:br/>
              <w:t>Exercise Price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94"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Remaining</w:t>
              <w:br/>
              <w:t>Contractual Term</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Years)</w:t>
            </w:r>
          </w:p>
        </w:tc>
        <w:tc>
          <w:tcPr>
            <w:tcW w:w="75" w:type="dxa"/>
            <w:tcBorders/>
            <w:vAlign w:val="center"/>
          </w:tcPr>
          <w:p>
            <w:pPr>
              <w:pStyle w:val="TableContents"/>
              <w:bidi w:val="0"/>
              <w:spacing w:before="0" w:after="283"/>
              <w:jc w:val="center"/>
              <w:rPr/>
            </w:pPr>
            <w:r>
              <w:rPr/>
              <w:t> </w:t>
            </w:r>
          </w:p>
        </w:tc>
      </w:tr>
      <w:tr>
        <w:trPr/>
        <w:tc>
          <w:tcPr>
            <w:tcW w:w="3395" w:type="dxa"/>
            <w:tcBorders/>
            <w:shd w:fill="CCEEFF" w:val="clear"/>
            <w:vAlign w:val="center"/>
          </w:tcPr>
          <w:p>
            <w:pPr>
              <w:pStyle w:val="TableContents"/>
              <w:bidi w:val="0"/>
              <w:spacing w:before="0" w:after="283"/>
              <w:jc w:val="left"/>
              <w:rPr/>
            </w:pPr>
            <w:r>
              <w:rPr/>
              <w:t>Outstanding as of April 30, 2023</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bookmarkStart w:id="583" w:name="xdx_98D_eus-gaap--ShareBasedCompensation"/>
            <w:bookmarkEnd w:id="583"/>
          </w:p>
        </w:tc>
        <w:tc>
          <w:tcPr>
            <w:tcW w:w="1914" w:type="dxa"/>
            <w:tcBorders/>
            <w:shd w:fill="CCEEFF" w:val="clear"/>
            <w:vAlign w:val="center"/>
          </w:tcPr>
          <w:p>
            <w:pPr>
              <w:pStyle w:val="TableContents"/>
              <w:bidi w:val="0"/>
              <w:spacing w:before="0" w:after="283"/>
              <w:jc w:val="right"/>
              <w:rPr/>
            </w:pPr>
            <w:r>
              <w:rPr/>
              <w:t>1,529,185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left"/>
              <w:rPr/>
            </w:pPr>
            <w:r>
              <w:rPr/>
              <w:t>$</w:t>
            </w:r>
            <w:bookmarkStart w:id="584" w:name="xdx_98D_eus-gaap--ShareBasedCompensation"/>
            <w:bookmarkEnd w:id="584"/>
          </w:p>
        </w:tc>
        <w:tc>
          <w:tcPr>
            <w:tcW w:w="1449" w:type="dxa"/>
            <w:tcBorders/>
            <w:shd w:fill="CCEEFF" w:val="clear"/>
            <w:vAlign w:val="center"/>
          </w:tcPr>
          <w:p>
            <w:pPr>
              <w:pStyle w:val="TableContents"/>
              <w:bidi w:val="0"/>
              <w:spacing w:before="0" w:after="283"/>
              <w:jc w:val="right"/>
              <w:rPr/>
            </w:pPr>
            <w:r>
              <w:rPr/>
              <w:t>1.75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43" w:type="dxa"/>
            <w:tcBorders/>
            <w:shd w:fill="CCEEFF" w:val="clear"/>
            <w:vAlign w:val="center"/>
          </w:tcPr>
          <w:p>
            <w:pPr>
              <w:pStyle w:val="TableContents"/>
              <w:bidi w:val="0"/>
              <w:spacing w:before="0" w:after="283"/>
              <w:jc w:val="right"/>
              <w:rPr/>
            </w:pPr>
            <w:bookmarkStart w:id="585" w:name="xdx_903_eus-gaap--SharebasedCompensation"/>
            <w:bookmarkEnd w:id="585"/>
            <w:r>
              <w:rPr/>
              <w:t>8.8</w:t>
            </w:r>
          </w:p>
        </w:tc>
        <w:tc>
          <w:tcPr>
            <w:tcW w:w="75"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bookmarkStart w:id="586" w:name="xdx_98D_eus-gaap--ShareBasedCompensation"/>
            <w:bookmarkEnd w:id="586"/>
          </w:p>
        </w:tc>
        <w:tc>
          <w:tcPr>
            <w:tcW w:w="191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left"/>
              <w:rPr/>
            </w:pPr>
            <w:r>
              <w:rPr/>
              <w:t>$</w:t>
            </w:r>
            <w:bookmarkStart w:id="587" w:name="xdx_98E_eus-gaap--ShareBasedCompensation"/>
            <w:bookmarkEnd w:id="587"/>
          </w:p>
        </w:tc>
        <w:tc>
          <w:tcPr>
            <w:tcW w:w="144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4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bookmarkStart w:id="588" w:name="xdx_986_eus-gaap--StockIssuedDuringPerio"/>
            <w:bookmarkEnd w:id="588"/>
          </w:p>
        </w:tc>
        <w:tc>
          <w:tcPr>
            <w:tcW w:w="191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left"/>
              <w:rPr/>
            </w:pPr>
            <w:r>
              <w:rPr/>
              <w:t>$</w:t>
            </w:r>
            <w:bookmarkStart w:id="589" w:name="xdx_980_eus-gaap--ShareBasedCompensation"/>
            <w:bookmarkEnd w:id="589"/>
          </w:p>
        </w:tc>
        <w:tc>
          <w:tcPr>
            <w:tcW w:w="144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4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283"/>
              <w:jc w:val="left"/>
              <w:rPr/>
            </w:pPr>
            <w:r>
              <w:rPr/>
              <w:t>Cancelled/forfeited</w:t>
            </w:r>
          </w:p>
        </w:tc>
        <w:tc>
          <w:tcPr>
            <w:tcW w:w="60" w:type="dxa"/>
            <w:tcBorders/>
            <w:shd w:fill="FFFFFF" w:val="clear"/>
            <w:vAlign w:val="center"/>
          </w:tcPr>
          <w:p>
            <w:pPr>
              <w:pStyle w:val="TableContents"/>
              <w:bidi w:val="0"/>
              <w:spacing w:before="0" w:after="283"/>
              <w:jc w:val="left"/>
              <w:rPr/>
            </w:pPr>
            <w:r>
              <w:rPr/>
              <w:t> </w:t>
            </w:r>
          </w:p>
        </w:tc>
        <w:tc>
          <w:tcPr>
            <w:tcW w:w="11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590" w:name="xdx_98E_eus-gaap--ShareBasedCompensation"/>
            <w:bookmarkEnd w:id="590"/>
          </w:p>
        </w:tc>
        <w:tc>
          <w:tcPr>
            <w:tcW w:w="1914" w:type="dxa"/>
            <w:tcBorders>
              <w:bottom w:val="single" w:sz="12" w:space="0" w:color="000000"/>
            </w:tcBorders>
            <w:shd w:fill="FFFFFF" w:val="clear"/>
            <w:tcMar>
              <w:bottom w:w="28" w:type="dxa"/>
            </w:tcMar>
            <w:vAlign w:val="center"/>
          </w:tcPr>
          <w:p>
            <w:pPr>
              <w:pStyle w:val="TableContents"/>
              <w:bidi w:val="0"/>
              <w:spacing w:before="0" w:after="283"/>
              <w:jc w:val="right"/>
              <w:rPr/>
            </w:pPr>
            <w:r>
              <w:rPr/>
              <w:t>(685,196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left"/>
              <w:rPr/>
            </w:pPr>
            <w:r>
              <w:rPr/>
              <w:t>$</w:t>
            </w:r>
            <w:bookmarkStart w:id="591" w:name="xdx_98B_eus-gaap--ShareBasedCompensation"/>
            <w:bookmarkEnd w:id="591"/>
          </w:p>
        </w:tc>
        <w:tc>
          <w:tcPr>
            <w:tcW w:w="1449" w:type="dxa"/>
            <w:tcBorders/>
            <w:shd w:fill="FFFFFF" w:val="clear"/>
            <w:vAlign w:val="center"/>
          </w:tcPr>
          <w:p>
            <w:pPr>
              <w:pStyle w:val="TableContents"/>
              <w:bidi w:val="0"/>
              <w:spacing w:before="0" w:after="283"/>
              <w:jc w:val="right"/>
              <w:rPr/>
            </w:pPr>
            <w:r>
              <w:rPr/>
              <w:t>1.32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4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283"/>
              <w:jc w:val="left"/>
              <w:rPr/>
            </w:pPr>
            <w:r>
              <w:rPr/>
              <w:t>Outstanding as of January 31, 2024</w:t>
            </w:r>
          </w:p>
        </w:tc>
        <w:tc>
          <w:tcPr>
            <w:tcW w:w="60" w:type="dxa"/>
            <w:tcBorders/>
            <w:shd w:fill="CCEEFF" w:val="clear"/>
            <w:vAlign w:val="center"/>
          </w:tcPr>
          <w:p>
            <w:pPr>
              <w:pStyle w:val="TableContents"/>
              <w:bidi w:val="0"/>
              <w:spacing w:before="0" w:after="283"/>
              <w:jc w:val="left"/>
              <w:rPr/>
            </w:pPr>
            <w:r>
              <w:rPr/>
              <w:t> </w:t>
            </w:r>
          </w:p>
        </w:tc>
        <w:tc>
          <w:tcPr>
            <w:tcW w:w="11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92" w:name="xdx_98E_eus-gaap--ShareBasedCompensation"/>
            <w:bookmarkEnd w:id="592"/>
          </w:p>
        </w:tc>
        <w:tc>
          <w:tcPr>
            <w:tcW w:w="1914" w:type="dxa"/>
            <w:tcBorders>
              <w:bottom w:val="double" w:sz="6" w:space="0" w:color="000000"/>
            </w:tcBorders>
            <w:shd w:fill="CCEEFF" w:val="clear"/>
            <w:tcMar>
              <w:bottom w:w="28" w:type="dxa"/>
            </w:tcMar>
            <w:vAlign w:val="center"/>
          </w:tcPr>
          <w:p>
            <w:pPr>
              <w:pStyle w:val="TableContents"/>
              <w:bidi w:val="0"/>
              <w:spacing w:before="0" w:after="283"/>
              <w:jc w:val="right"/>
              <w:rPr/>
            </w:pPr>
            <w:r>
              <w:rPr/>
              <w:t>843,989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left"/>
              <w:rPr/>
            </w:pPr>
            <w:r>
              <w:rPr/>
              <w:t>$</w:t>
            </w:r>
            <w:bookmarkStart w:id="593" w:name="xdx_984_eus-gaap--ShareBasedCompensation"/>
            <w:bookmarkEnd w:id="593"/>
          </w:p>
        </w:tc>
        <w:tc>
          <w:tcPr>
            <w:tcW w:w="1449" w:type="dxa"/>
            <w:tcBorders/>
            <w:shd w:fill="CCEEFF" w:val="clear"/>
            <w:vAlign w:val="center"/>
          </w:tcPr>
          <w:p>
            <w:pPr>
              <w:pStyle w:val="TableContents"/>
              <w:bidi w:val="0"/>
              <w:spacing w:before="0" w:after="283"/>
              <w:jc w:val="right"/>
              <w:rPr/>
            </w:pPr>
            <w:r>
              <w:rPr/>
              <w:t>2.09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43" w:type="dxa"/>
            <w:tcBorders/>
            <w:shd w:fill="CCEEFF" w:val="clear"/>
            <w:vAlign w:val="center"/>
          </w:tcPr>
          <w:p>
            <w:pPr>
              <w:pStyle w:val="TableContents"/>
              <w:bidi w:val="0"/>
              <w:spacing w:before="0" w:after="283"/>
              <w:jc w:val="right"/>
              <w:rPr/>
            </w:pPr>
            <w:bookmarkStart w:id="594" w:name="xdx_903_ecustom--SharebasedCompensationA"/>
            <w:bookmarkEnd w:id="594"/>
            <w:r>
              <w:rPr/>
              <w:t>7.8</w:t>
            </w:r>
          </w:p>
        </w:tc>
        <w:tc>
          <w:tcPr>
            <w:tcW w:w="75"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283"/>
              <w:jc w:val="left"/>
              <w:rPr/>
            </w:pPr>
            <w:r>
              <w:rPr/>
              <w:t>Exercisable as of January 31, 2024</w:t>
            </w:r>
          </w:p>
        </w:tc>
        <w:tc>
          <w:tcPr>
            <w:tcW w:w="60" w:type="dxa"/>
            <w:tcBorders/>
            <w:shd w:fill="FFFFFF" w:val="clear"/>
            <w:vAlign w:val="center"/>
          </w:tcPr>
          <w:p>
            <w:pPr>
              <w:pStyle w:val="TableContents"/>
              <w:bidi w:val="0"/>
              <w:spacing w:before="0" w:after="283"/>
              <w:jc w:val="left"/>
              <w:rPr/>
            </w:pPr>
            <w:r>
              <w:rPr/>
              <w:t> </w:t>
            </w:r>
          </w:p>
        </w:tc>
        <w:tc>
          <w:tcPr>
            <w:tcW w:w="11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595" w:name="xdx_981_eus-gaap--ShareBasedCompensation"/>
            <w:bookmarkEnd w:id="595"/>
          </w:p>
        </w:tc>
        <w:tc>
          <w:tcPr>
            <w:tcW w:w="1914" w:type="dxa"/>
            <w:tcBorders>
              <w:bottom w:val="double" w:sz="6" w:space="0" w:color="000000"/>
            </w:tcBorders>
            <w:shd w:fill="FFFFFF" w:val="clear"/>
            <w:tcMar>
              <w:bottom w:w="28" w:type="dxa"/>
            </w:tcMar>
            <w:vAlign w:val="center"/>
          </w:tcPr>
          <w:p>
            <w:pPr>
              <w:pStyle w:val="TableContents"/>
              <w:bidi w:val="0"/>
              <w:spacing w:before="0" w:after="283"/>
              <w:jc w:val="right"/>
              <w:rPr/>
            </w:pPr>
            <w:r>
              <w:rPr/>
              <w:t>560,200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left"/>
              <w:rPr/>
            </w:pPr>
            <w:r>
              <w:rPr/>
              <w:t>$</w:t>
            </w:r>
            <w:bookmarkStart w:id="596" w:name="xdx_98C_eus-gaap--ShareBasedCompensation"/>
            <w:bookmarkEnd w:id="596"/>
          </w:p>
        </w:tc>
        <w:tc>
          <w:tcPr>
            <w:tcW w:w="1449" w:type="dxa"/>
            <w:tcBorders/>
            <w:shd w:fill="FFFFFF" w:val="clear"/>
            <w:vAlign w:val="center"/>
          </w:tcPr>
          <w:p>
            <w:pPr>
              <w:pStyle w:val="TableContents"/>
              <w:bidi w:val="0"/>
              <w:spacing w:before="0" w:after="283"/>
              <w:jc w:val="right"/>
              <w:rPr/>
            </w:pPr>
            <w:r>
              <w:rPr/>
              <w:t>2.70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43" w:type="dxa"/>
            <w:tcBorders/>
            <w:shd w:fill="FFFFFF" w:val="clear"/>
            <w:vAlign w:val="center"/>
          </w:tcPr>
          <w:p>
            <w:pPr>
              <w:pStyle w:val="TableContents"/>
              <w:bidi w:val="0"/>
              <w:spacing w:before="0" w:after="283"/>
              <w:jc w:val="right"/>
              <w:rPr/>
            </w:pPr>
            <w:bookmarkStart w:id="597" w:name="xdx_903_eus-gaap--SharebasedCompensation"/>
            <w:bookmarkEnd w:id="597"/>
            <w:r>
              <w:rPr/>
              <w:t>7.4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98" w:name="xdx_8A4_zmWEabme2ksi"/>
      <w:bookmarkEnd w:id="59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January 31, 2024, the total intrinsic value of outstanding and exercisable options was approximately zero. As of January 31, 2024, approximately </w:t>
      </w:r>
      <w:bookmarkStart w:id="599" w:name="xdx_906_eus-gaap--SharebasedCompensation"/>
      <w:bookmarkEnd w:id="599"/>
      <w:r>
        <w:rPr>
          <w:rFonts w:ascii="Times New Roman;Times;Serif" w:hAnsi="Times New Roman;Times;Serif"/>
          <w:b w:val="false"/>
          <w:i w:val="false"/>
          <w:caps w:val="false"/>
          <w:smallCaps w:val="false"/>
          <w:sz w:val="20"/>
        </w:rPr>
        <w:t xml:space="preserve">284,000 options were unvested, which had an intrinsic value of zero and a weighted average remaining contractual term of </w:t>
      </w:r>
      <w:bookmarkStart w:id="600" w:name="xdx_905_eus-gaap--SharebasedCompensation"/>
      <w:bookmarkEnd w:id="600"/>
      <w:r>
        <w:rPr>
          <w:rFonts w:ascii="Times New Roman;Times;Serif" w:hAnsi="Times New Roman;Times;Serif"/>
          <w:b w:val="false"/>
          <w:i w:val="false"/>
          <w:caps w:val="false"/>
          <w:smallCaps w:val="false"/>
          <w:sz w:val="20"/>
        </w:rPr>
        <w:t>8.7 years. There was approximately $</w:t>
      </w:r>
      <w:bookmarkStart w:id="601" w:name="xdx_901_eus-gaap--AllocatedShareBasedCom"/>
      <w:bookmarkEnd w:id="601"/>
      <w:r>
        <w:rPr>
          <w:rFonts w:ascii="Times New Roman;Times;Serif" w:hAnsi="Times New Roman;Times;Serif"/>
          <w:b w:val="false"/>
          <w:i w:val="false"/>
          <w:caps w:val="false"/>
          <w:smallCaps w:val="false"/>
          <w:sz w:val="20"/>
        </w:rPr>
        <w:t>50,000 and $</w:t>
      </w:r>
      <w:bookmarkStart w:id="602" w:name="xdx_90A_eus-gaap--AllocatedShareBasedCom"/>
      <w:bookmarkEnd w:id="602"/>
      <w:r>
        <w:rPr>
          <w:rFonts w:ascii="Times New Roman;Times;Serif" w:hAnsi="Times New Roman;Times;Serif"/>
          <w:b w:val="false"/>
          <w:i w:val="false"/>
          <w:caps w:val="false"/>
          <w:smallCaps w:val="false"/>
          <w:sz w:val="20"/>
        </w:rPr>
        <w:t>230,000 of total recognized compensation cost related to stock options during each of the nine months ended January 31, 2024 and 2023, respectively. There was approximately $</w:t>
      </w:r>
      <w:bookmarkStart w:id="603" w:name="xdx_902_eus-gaap--AllocatedShareBasedCom"/>
      <w:bookmarkEnd w:id="603"/>
      <w:r>
        <w:rPr>
          <w:rFonts w:ascii="Times New Roman;Times;Serif" w:hAnsi="Times New Roman;Times;Serif"/>
          <w:b w:val="false"/>
          <w:i w:val="false"/>
          <w:caps w:val="false"/>
          <w:smallCaps w:val="false"/>
          <w:sz w:val="20"/>
        </w:rPr>
        <w:t>(49,000) and $</w:t>
      </w:r>
      <w:bookmarkStart w:id="604" w:name="xdx_900_eus-gaap--AllocatedShareBasedCom"/>
      <w:bookmarkEnd w:id="604"/>
      <w:r>
        <w:rPr>
          <w:rFonts w:ascii="Times New Roman;Times;Serif" w:hAnsi="Times New Roman;Times;Serif"/>
          <w:b w:val="false"/>
          <w:i w:val="false"/>
          <w:caps w:val="false"/>
          <w:smallCaps w:val="false"/>
          <w:sz w:val="20"/>
        </w:rPr>
        <w:t>62,000 of total recognized compensation cost related to stock options during each of the three months ended January 31, 2024 and 2023, respectively. The current period negative expense is a result of expense recapture due to employee terminations during the quarter. As of January 31, 2024, there was approximately $</w:t>
      </w:r>
      <w:bookmarkStart w:id="605" w:name="xdx_904_eus-gaap--EmployeeServiceShareBa"/>
      <w:bookmarkEnd w:id="605"/>
      <w:r>
        <w:rPr>
          <w:rFonts w:ascii="Times New Roman;Times;Serif" w:hAnsi="Times New Roman;Times;Serif"/>
          <w:b w:val="false"/>
          <w:i w:val="false"/>
          <w:caps w:val="false"/>
          <w:smallCaps w:val="false"/>
          <w:sz w:val="20"/>
        </w:rPr>
        <w:t xml:space="preserve">207,000 of total unrecognized compensation cost related to non-vested stock options granted under the plans. This cost is expected to be recognized over a weighted-average period of </w:t>
      </w:r>
      <w:bookmarkStart w:id="606" w:name="xdx_906_eus-gaap--EmployeeServiceShareBa"/>
      <w:bookmarkEnd w:id="606"/>
      <w:r>
        <w:rPr>
          <w:rFonts w:ascii="Times New Roman;Times;Serif" w:hAnsi="Times New Roman;Times;Serif"/>
          <w:b w:val="false"/>
          <w:i w:val="false"/>
          <w:caps w:val="false"/>
          <w:smallCaps w:val="false"/>
          <w:sz w:val="20"/>
        </w:rPr>
        <w:t>1.6 years.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Performance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January 31, 2024, there were no performance stock unit outstanding. As of April 30, 2023 there were </w:t>
      </w:r>
      <w:bookmarkStart w:id="607" w:name="xdx_900_eus-gaap--ShareBasedCompensation"/>
      <w:bookmarkEnd w:id="607"/>
      <w:r>
        <w:rPr>
          <w:rFonts w:ascii="Times New Roman;Times;Serif" w:hAnsi="Times New Roman;Times;Serif"/>
          <w:b w:val="false"/>
          <w:i w:val="false"/>
          <w:caps w:val="false"/>
          <w:smallCaps w:val="false"/>
          <w:sz w:val="20"/>
        </w:rPr>
        <w:t>66,667 units outstanding which were all canceled during the quarter ended July 31, 2023. There was approximately $</w:t>
      </w:r>
      <w:bookmarkStart w:id="608" w:name="xdx_900_eus-gaap--AllocatedShareBasedCom"/>
      <w:bookmarkEnd w:id="608"/>
      <w:r>
        <w:rPr>
          <w:rFonts w:ascii="Times New Roman;Times;Serif" w:hAnsi="Times New Roman;Times;Serif"/>
          <w:b w:val="false"/>
          <w:i w:val="false"/>
          <w:caps w:val="false"/>
          <w:smallCaps w:val="false"/>
          <w:sz w:val="20"/>
        </w:rPr>
        <w:t>43,000 and $</w:t>
      </w:r>
      <w:bookmarkStart w:id="609" w:name="xdx_907_eus-gaap--AllocatedShareBasedCom"/>
      <w:bookmarkEnd w:id="609"/>
      <w:r>
        <w:rPr>
          <w:rFonts w:ascii="Times New Roman;Times;Serif" w:hAnsi="Times New Roman;Times;Serif"/>
          <w:b w:val="false"/>
          <w:i w:val="false"/>
          <w:caps w:val="false"/>
          <w:smallCaps w:val="false"/>
          <w:sz w:val="20"/>
        </w:rPr>
        <w:t xml:space="preserve">132,000 of total recognized compensation cost related to performance stock units during the nine months ended January 31, 2024 and 2023, respectively. There was approximately </w:t>
      </w:r>
      <w:bookmarkStart w:id="610" w:name="xdx_90F_eus-gaap--AllocatedShareBasedCom"/>
      <w:bookmarkEnd w:id="610"/>
      <w:r>
        <w:rPr>
          <w:rFonts w:ascii="Times New Roman;Times;Serif" w:hAnsi="Times New Roman;Times;Serif"/>
          <w:b w:val="false"/>
          <w:i w:val="false"/>
          <w:caps w:val="false"/>
          <w:smallCaps w:val="false"/>
          <w:sz w:val="20"/>
        </w:rPr>
        <w:t>zero and $</w:t>
      </w:r>
      <w:bookmarkStart w:id="611" w:name="xdx_906_eus-gaap--AllocatedShareBasedCom"/>
      <w:bookmarkEnd w:id="611"/>
      <w:r>
        <w:rPr>
          <w:rFonts w:ascii="Times New Roman;Times;Serif" w:hAnsi="Times New Roman;Times;Serif"/>
          <w:b w:val="false"/>
          <w:i w:val="false"/>
          <w:caps w:val="false"/>
          <w:smallCaps w:val="false"/>
          <w:sz w:val="20"/>
        </w:rPr>
        <w:t>31,000 of total recognized compensation cost related to performance stock units during the three months ended January 31, 2024 and 2023,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Compensation expense for restricted stock units (“RSUs”) is generally recorded based on the market value on the date of grant and recognized ratably over the associated service and performance period. During the nine months ended January 31, 2024 and 2023, the Company granted </w:t>
      </w:r>
      <w:bookmarkStart w:id="612" w:name="xdx_901_eus-gaap--ShareBasedCompensation"/>
      <w:bookmarkEnd w:id="612"/>
      <w:r>
        <w:rPr>
          <w:rFonts w:ascii="Times New Roman;Times;Serif" w:hAnsi="Times New Roman;Times;Serif"/>
          <w:b w:val="false"/>
          <w:i w:val="false"/>
          <w:caps w:val="false"/>
          <w:smallCaps w:val="false"/>
          <w:sz w:val="20"/>
        </w:rPr>
        <w:t xml:space="preserve">183,000 and </w:t>
      </w:r>
      <w:bookmarkStart w:id="613" w:name="xdx_901_eus-gaap--ShareBasedCompensation"/>
      <w:bookmarkEnd w:id="613"/>
      <w:r>
        <w:rPr>
          <w:rFonts w:ascii="Times New Roman;Times;Serif" w:hAnsi="Times New Roman;Times;Serif"/>
          <w:b w:val="false"/>
          <w:i w:val="false"/>
          <w:caps w:val="false"/>
          <w:smallCaps w:val="false"/>
          <w:sz w:val="20"/>
        </w:rPr>
        <w:t>1,609,000 shares, respectively, that were subject to both service-based and market-based vesting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14" w:name="xdx_893_eus-gaap--ScheduleOfShareBasedCo"/>
      <w:bookmarkEnd w:id="614"/>
      <w:r>
        <w:rPr>
          <w:rFonts w:ascii="Times New Roman;Times;Serif" w:hAnsi="Times New Roman;Times;Serif"/>
          <w:b w:val="false"/>
          <w:i w:val="false"/>
          <w:caps w:val="false"/>
          <w:smallCaps w:val="false"/>
          <w:sz w:val="20"/>
        </w:rPr>
        <w:t>A summary of unvested RSU’s under the Stock Incentive Plans is as follows:</w:t>
      </w:r>
    </w:p>
    <w:p>
      <w:pPr>
        <w:pStyle w:val="TextBody"/>
        <w:bidi w:val="0"/>
        <w:spacing w:before="0" w:after="0"/>
        <w:ind w:left="0" w:right="0" w:hanging="0"/>
        <w:jc w:val="left"/>
        <w:rPr>
          <w:caps w:val="false"/>
          <w:smallCaps w:val="false"/>
        </w:rPr>
      </w:pPr>
      <w:r>
        <w:rPr>
          <w:caps w:val="false"/>
          <w:smallCaps w:val="false"/>
        </w:rPr>
        <w:t> </w:t>
      </w:r>
      <w:bookmarkStart w:id="615" w:name="xdx_8B5_zvdAwUXO7vNh"/>
      <w:bookmarkEnd w:id="615"/>
      <w:r>
        <w:rPr>
          <w:rFonts w:ascii="Times New Roman;Times;Serif" w:hAnsi="Times New Roman;Times;Serif"/>
          <w:b w:val="false"/>
          <w:i w:val="false"/>
          <w:caps w:val="false"/>
          <w:smallCaps w:val="false"/>
          <w:sz w:val="20"/>
        </w:rPr>
        <w:t>Schedule of Non-vested Restricted Stock Activity </w:t>
      </w:r>
    </w:p>
    <w:tbl>
      <w:tblPr>
        <w:tblW w:w="6618" w:type="dxa"/>
        <w:jc w:val="left"/>
        <w:tblInd w:w="0" w:type="dxa"/>
        <w:tblLayout w:type="fixed"/>
        <w:tblCellMar>
          <w:top w:w="0" w:type="dxa"/>
          <w:left w:w="0" w:type="dxa"/>
          <w:bottom w:w="0" w:type="dxa"/>
          <w:right w:w="0" w:type="dxa"/>
        </w:tblCellMar>
      </w:tblPr>
      <w:tblGrid>
        <w:gridCol w:w="2855"/>
        <w:gridCol w:w="60"/>
        <w:gridCol w:w="108"/>
        <w:gridCol w:w="1771"/>
        <w:gridCol w:w="95"/>
        <w:gridCol w:w="60"/>
        <w:gridCol w:w="384"/>
        <w:gridCol w:w="1210"/>
        <w:gridCol w:w="75"/>
      </w:tblGrid>
      <w:tr>
        <w:trPr/>
        <w:tc>
          <w:tcPr>
            <w:tcW w:w="28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87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 Shares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94"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w:t>
              <w:br/>
              <w:t>Price per Share</w:t>
            </w:r>
          </w:p>
        </w:tc>
        <w:tc>
          <w:tcPr>
            <w:tcW w:w="75" w:type="dxa"/>
            <w:tcBorders/>
            <w:vAlign w:val="center"/>
          </w:tcPr>
          <w:p>
            <w:pPr>
              <w:pStyle w:val="TableContents"/>
              <w:bidi w:val="0"/>
              <w:spacing w:before="0" w:after="283"/>
              <w:jc w:val="center"/>
              <w:rPr/>
            </w:pPr>
            <w:r>
              <w:rPr/>
              <w:t> </w:t>
            </w:r>
          </w:p>
        </w:tc>
      </w:tr>
      <w:tr>
        <w:trPr/>
        <w:tc>
          <w:tcPr>
            <w:tcW w:w="2855" w:type="dxa"/>
            <w:tcBorders/>
            <w:shd w:fill="CCEEFF" w:val="clear"/>
            <w:vAlign w:val="center"/>
          </w:tcPr>
          <w:p>
            <w:pPr>
              <w:pStyle w:val="TableContents"/>
              <w:bidi w:val="0"/>
              <w:spacing w:before="0" w:after="283"/>
              <w:jc w:val="left"/>
              <w:rPr/>
            </w:pPr>
            <w:r>
              <w:rPr/>
              <w:t>Unvested at April 30, 2023</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bookmarkStart w:id="616" w:name="xdx_98A_eus-gaap--ShareBasedCompensation"/>
            <w:bookmarkEnd w:id="616"/>
          </w:p>
        </w:tc>
        <w:tc>
          <w:tcPr>
            <w:tcW w:w="1771" w:type="dxa"/>
            <w:tcBorders/>
            <w:shd w:fill="CCEEFF" w:val="clear"/>
            <w:vAlign w:val="center"/>
          </w:tcPr>
          <w:p>
            <w:pPr>
              <w:pStyle w:val="TableContents"/>
              <w:bidi w:val="0"/>
              <w:spacing w:before="0" w:after="283"/>
              <w:jc w:val="right"/>
              <w:rPr/>
            </w:pPr>
            <w:r>
              <w:rPr/>
              <w:t>1,985,995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4" w:type="dxa"/>
            <w:tcBorders/>
            <w:shd w:fill="CCEEFF" w:val="clear"/>
            <w:vAlign w:val="center"/>
          </w:tcPr>
          <w:p>
            <w:pPr>
              <w:pStyle w:val="TableContents"/>
              <w:bidi w:val="0"/>
              <w:spacing w:before="0" w:after="283"/>
              <w:jc w:val="left"/>
              <w:rPr/>
            </w:pPr>
            <w:r>
              <w:rPr/>
              <w:t>$</w:t>
            </w:r>
            <w:bookmarkStart w:id="617" w:name="xdx_98E_eus-gaap--ShareBasedCompensation"/>
            <w:bookmarkEnd w:id="617"/>
          </w:p>
        </w:tc>
        <w:tc>
          <w:tcPr>
            <w:tcW w:w="1210" w:type="dxa"/>
            <w:tcBorders/>
            <w:shd w:fill="CCEEFF" w:val="clear"/>
            <w:vAlign w:val="center"/>
          </w:tcPr>
          <w:p>
            <w:pPr>
              <w:pStyle w:val="TableContents"/>
              <w:bidi w:val="0"/>
              <w:spacing w:before="0" w:after="283"/>
              <w:jc w:val="right"/>
              <w:rPr/>
            </w:pPr>
            <w:r>
              <w:rPr/>
              <w:t>0.89</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bookmarkStart w:id="618" w:name="xdx_987_eus-gaap--ShareBasedCompensation"/>
            <w:bookmarkEnd w:id="618"/>
          </w:p>
        </w:tc>
        <w:tc>
          <w:tcPr>
            <w:tcW w:w="1771" w:type="dxa"/>
            <w:tcBorders/>
            <w:shd w:fill="FFFFFF" w:val="clear"/>
            <w:vAlign w:val="center"/>
          </w:tcPr>
          <w:p>
            <w:pPr>
              <w:pStyle w:val="TableContents"/>
              <w:bidi w:val="0"/>
              <w:spacing w:before="0" w:after="283"/>
              <w:jc w:val="right"/>
              <w:rPr/>
            </w:pPr>
            <w:r>
              <w:rPr/>
              <w:t>183,500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4" w:type="dxa"/>
            <w:tcBorders/>
            <w:shd w:fill="FFFFFF" w:val="clear"/>
            <w:vAlign w:val="center"/>
          </w:tcPr>
          <w:p>
            <w:pPr>
              <w:pStyle w:val="TableContents"/>
              <w:bidi w:val="0"/>
              <w:spacing w:before="0" w:after="283"/>
              <w:jc w:val="left"/>
              <w:rPr/>
            </w:pPr>
            <w:r>
              <w:rPr/>
              <w:t>$</w:t>
            </w:r>
            <w:bookmarkStart w:id="619" w:name="xdx_988_eus-gaap--ShareBasedCompensation"/>
            <w:bookmarkEnd w:id="619"/>
          </w:p>
        </w:tc>
        <w:tc>
          <w:tcPr>
            <w:tcW w:w="1210" w:type="dxa"/>
            <w:tcBorders/>
            <w:shd w:fill="FFFFFF" w:val="clear"/>
            <w:vAlign w:val="center"/>
          </w:tcPr>
          <w:p>
            <w:pPr>
              <w:pStyle w:val="TableContents"/>
              <w:bidi w:val="0"/>
              <w:spacing w:before="0" w:after="283"/>
              <w:jc w:val="right"/>
              <w:rPr/>
            </w:pPr>
            <w:r>
              <w:rPr/>
              <w:t>0.35</w:t>
            </w:r>
          </w:p>
        </w:tc>
        <w:tc>
          <w:tcPr>
            <w:tcW w:w="75"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left"/>
              <w:rPr/>
            </w:pPr>
            <w:r>
              <w:rPr/>
              <w:t>Vested and issued</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bookmarkStart w:id="620" w:name="xdx_985_eus-gaap--ShareBasedCompensation"/>
            <w:bookmarkEnd w:id="620"/>
          </w:p>
        </w:tc>
        <w:tc>
          <w:tcPr>
            <w:tcW w:w="1771" w:type="dxa"/>
            <w:tcBorders/>
            <w:shd w:fill="CCEEFF" w:val="clear"/>
            <w:vAlign w:val="center"/>
          </w:tcPr>
          <w:p>
            <w:pPr>
              <w:pStyle w:val="TableContents"/>
              <w:bidi w:val="0"/>
              <w:spacing w:before="0" w:after="283"/>
              <w:jc w:val="right"/>
              <w:rPr/>
            </w:pPr>
            <w:r>
              <w:rPr/>
              <w:t>(786,998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84" w:type="dxa"/>
            <w:tcBorders/>
            <w:shd w:fill="CCEEFF" w:val="clear"/>
            <w:vAlign w:val="center"/>
          </w:tcPr>
          <w:p>
            <w:pPr>
              <w:pStyle w:val="TableContents"/>
              <w:bidi w:val="0"/>
              <w:spacing w:before="0" w:after="283"/>
              <w:jc w:val="left"/>
              <w:rPr/>
            </w:pPr>
            <w:r>
              <w:rPr/>
              <w:t>$</w:t>
            </w:r>
            <w:bookmarkStart w:id="621" w:name="xdx_989_eus-gaap--ShareBasedCompensation"/>
            <w:bookmarkEnd w:id="621"/>
          </w:p>
        </w:tc>
        <w:tc>
          <w:tcPr>
            <w:tcW w:w="1210" w:type="dxa"/>
            <w:tcBorders/>
            <w:shd w:fill="CCEEFF" w:val="clear"/>
            <w:vAlign w:val="center"/>
          </w:tcPr>
          <w:p>
            <w:pPr>
              <w:pStyle w:val="TableContents"/>
              <w:bidi w:val="0"/>
              <w:spacing w:before="0" w:after="283"/>
              <w:jc w:val="right"/>
              <w:rPr/>
            </w:pPr>
            <w:r>
              <w:rPr/>
              <w:t>0.86</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left"/>
              <w:rPr/>
            </w:pPr>
            <w:r>
              <w:rPr/>
              <w:t>Cancelled/forfeited</w:t>
            </w:r>
          </w:p>
        </w:tc>
        <w:tc>
          <w:tcPr>
            <w:tcW w:w="60" w:type="dxa"/>
            <w:tcBorders/>
            <w:shd w:fill="FFFFFF" w:val="clear"/>
            <w:vAlign w:val="center"/>
          </w:tcPr>
          <w:p>
            <w:pPr>
              <w:pStyle w:val="TableContents"/>
              <w:bidi w:val="0"/>
              <w:spacing w:before="0" w:after="283"/>
              <w:jc w:val="left"/>
              <w:rPr/>
            </w:pPr>
            <w:r>
              <w:rPr/>
              <w:t> </w:t>
            </w:r>
          </w:p>
        </w:tc>
        <w:tc>
          <w:tcPr>
            <w:tcW w:w="10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622" w:name="xdx_983_eus-gaap--ShareBasedCompensation"/>
            <w:bookmarkEnd w:id="622"/>
          </w:p>
        </w:tc>
        <w:tc>
          <w:tcPr>
            <w:tcW w:w="1771" w:type="dxa"/>
            <w:tcBorders>
              <w:bottom w:val="single" w:sz="12" w:space="0" w:color="000000"/>
            </w:tcBorders>
            <w:shd w:fill="FFFFFF" w:val="clear"/>
            <w:tcMar>
              <w:bottom w:w="28" w:type="dxa"/>
            </w:tcMar>
            <w:vAlign w:val="center"/>
          </w:tcPr>
          <w:p>
            <w:pPr>
              <w:pStyle w:val="TableContents"/>
              <w:bidi w:val="0"/>
              <w:spacing w:before="0" w:after="283"/>
              <w:jc w:val="right"/>
              <w:rPr/>
            </w:pPr>
            <w:r>
              <w:rPr/>
              <w:t>(326,952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84" w:type="dxa"/>
            <w:tcBorders/>
            <w:shd w:fill="FFFFFF" w:val="clear"/>
            <w:vAlign w:val="center"/>
          </w:tcPr>
          <w:p>
            <w:pPr>
              <w:pStyle w:val="TableContents"/>
              <w:bidi w:val="0"/>
              <w:spacing w:before="0" w:after="283"/>
              <w:jc w:val="left"/>
              <w:rPr/>
            </w:pPr>
            <w:r>
              <w:rPr/>
              <w:t>$</w:t>
            </w:r>
            <w:bookmarkStart w:id="623" w:name="xdx_980_eus-gaap--ShareBasedCompensation"/>
            <w:bookmarkEnd w:id="623"/>
          </w:p>
        </w:tc>
        <w:tc>
          <w:tcPr>
            <w:tcW w:w="1210" w:type="dxa"/>
            <w:tcBorders/>
            <w:shd w:fill="FFFFFF" w:val="clear"/>
            <w:vAlign w:val="center"/>
          </w:tcPr>
          <w:p>
            <w:pPr>
              <w:pStyle w:val="TableContents"/>
              <w:bidi w:val="0"/>
              <w:spacing w:before="0" w:after="283"/>
              <w:jc w:val="right"/>
              <w:rPr/>
            </w:pPr>
            <w:r>
              <w:rPr/>
              <w:t>1.32</w:t>
            </w:r>
          </w:p>
        </w:tc>
        <w:tc>
          <w:tcPr>
            <w:tcW w:w="75"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left"/>
              <w:rPr/>
            </w:pPr>
            <w:r>
              <w:rPr/>
              <w:t>Unvested at January 31, 2024</w:t>
            </w:r>
          </w:p>
        </w:tc>
        <w:tc>
          <w:tcPr>
            <w:tcW w:w="60" w:type="dxa"/>
            <w:tcBorders/>
            <w:shd w:fill="CCEEFF" w:val="clear"/>
            <w:vAlign w:val="center"/>
          </w:tcPr>
          <w:p>
            <w:pPr>
              <w:pStyle w:val="TableContents"/>
              <w:bidi w:val="0"/>
              <w:spacing w:before="0" w:after="283"/>
              <w:jc w:val="left"/>
              <w:rPr/>
            </w:pPr>
            <w:r>
              <w:rPr/>
              <w:t> </w:t>
            </w:r>
          </w:p>
        </w:tc>
        <w:tc>
          <w:tcPr>
            <w:tcW w:w="10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624" w:name="xdx_98B_eus-gaap--ShareBasedCompensation"/>
            <w:bookmarkEnd w:id="624"/>
          </w:p>
        </w:tc>
        <w:tc>
          <w:tcPr>
            <w:tcW w:w="1771" w:type="dxa"/>
            <w:tcBorders>
              <w:bottom w:val="double" w:sz="6" w:space="0" w:color="000000"/>
            </w:tcBorders>
            <w:shd w:fill="CCEEFF" w:val="clear"/>
            <w:tcMar>
              <w:bottom w:w="28" w:type="dxa"/>
            </w:tcMar>
            <w:vAlign w:val="center"/>
          </w:tcPr>
          <w:p>
            <w:pPr>
              <w:pStyle w:val="TableContents"/>
              <w:bidi w:val="0"/>
              <w:spacing w:before="0" w:after="283"/>
              <w:jc w:val="right"/>
              <w:rPr/>
            </w:pPr>
            <w:r>
              <w:rPr/>
              <w:t>1,055,545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4" w:type="dxa"/>
            <w:tcBorders/>
            <w:shd w:fill="CCEEFF" w:val="clear"/>
            <w:vAlign w:val="center"/>
          </w:tcPr>
          <w:p>
            <w:pPr>
              <w:pStyle w:val="TableContents"/>
              <w:bidi w:val="0"/>
              <w:spacing w:before="0" w:after="283"/>
              <w:jc w:val="left"/>
              <w:rPr/>
            </w:pPr>
            <w:r>
              <w:rPr/>
              <w:t>$</w:t>
            </w:r>
            <w:bookmarkStart w:id="625" w:name="xdx_988_eus-gaap--ShareBasedCompensation"/>
            <w:bookmarkEnd w:id="625"/>
          </w:p>
        </w:tc>
        <w:tc>
          <w:tcPr>
            <w:tcW w:w="1210" w:type="dxa"/>
            <w:tcBorders/>
            <w:shd w:fill="CCEEFF" w:val="clear"/>
            <w:vAlign w:val="center"/>
          </w:tcPr>
          <w:p>
            <w:pPr>
              <w:pStyle w:val="TableContents"/>
              <w:bidi w:val="0"/>
              <w:spacing w:before="0" w:after="283"/>
              <w:jc w:val="right"/>
              <w:rPr/>
            </w:pPr>
            <w:r>
              <w:rPr/>
              <w:t>0.75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26" w:name="xdx_8AD_zhblp7prYu5l"/>
      <w:bookmarkEnd w:id="62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approximately $</w:t>
      </w:r>
      <w:bookmarkStart w:id="627" w:name="xdx_904_eus-gaap--AllocatedShareBasedCom"/>
      <w:bookmarkEnd w:id="627"/>
      <w:r>
        <w:rPr>
          <w:rFonts w:ascii="Times New Roman;Times;Serif" w:hAnsi="Times New Roman;Times;Serif"/>
          <w:b w:val="false"/>
          <w:i w:val="false"/>
          <w:caps w:val="false"/>
          <w:smallCaps w:val="false"/>
          <w:sz w:val="20"/>
        </w:rPr>
        <w:t>710,000 and $</w:t>
      </w:r>
      <w:bookmarkStart w:id="628" w:name="xdx_906_eus-gaap--AllocatedShareBasedCom"/>
      <w:bookmarkEnd w:id="628"/>
      <w:r>
        <w:rPr>
          <w:rFonts w:ascii="Times New Roman;Times;Serif" w:hAnsi="Times New Roman;Times;Serif"/>
          <w:b w:val="false"/>
          <w:i w:val="false"/>
          <w:caps w:val="false"/>
          <w:smallCaps w:val="false"/>
          <w:sz w:val="20"/>
        </w:rPr>
        <w:t>549,000 of total recognized compensation cost related to RSUs for the nine months ended January 31, 2024 and 2023, respectively. There was approximately $</w:t>
      </w:r>
      <w:bookmarkStart w:id="629" w:name="xdx_902_eus-gaap--AllocatedShareBasedCom"/>
      <w:bookmarkEnd w:id="629"/>
      <w:r>
        <w:rPr>
          <w:rFonts w:ascii="Times New Roman;Times;Serif" w:hAnsi="Times New Roman;Times;Serif"/>
          <w:b w:val="false"/>
          <w:i w:val="false"/>
          <w:caps w:val="false"/>
          <w:smallCaps w:val="false"/>
          <w:sz w:val="20"/>
        </w:rPr>
        <w:t>179,000 and $</w:t>
      </w:r>
      <w:bookmarkStart w:id="630" w:name="xdx_908_eus-gaap--AllocatedShareBasedCom"/>
      <w:bookmarkEnd w:id="630"/>
      <w:r>
        <w:rPr>
          <w:rFonts w:ascii="Times New Roman;Times;Serif" w:hAnsi="Times New Roman;Times;Serif"/>
          <w:b w:val="false"/>
          <w:i w:val="false"/>
          <w:caps w:val="false"/>
          <w:smallCaps w:val="false"/>
          <w:sz w:val="20"/>
        </w:rPr>
        <w:t>185,000 of total recognized compensation cost related to RSUs for the three months ended January 31, 2024 and 2023, respectively. As of January 31, 2024, there was approximately $</w:t>
      </w:r>
      <w:bookmarkStart w:id="631" w:name="xdx_905_eus-gaap--EmployeeServiceShareBa"/>
      <w:bookmarkEnd w:id="631"/>
      <w:r>
        <w:rPr>
          <w:rFonts w:ascii="Times New Roman;Times;Serif" w:hAnsi="Times New Roman;Times;Serif"/>
          <w:b w:val="false"/>
          <w:i w:val="false"/>
          <w:caps w:val="false"/>
          <w:smallCaps w:val="false"/>
          <w:sz w:val="20"/>
        </w:rPr>
        <w:t xml:space="preserve">392,000 of unrecognized compensation cost remaining related to unvested RSUs. The primary driver of unrecognized compensation cost for RSU’s is related to RSU grants in accordance with the Company’s stock holding guidelines for Named Executive Officers (“NEO’s”). This cost is expected to be recognized over a weighted-average period of </w:t>
      </w:r>
      <w:bookmarkStart w:id="632" w:name="xdx_907_eus-gaap--EmployeeServiceShareBa"/>
      <w:bookmarkEnd w:id="632"/>
      <w:r>
        <w:rPr>
          <w:rFonts w:ascii="Times New Roman;Times;Serif" w:hAnsi="Times New Roman;Times;Serif"/>
          <w:b w:val="false"/>
          <w:i w:val="false"/>
          <w:caps w:val="false"/>
          <w:smallCaps w:val="false"/>
          <w:sz w:val="20"/>
        </w:rPr>
        <w:t xml:space="preserve">1.3 years. Included in Vested and Issued are </w:t>
      </w:r>
      <w:bookmarkStart w:id="633" w:name="xdx_90C_ecustom--StockIssuedDuringPeriod"/>
      <w:bookmarkEnd w:id="633"/>
      <w:r>
        <w:rPr>
          <w:rFonts w:ascii="Times New Roman;Times;Serif" w:hAnsi="Times New Roman;Times;Serif"/>
          <w:b w:val="false"/>
          <w:i w:val="false"/>
          <w:caps w:val="false"/>
          <w:smallCaps w:val="false"/>
          <w:sz w:val="20"/>
        </w:rPr>
        <w:t>47,103 RSU’s which vested for the nine months ended January 31, 2024 and were withheld for tax withholding purposes. These shares are included in treasury shares (see the Consolidated Statement of Shareholders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34" w:name="xdx_802_eus-gaap--FairValueDisclosuresTe"/>
      <w:bookmarkEnd w:id="634"/>
      <w:r>
        <w:rPr>
          <w:rFonts w:ascii="Times New Roman;Times;Serif" w:hAnsi="Times New Roman;Times;Serif"/>
          <w:b/>
          <w:i w:val="false"/>
          <w:caps w:val="false"/>
          <w:smallCaps w:val="false"/>
          <w:sz w:val="20"/>
        </w:rPr>
        <w:t xml:space="preserve">(13) </w:t>
      </w:r>
      <w:bookmarkStart w:id="635" w:name="xdx_822_zGoecldfor45"/>
      <w:bookmarkEnd w:id="635"/>
      <w:r>
        <w:rPr>
          <w:rFonts w:ascii="Times New Roman;Times;Serif" w:hAnsi="Times New Roman;Times;Serif"/>
          <w:b/>
          <w:i w:val="false"/>
          <w:caps w:val="false"/>
          <w:smallCaps w:val="false"/>
          <w:sz w:val="20"/>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Topic 820, “</w:t>
      </w:r>
      <w:r>
        <w:rPr>
          <w:rFonts w:ascii="Times New Roman;Times;Serif" w:hAnsi="Times New Roman;Times;Serif"/>
          <w:b w:val="false"/>
          <w:i/>
          <w:caps w:val="false"/>
          <w:smallCaps w:val="false"/>
          <w:sz w:val="20"/>
        </w:rPr>
        <w:t>Fair Value Measurements”</w:t>
      </w:r>
      <w:r>
        <w:rPr>
          <w:rFonts w:ascii="Times New Roman;Times;Serif" w:hAnsi="Times New Roman;Times;Serif"/>
          <w:b w:val="false"/>
          <w:i w:val="false"/>
          <w:caps w:val="false"/>
          <w:smallCaps w:val="false"/>
          <w:sz w:val="20"/>
        </w:rPr>
        <w:t xml:space="preserve"> states that fair value is an exit price, representing the amount that would be received to sell an asset or paid to transfer a liability in an orderly transaction between market participants at the measurement date. Assets and liabilities that are measured at fair value are reported using a three-level fair value hierarchy that prioritizes the inputs used to measure fair value. This hierarchy maximizes the use of observable input and minimizes the use of unobservable inputs. The following is a description of the three hierarchy levels.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20"/>
        <w:gridCol w:w="9585"/>
      </w:tblGrid>
      <w:tr>
        <w:trPr/>
        <w:tc>
          <w:tcPr>
            <w:tcW w:w="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w:t>
            </w:r>
          </w:p>
        </w:tc>
        <w:tc>
          <w:tcPr>
            <w:tcW w:w="9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Unadjusted quoted prices in active markets for identical assets or liabilities that the Company has the ability to access at the measurement date.</w:t>
            </w:r>
          </w:p>
        </w:tc>
      </w:tr>
      <w:tr>
        <w:trPr/>
        <w:tc>
          <w:tcPr>
            <w:tcW w:w="620" w:type="dxa"/>
            <w:tcBorders/>
            <w:vAlign w:val="center"/>
          </w:tcPr>
          <w:p>
            <w:pPr>
              <w:pStyle w:val="TableContents"/>
              <w:bidi w:val="0"/>
              <w:spacing w:before="0" w:after="283"/>
              <w:jc w:val="left"/>
              <w:rPr>
                <w:caps w:val="false"/>
                <w:smallCaps w:val="false"/>
              </w:rPr>
            </w:pPr>
            <w:r>
              <w:rPr>
                <w:caps w:val="false"/>
                <w:smallCaps w:val="false"/>
              </w:rPr>
              <w:t> </w:t>
            </w:r>
          </w:p>
        </w:tc>
        <w:tc>
          <w:tcPr>
            <w:tcW w:w="95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w:t>
            </w:r>
          </w:p>
        </w:tc>
        <w:tc>
          <w:tcPr>
            <w:tcW w:w="9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Inputs other than quoted prices in active markets that are observable for the asset or liability, either directly or indirectly.</w:t>
            </w:r>
          </w:p>
        </w:tc>
      </w:tr>
      <w:tr>
        <w:trPr/>
        <w:tc>
          <w:tcPr>
            <w:tcW w:w="620" w:type="dxa"/>
            <w:tcBorders/>
            <w:vAlign w:val="center"/>
          </w:tcPr>
          <w:p>
            <w:pPr>
              <w:pStyle w:val="TableContents"/>
              <w:bidi w:val="0"/>
              <w:spacing w:before="0" w:after="283"/>
              <w:jc w:val="left"/>
              <w:rPr>
                <w:caps w:val="false"/>
                <w:smallCaps w:val="false"/>
              </w:rPr>
            </w:pPr>
            <w:r>
              <w:rPr>
                <w:caps w:val="false"/>
                <w:smallCaps w:val="false"/>
              </w:rPr>
              <w:t> </w:t>
            </w:r>
          </w:p>
        </w:tc>
        <w:tc>
          <w:tcPr>
            <w:tcW w:w="95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w:t>
            </w:r>
          </w:p>
        </w:tc>
        <w:tc>
          <w:tcPr>
            <w:tcW w:w="9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Inputs that are unobservable for the asset or liability.</w:t>
            </w:r>
          </w:p>
        </w:tc>
      </w:tr>
    </w:tbl>
    <w:p>
      <w:pPr>
        <w:pStyle w:val="TextBody"/>
        <w:bidi w:val="0"/>
        <w:spacing w:before="0" w:after="0"/>
        <w:ind w:left="900" w:right="0" w:hanging="90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900" w:right="0" w:hanging="9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Disclosure of Fair Values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instruments that are not re-measured at fair value include cash, cash equivalents, restricted cash, accounts receivable, other assets, contract assets and liabilities, deposits, accounts payable, and accrued expenses. The carrying value is equal to their fair value due to the short term nature of these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there is a Level 3 contingent liability related to earnout payable as part of the MAR acquisition in the amount of $</w:t>
      </w:r>
      <w:bookmarkStart w:id="636" w:name="xdx_905_eus-gaap--BusinessCombinationCon"/>
      <w:bookmarkEnd w:id="636"/>
      <w:r>
        <w:rPr>
          <w:rFonts w:ascii="Times New Roman;Times;Serif" w:hAnsi="Times New Roman;Times;Serif"/>
          <w:b w:val="false"/>
          <w:i w:val="false"/>
          <w:caps w:val="false"/>
          <w:smallCaps w:val="false"/>
          <w:sz w:val="20"/>
        </w:rPr>
        <w:t>1.1 million as of January 31, 2024. The fair value of this contingent liability has decreased by approximately $</w:t>
      </w:r>
      <w:bookmarkStart w:id="637" w:name="xdx_902_ecustom--IncreaseDecreaseInConti"/>
      <w:bookmarkEnd w:id="637"/>
      <w:r>
        <w:rPr>
          <w:rFonts w:ascii="Times New Roman;Times;Serif" w:hAnsi="Times New Roman;Times;Serif"/>
          <w:b w:val="false"/>
          <w:i w:val="false"/>
          <w:caps w:val="false"/>
          <w:smallCaps w:val="false"/>
          <w:sz w:val="20"/>
        </w:rPr>
        <w:t>0.1 million from the fair value of $</w:t>
      </w:r>
      <w:bookmarkStart w:id="638" w:name="xdx_90A_eus-gaap--ContingentConsideratio"/>
      <w:bookmarkEnd w:id="638"/>
      <w:r>
        <w:rPr>
          <w:rFonts w:ascii="Times New Roman;Times;Serif" w:hAnsi="Times New Roman;Times;Serif"/>
          <w:b w:val="false"/>
          <w:i w:val="false"/>
          <w:caps w:val="false"/>
          <w:smallCaps w:val="false"/>
          <w:sz w:val="20"/>
        </w:rPr>
        <w:t>1.2 million as of April 30,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2023, the Company paid $</w:t>
      </w:r>
      <w:bookmarkStart w:id="639" w:name="xdx_906_ecustom--CashPaidForFirstEarnOut"/>
      <w:bookmarkEnd w:id="639"/>
      <w:r>
        <w:rPr>
          <w:rFonts w:ascii="Times New Roman;Times;Serif" w:hAnsi="Times New Roman;Times;Serif"/>
          <w:b w:val="false"/>
          <w:i w:val="false"/>
          <w:caps w:val="false"/>
          <w:smallCaps w:val="false"/>
          <w:sz w:val="20"/>
        </w:rPr>
        <w:t xml:space="preserve">500,000 in cash and issued </w:t>
      </w:r>
      <w:bookmarkStart w:id="640" w:name="xdx_90A_eus-gaap--StockIssuedDuringPerio"/>
      <w:bookmarkEnd w:id="640"/>
      <w:r>
        <w:rPr>
          <w:rFonts w:ascii="Times New Roman;Times;Serif" w:hAnsi="Times New Roman;Times;Serif"/>
          <w:b w:val="false"/>
          <w:i w:val="false"/>
          <w:caps w:val="false"/>
          <w:smallCaps w:val="false"/>
          <w:sz w:val="20"/>
        </w:rPr>
        <w:t>1,923,077 in shares worth $</w:t>
      </w:r>
      <w:bookmarkStart w:id="641" w:name="xdx_907_eus-gaap--StockIssuedDuringPerio"/>
      <w:bookmarkEnd w:id="641"/>
      <w:r>
        <w:rPr>
          <w:rFonts w:ascii="Times New Roman;Times;Serif" w:hAnsi="Times New Roman;Times;Serif"/>
          <w:b w:val="false"/>
          <w:i w:val="false"/>
          <w:caps w:val="false"/>
          <w:smallCaps w:val="false"/>
          <w:sz w:val="20"/>
        </w:rPr>
        <w:t>1.0 million to satisfy the achievement of the first earnout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into or out of any hierarchy level are recognized at the end of the reporting period in which the transfers occurred. There were no transfers between any hierarchy levels during each of the three and nine months ended January 31,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42" w:name="xdx_80A_eus-gaap--CommitmentsAndContinge"/>
      <w:bookmarkEnd w:id="642"/>
      <w:r>
        <w:rPr>
          <w:rFonts w:ascii="Times New Roman;Times;Serif" w:hAnsi="Times New Roman;Times;Serif"/>
          <w:b/>
          <w:i w:val="false"/>
          <w:caps w:val="false"/>
          <w:smallCaps w:val="false"/>
          <w:sz w:val="20"/>
        </w:rPr>
        <w:t xml:space="preserve">(14) </w:t>
      </w:r>
      <w:bookmarkStart w:id="643" w:name="xdx_822_zopBxtuku2nb"/>
      <w:bookmarkEnd w:id="643"/>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Spain Income Tax Audit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underwent an income tax audit in Spain for the period from 2011 to 2014, when its Spanish branch was closed. On July 30, 2018, the Spanish tax inspector concluded that although there was no tax owed in light of losses reported, the Company’s Spanish branch owed penalties for failure to properly account for the income associated with the funding grant. During the year ended April 30, 2022, the Company received notice from the Spanish Central Economic and Administrative Tribunal (“Spanish Tax Administration”) that it agreed with the inspector and ruled that the Company owes the full amount of the penalty in the amount of €</w:t>
      </w:r>
      <w:bookmarkStart w:id="644" w:name="xdx_90C_eus-gaap--IncomeTaxExaminationPe"/>
      <w:bookmarkEnd w:id="644"/>
      <w:r>
        <w:rPr>
          <w:rFonts w:ascii="Times New Roman;Times;Serif" w:hAnsi="Times New Roman;Times;Serif"/>
          <w:b w:val="false"/>
          <w:i w:val="false"/>
          <w:caps w:val="false"/>
          <w:smallCaps w:val="false"/>
          <w:sz w:val="20"/>
        </w:rPr>
        <w:t>279,870 or approximately $</w:t>
      </w:r>
      <w:bookmarkStart w:id="645" w:name="xdx_902_eus-gaap--IncomeTaxExaminationPe"/>
      <w:bookmarkEnd w:id="645"/>
      <w:r>
        <w:rPr>
          <w:rFonts w:ascii="Times New Roman;Times;Serif" w:hAnsi="Times New Roman;Times;Serif"/>
          <w:b w:val="false"/>
          <w:i w:val="false"/>
          <w:caps w:val="false"/>
          <w:smallCaps w:val="false"/>
          <w:sz w:val="20"/>
        </w:rPr>
        <w:t>331,000. On January 25, 2021, the Company paid the Spanish Tax Administration €</w:t>
      </w:r>
      <w:bookmarkStart w:id="646" w:name="xdx_90C_eus-gaap--LossContingencyDamages"/>
      <w:bookmarkEnd w:id="646"/>
      <w:r>
        <w:rPr>
          <w:rFonts w:ascii="Times New Roman;Times;Serif" w:hAnsi="Times New Roman;Times;Serif"/>
          <w:b w:val="false"/>
          <w:i w:val="false"/>
          <w:caps w:val="false"/>
          <w:smallCaps w:val="false"/>
          <w:sz w:val="20"/>
        </w:rPr>
        <w:t>279,870. Notwithstanding that payment, on April 30, 2022, the Company filed its appeal of the decision of the Central Court to the Spanish National Court. The Company is awaiting the results of the appeal.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Litigation with Paragon Technologies,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16, 2023, Paragon Technologies, Inc., a Delaware corporation that is an activist investor and a stockholder of the Company (“Paragon”), informed the Company that Paragon was planning a proxy contest against the Company and intended to nominate candidates for election to the Company Board of Directors (the “OPT Board”) at the Company’s 2023 Annual Meeting (the “2023 Annual Meeting”). Subsequently, Paragon disclosed its intention to replace a majority of the six-member OPT Board with initially five purported nominees, including three members of the Paragon Board of Directors, and, thereby, seek control of the Company. In furtherance of Paragon’s threatened agenda, Paragon brought two litigation matters against the Company in the Delaware Court of Chancery.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Litigation Brought by Paragon Against OPT to Enforce Paragon’s Section 220 Inspection Demand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27, 2023, Paragon filed a complaint against the Company in the Delaware Court of Chancery to enforce the demand that Paragon had made on July 17, 2023 to inspect OPT’s confidential books and records pursuant to Section 220 of the Delaware General Corporation Law. On October 20, 2023, a Magistrate of the Delaware Court of Chancery issued a report regarding this matter and recommended that the Company produce certain formal board-level materials to Paragon. On October 25, 2023, the Company filed a Notice of Exceptions with the Delaware Court of Chancery to take exceptions to various aspects of the Magistrate’s report, including the documents required to be produced. On January 31, 2024, the Delaware Court of Chancery issued a bench ruling affirming in part, and overruling in part, the Magistrate’s report, which narrowed the categories of books and records that need to be produced. The parties are currently in the process of negotiating the terms of a proposed implementing order to be entered by the Delaware Court of Chancery to implement the Magistrate’s report as modified by the Court’s bench ruling on January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Litigation Brought by Paragon Against OPT and the OPT Board Seeking Injunctive and Declaratory Relief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9, 2023, Paragon initiated litigation in the Delaware Court of Chancery against the Company and the OPT Board alleging claims for breach of fiduciary duty and seeking declaratory and injunctive relief, including an injunction to (i) </w:t>
      </w:r>
      <w:bookmarkStart w:id="647" w:name="xdx_904_eus-gaap--LossContingencyAllegat"/>
      <w:bookmarkEnd w:id="647"/>
      <w:r>
        <w:rPr>
          <w:rFonts w:ascii="Times New Roman;Times;Serif" w:hAnsi="Times New Roman;Times;Serif"/>
          <w:b w:val="false"/>
          <w:i w:val="false"/>
          <w:caps w:val="false"/>
          <w:smallCaps w:val="false"/>
          <w:sz w:val="20"/>
        </w:rPr>
        <w:t>prevent the Company from rejecting the purported nominating notice that Paragon submitted to the Company on August 25, 2023 to notify the Company of its intention to nominate a majority slate of nominees at the 2023 Annual Meeting (the “Purported Nominating Notice”), and (ii) require the Company to approve Paragon’s request for an exemption from OPT’s Section 382 Tax Benefits Preservation Plan so that Paragon could purchase up to 19.9% of the Company’s common stock without triggering the dilution that would otherwise apply to the holder of 4.99% or more of the Company’s common stock. On November 30, 2023, the Delaware Court of Chancery denied Paragon’s request for injunctive relief to (i) block the OPT Board from continuing to reject Paragon’s Purported Nominating Notice, and (ii) require the OPT Board to grant Paragon the exemption it had requested from the Company’s Section 382 Tax Benefits Preservation Plan. Further, the Delaware Court of Chancery indicated that factual issues remain that would need to be resolved at a trial. On November 30, 2023, the Delaware Court of Chancery also granted, in part, a motion for sanctions against Paragon relating to the purported spoliation of text messages. As of the date hereof, there has been no further developments with respect to this matter and the Delaware Court of Chancery has not scheduled any further action with respect to this matter, other than directing counsel for the Company and the OPT Board to submit an affidavit detailing the reasonable fees and expenses incurred in filing their motion for sanctions and providing Paragon with an opportunity to respond.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is involved in legal and administrative proceedings and claims of various types. The Company records a liability in its consolidated financial statements for these matters when a loss is known or considered probable and the amount can be reasonably estimated. The Company reviews these estimates each accounting period as additional information is known and adjusts the loss provision when appropriate. If a matter is both probable to result in a liability and the amounts of loss can be reasonably estimated, the Company estimates and discloses the possible loss or range of loss to the extent necessary to make the consolidated financial statements not misleading. If the loss is not probable or cannot be reasonably estimated, a liability is not recorded in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48" w:name="xdx_804_eus-gaap--IncomeTaxDisclosureTex"/>
      <w:bookmarkEnd w:id="648"/>
      <w:r>
        <w:rPr>
          <w:rFonts w:ascii="Times New Roman;Times;Serif" w:hAnsi="Times New Roman;Times;Serif"/>
          <w:b/>
          <w:i w:val="false"/>
          <w:caps w:val="false"/>
          <w:smallCaps w:val="false"/>
          <w:sz w:val="20"/>
        </w:rPr>
        <w:t xml:space="preserve">(15) </w:t>
      </w:r>
      <w:bookmarkStart w:id="649" w:name="xdx_827_zu1edyOi8lk2"/>
      <w:bookmarkEnd w:id="649"/>
      <w:r>
        <w:rPr>
          <w:rFonts w:ascii="Times New Roman;Times;Serif" w:hAnsi="Times New Roman;Times;Serif"/>
          <w:b/>
          <w:i w:val="false"/>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Uncertain Tax Positions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income taxes in accordance with ASC 740. The guidance requires the Company to recognize in its consolidated financial statements the impact of a tax position if that position is more likely than not to be sustained upon examination, based on the technical merits of the position. The Company has no current or deferred tax due to current and projected losses for the year. The Company has appealed the results of the income tax audit in Spain for the period from 2011 to 2014, when the Company’s Spanish branch was closed (see Note 14). At January 31, 2024, the Company had no uncertain tax positions. The Company does not expect any material increase or decrease in its income tax expense or benefit in the next twelve months, related to examinations or uncertain tax positions. Net operating loss and credit carry forwards since inception remain open to examination by taxing authorities and will continue to remain open for a period of time after utilization.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 Preservation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June 2023, in order to protect the Company’s valuable tax assets related to its net operating losses from being limited or lost under Section 382 of the Internal Revenue Code, the Company adopted a Tax Benefits Preservation Plan (the “Plan”). Pursuant to the Plan, the Board declared a dividend of one preferred share purchase right (each, a “Right”) for each outstanding share of common stock of the Company. The dividend was distributed to stockholders of record as of the close of business on July 11, 2023. The Plan substantially diminishes the risk that the Company’s ability to utilize its net operating loss carryovers to reduce potential future federal income tax obligations may become substantially limited. The Plan is intended to act as a deterrent to any person or group acquiring beneficial ownership of </w:t>
      </w:r>
      <w:bookmarkStart w:id="650" w:name="xdx_900_ecustom--BusinessAcquisitionOuts"/>
      <w:bookmarkEnd w:id="650"/>
      <w:r>
        <w:rPr>
          <w:rFonts w:ascii="Times New Roman;Times;Serif" w:hAnsi="Times New Roman;Times;Serif"/>
          <w:b w:val="false"/>
          <w:i w:val="false"/>
          <w:caps w:val="false"/>
          <w:smallCaps w:val="false"/>
          <w:sz w:val="20"/>
        </w:rPr>
        <w:t>4.99% or more of the outstanding common stock without approval by potentially subjecting any such person or group to significant dilution. The Plan was approved by shareholders at the Company’s Annual Meeting held on February 28,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determined the grant date fair value of the Rights using an option-pricing model. The amount was immaterial to the consolidated financial statements and deemed to be de minimis, and accordingly was not recorded to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Income Tax Benefit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sold New Jersey State net operating losses and research development credits under the New Jersey Economic Development Authority Tax Transfer program which has resulted in $</w:t>
      </w:r>
      <w:bookmarkStart w:id="651" w:name="xdx_906_eus-gaap--IncomeTaxExpenseBenefi"/>
      <w:bookmarkStart w:id="652" w:name="xdx_901_eus-gaap--IncomeTaxExpenseBenefi"/>
      <w:bookmarkEnd w:id="651"/>
      <w:bookmarkEnd w:id="652"/>
      <w:r>
        <w:rPr>
          <w:rFonts w:ascii="Times New Roman;Times;Serif" w:hAnsi="Times New Roman;Times;Serif"/>
          <w:b w:val="false"/>
          <w:i w:val="false"/>
          <w:caps w:val="false"/>
          <w:smallCaps w:val="false"/>
          <w:sz w:val="20"/>
        </w:rPr>
        <w:t>1.3 million and $</w:t>
      </w:r>
      <w:bookmarkStart w:id="653" w:name="xdx_902_eus-gaap--IncomeTaxExpenseBenefi"/>
      <w:bookmarkStart w:id="654" w:name="xdx_90C_eus-gaap--IncomeTaxExpenseBenefi"/>
      <w:bookmarkEnd w:id="653"/>
      <w:bookmarkEnd w:id="654"/>
      <w:r>
        <w:rPr>
          <w:rFonts w:ascii="Times New Roman;Times;Serif" w:hAnsi="Times New Roman;Times;Serif"/>
          <w:b w:val="false"/>
          <w:i w:val="false"/>
          <w:caps w:val="false"/>
          <w:smallCaps w:val="false"/>
          <w:sz w:val="20"/>
        </w:rPr>
        <w:t>0.3 million of income tax benefit related to the three and nine months ended January 31, 2024 and 2023, respectively. The $</w:t>
      </w:r>
      <w:bookmarkStart w:id="655" w:name="xdx_901_eus-gaap--OtherAssetsCurrent_iI_"/>
      <w:bookmarkEnd w:id="655"/>
      <w:r>
        <w:rPr>
          <w:rFonts w:ascii="Times New Roman;Times;Serif" w:hAnsi="Times New Roman;Times;Serif"/>
          <w:b w:val="false"/>
          <w:i w:val="false"/>
          <w:caps w:val="false"/>
          <w:smallCaps w:val="false"/>
          <w:sz w:val="20"/>
        </w:rPr>
        <w:t>1.3 million is included as part of other current assets on the balance sheet (Note 5) and was received on March 6,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56" w:name="xdx_803_eus-gaap--SegmentReportingDisclo"/>
      <w:bookmarkEnd w:id="656"/>
      <w:r>
        <w:rPr>
          <w:rFonts w:ascii="Times New Roman;Times;Serif" w:hAnsi="Times New Roman;Times;Serif"/>
          <w:b/>
          <w:i w:val="false"/>
          <w:caps w:val="false"/>
          <w:smallCaps w:val="false"/>
          <w:sz w:val="20"/>
        </w:rPr>
        <w:t xml:space="preserve">(16) </w:t>
      </w:r>
      <w:bookmarkStart w:id="657" w:name="xdx_825_z2OF153nHTFg"/>
      <w:bookmarkEnd w:id="657"/>
      <w:r>
        <w:rPr>
          <w:rFonts w:ascii="Times New Roman;Times;Serif" w:hAnsi="Times New Roman;Times;Serif"/>
          <w:b/>
          <w:i w:val="false"/>
          <w:caps w:val="false"/>
          <w:smallCaps w:val="false"/>
          <w:sz w:val="20"/>
        </w:rPr>
        <w:t>Operating Segments and Geographic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business consists of one reportable segment as the revenues associated with its different business lines are not material enough to justify segment reporting or to make it meaningful to investors, and the Company’s chief operating decision maker does not view the Company’s operations on a segment basis. The Company operates worldwide, with its U.S. operations in New Jersey and California and one operating subsidiary in the UK. Revenues and expenses are generally attributed to the operating unit that bills the customers. During each of the three and nine months ended January 31, 2024 and 2023, the Company’s primary business operations were in North America and the Middle East.</w:t>
      </w:r>
    </w:p>
    <w:p>
      <w:pPr>
        <w:pStyle w:val="TextBody"/>
        <w:bidi w:val="0"/>
        <w:spacing w:before="0" w:after="0"/>
        <w:ind w:left="0" w:right="0" w:hanging="0"/>
        <w:jc w:val="both"/>
        <w:rPr>
          <w:caps w:val="false"/>
          <w:smallCaps w:val="false"/>
        </w:rPr>
      </w:pPr>
      <w:bookmarkStart w:id="658" w:name="xdx_812_zCnMutw5KwC6"/>
      <w:bookmarkEnd w:id="658"/>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2.</w:t>
      </w:r>
      <w:r>
        <w:rPr>
          <w:rFonts w:ascii="Times New Roman;Times;Serif" w:hAnsi="Times New Roman;Times;Serif"/>
          <w:b w:val="false"/>
          <w:i w:val="false"/>
          <w:caps w:val="false"/>
          <w:smallCaps w:val="false"/>
          <w:sz w:val="20"/>
        </w:rPr>
        <w:t xml:space="preserve"> </w:t>
      </w:r>
      <w:bookmarkStart w:id="659" w:name="K_001"/>
      <w:bookmarkEnd w:id="659"/>
      <w:r>
        <w:rPr>
          <w:rFonts w:ascii="Times New Roman;Times;Serif" w:hAnsi="Times New Roman;Times;Serif"/>
          <w:b/>
          <w:i w:val="false"/>
          <w:caps w:val="false"/>
          <w:smallCaps w:val="false"/>
          <w:sz w:val="20"/>
        </w:rPr>
        <w:t>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and analysis should be read in conjunction with the accompanying unaudited consolidated financial statements and related notes included in this Quarterly Report on Form 10-Q. Some of the information contained in this management’s discussion and analysis is set forth elsewhere in this Form 10-Q, including information with respect to our plans and strategy for our business, pending and threatened litigation and our liquidity, includes forward-looking statements that involve risks and uncertainties. You should review the “Risk Factors” section of our Annual Report on Form 10-K for the year ended April 30, 2023 for a discussion of important factors that could cause actual results to differ materially from the results described in or implied by the forward-looking statements contained in the following discussion and analysis. References to a fiscal year in this Form 10-Q refer to the year ended April 30 of that year (e.g., fiscal 2024 refers to the year ended April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solutions focus on three major service areas: Data as a Service (“DaaS”), which includes data collected by our Wave Adaptive Modular Vessel (WAM-V®) autonomous vehicles or our PowerBuoy® product lines; Robotics as a Service (“RaaS”), which provides a lower cost subscription model for our customers to access use of our WAM-V’s®; and Power as a Service (“PaaS”), which includes our PowerBuoy®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mission is to provide intelligent maritime solutions and services that enable more secure and more productive utilization of our oceans and waterways, provide clean energy power services, and offer sophisticated surface and subsea maritime domain awareness solutions. The Company achieves this through our proprietary, state-of-the-art technologies that are at the core of our clean and renewable energy platforms, autonomous systems, solutions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ocean data collection and reporting, marine power, offshore communications, and Maritime Domain Awareness System ( “MDAS”) products, integrated solutions, and consulting services. The Company offers our products and services to a wide range of customers, including those in government and offshore energy, oil and gas, construction, wind power and other industries. The Company is involved in the entire life cycle of product development, from product design through manufacturing, testing, deployment, maintenance and upgrades, while working closely with partners across our supply chain. The Company also works closely with our third-party partners that provide us with, among other things, software, controls, sensors, integration services, and marine installation services. Our solutions are based on proprietary technologies that enable autonomous, zero or low carbon emitting, and cost-effective data collection, analysis, transportation and communication. Our solutions are primarily suited to ocean and other offshore environments, and support generation of actionable intelligence on a standalone basis or working with other data sources. We channel the information we collect, and other communications, through control equipment linked to edge computing and cloud hosting environments.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we announced that we have substantially completed our research and development phase and are primarily focused on commercial activities. We have built a suite of products (more fully described below) that we believe will be the basis for our current and future commercial success resulting in meaningful progress in orders, pipeline, and backlog. This pivot to commercial activities has enabled reallocation of headcount, resulting in approximately $4.5 million in annual run rate savings, and a material reduction in third-party expenditures. The majority of our employees are now dedicated to customer delivery.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incorporated under the laws of the State of New Jersey in April 1984 and began commercial operations in 1994. On April 23, 2007, we reincorporated in Delaware.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Data as a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DaaS solution is at the forefront of our strategic plan to be a leader in offshore data collection, integration, analytics and real time communication for a variety of important applications. For example, our solutions can track surface vessel movement for maritime border enforcement and illegal fishing interdiction, provide security for offshore wind farms and oil and gas fields, or provide harbor or port security as well as logistics support. We have the ability to support aquaculture and gather information on ocean currents, water quality, wind and other weather metrics, and map shorelines or subsurface areas. We also offer 24/7 monitoring solutions that can provide meaningful real time information, and long-term data collection and analytics for sophisticated applications across many industries and scientific applications. Additionally, the stability of our WAM-V® platform makes it an ideal solution to produce high quality sonar data in many sea conditions for subsea surveys. WAM-V’s® can also be outfitted with various equipment for the performance of marine infrastructure surveys, berth clearance surveys, dredging surveys, and mining pit surveys.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2020, the Company launched its DaaS offering in support of the U.S. Navy’s Naval Postgraduate School’s NPS Field Experimentation (formerly Sea, Land, Air, Military Research Initiative). In February 2024, the Company received additional funding from the Naval Postgraduate School for the year-long deployment of a PowerBuoy® in Monterey Bay. The PowerBuoy®, integrating our MDAS along with cutting-edge Satellite communication and AT&amp;T 5G technology, will demonstrate its persistent surveillance and communications capacities in a maritime environment. This deployment marks a significant milestone in maritime technology, showcasing the potential of standalone at-sea infrastructure nodes to support diverse operational needs. We have further expanded our DaaS offering through field demonstration such as ANTX Coastal Trident 2022, as well as the Naval Task Force 59 for the Digital Horizon field exercise and the International Maritime Exercise (IMX) in Bahrain, Sulmara for survey services with our WAM-V® platform, and Phase I funding through National Oceanic and Atmospheric Administration’s (NOAA) Small Business Innovation Research (SBIR)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333333"/>
          <w:sz w:val="20"/>
        </w:rPr>
      </w:pPr>
      <w:r>
        <w:rPr>
          <w:rFonts w:ascii="Times New Roman;Times;Serif" w:hAnsi="Times New Roman;Times;Serif"/>
          <w:b w:val="false"/>
          <w:i w:val="false"/>
          <w:caps w:val="false"/>
          <w:smallCaps w:val="false"/>
          <w:color w:val="333333"/>
          <w:sz w:val="20"/>
        </w:rPr>
        <w:t xml:space="preserve">In September 2023, the Company received an award of three separate Indefinite Delivery Indefinite Quantity (IDIQ) Multiple-Award Contracts (MAC) from the National Oceanic and Atmospheric Administration (NOAA). NOAA has selected OPT as one of several Multiple Award IDIQ contract holders to provide Uncrewed Maritime Systems (UMS) Services to NOAA’s Office of Marine and Aviation Operations (OMAO), Uncrewed Systems Operation Center (UxSOC). </w:t>
      </w:r>
    </w:p>
    <w:p>
      <w:pPr>
        <w:pStyle w:val="TextBody"/>
        <w:bidi w:val="0"/>
        <w:spacing w:before="0" w:after="0"/>
        <w:ind w:left="0" w:right="0" w:hanging="0"/>
        <w:jc w:val="both"/>
        <w:rPr>
          <w:caps w:val="false"/>
          <w:smallCaps w:val="false"/>
          <w:color w:val="333333"/>
        </w:rPr>
      </w:pPr>
      <w:r>
        <w:rPr>
          <w:caps w:val="false"/>
          <w:smallCaps w:val="false"/>
          <w:color w:val="333333"/>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333333"/>
          <w:sz w:val="20"/>
        </w:rPr>
        <w:t>Additionally, t</w:t>
      </w:r>
      <w:r>
        <w:rPr>
          <w:rFonts w:ascii="Times New Roman;Times;Serif" w:hAnsi="Times New Roman;Times;Serif"/>
          <w:b w:val="false"/>
          <w:i w:val="false"/>
          <w:caps w:val="false"/>
          <w:smallCaps w:val="false"/>
          <w:sz w:val="20"/>
        </w:rPr>
        <w:t xml:space="preserve">he Company was awarded a contract to provide scientific hardware delivery, training, and integration services under a subcontract for a U.S. government agency. This project seeks to identify and integrate sensors and systems and share data suitable for the full spectrum of maritime operations. We will provide the required hardware, hardware deployment support, software, software deployment support, integration services, surveillance and telemetry data, and associated training in support of a PB3 PowerBuoy® equipped with our MDA solution. The project will be deployed in support of security efforts to detect illegal, unreported, and unregulated (“IUU”) fishing, dark vessels, and human/drug trafficking in operation 24/7/365. As further discussed under “Commercial Activities,” the Company was awarded a </w:t>
      </w:r>
      <w:r>
        <w:rPr>
          <w:rFonts w:ascii="Times New Roman;Times;Serif" w:hAnsi="Times New Roman;Times;Serif"/>
          <w:b w:val="false"/>
          <w:i w:val="false"/>
          <w:caps w:val="false"/>
          <w:smallCaps w:val="false"/>
          <w:color w:val="333333"/>
          <w:sz w:val="20"/>
        </w:rPr>
        <w:t xml:space="preserve">contract in support of foreign law enforcement partners. This collaboration aims to protect vital marine species and combat illegal, unreported, and unregulated (IUU) fishing activities in critical habitats using our state-of-the-art uncrewed technologies and demonstrates unprecedented, networked surveillance capabilities and evidence collection. </w:t>
      </w:r>
    </w:p>
    <w:p>
      <w:pPr>
        <w:pStyle w:val="TextBody"/>
        <w:bidi w:val="0"/>
        <w:spacing w:before="0" w:after="0"/>
        <w:ind w:left="0" w:right="0" w:hanging="0"/>
        <w:jc w:val="both"/>
        <w:rPr>
          <w:caps w:val="false"/>
          <w:smallCaps w:val="false"/>
          <w:color w:val="333333"/>
        </w:rPr>
      </w:pPr>
      <w:r>
        <w:rPr>
          <w:caps w:val="false"/>
          <w:smallCaps w:val="false"/>
          <w:color w:val="333333"/>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Maritime Domain Awareness Solution (“MDAS”)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International Maritime Organization defines Maritime Domain Awareness (“MDA”) as the effective understanding of any activity that could impact the security, safety, economy, or environment related to and within our oceans and seas. Since 2002, the U.S. has had an active strategy to secure the maritime domain, primarily through the U.S. Navy. Furthermore, in 2020 the U.S. Coast Guard elevated Illegal, Unreported and Unregulated (IUU) fishing, one aspect of MDA security, as the leading global maritime threat.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designed our solution to provide detailed, localized maritime domain awareness that can be utilized for a wide range of applications across market segments. Our MDAS base hardware consists of a high-definition radar, a stabilized high-definition optical and thermal imaging camera, and a vessel Automatic Identification System (“AIS”) detection module. This hardware can be customized or supplemented by other solutions, depending on the requirements of our customers. These devices can be mounted on our products, such as our PB3 or WAM-V®, and then, utilizing integrated command and control software, data is sent to us and to our customers via secure communications channels. Multiple sensors can be used on a single unit based on the comprehensiveness of the needs of our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MDAS processes data onboard our platforms (i.e., edge computing) and transmits the results to our cloud-based analytics platform via secure Wi-Fi and cellular and satellite communications. We anticipate integrating our MDAS solution into our WAM-V’s® to add mobile assets for patrols or interdiction and utilizing satellite communication to expand the availability of our data service. Surveillance data can be integrated with third party marine monitoring software or with our own MDA software solution to provide command and control features of a multi-platform surveillance network. As an example, one or more WAM-Vs® can be networked to our self-powered buoy, which acts as a central data and communication hub. These WAM-Vs® can significantly increase the range of our MDAS network solutions. The data can also be integrated with satellite, weather, bathymetric, and other third-party data feeds to form a detailed surface and subsea picture of a monitored area. All vessel video, radar, and track data are securely stored in our cloud, or the customer’s cloud environment and is accessible for as long as required by the customer for further analysis and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launched the first commercially ready MDAS on a test buoy off the coast of New Jersey in September 2021. The system includes our proprietary integration of sensors, hardware and software, supported by cloud infrastructure as well as having a web-based user interface that displays camera, radar, AIS and live chart data. We have successfully demonstrated the system multiple times for potential customers, including a showcase in San Diego Bay at the U.S. Navy’s Advanced Naval Technology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Autonomous Vehicles (“WAM-V</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Autonomous Vehicles business incorporates the patented Wave Adaptive Modular Vehicle (WAM-V®) technology, which enables roaming capabilities for unmanned maritime systems in waters around the world. The first WAM-V® was launched in 2007 as a new vehicle class to deliver reliable autonomous surface vehicles to customers that could provide robust, real-time data collection and reporting. Our Autonomous Vehicles business also provides RaaS, allowing customers to lease WAM-V® robotics and access information from our WAM-Vs® while we maintain ownership and maintenance and repair responsibilities. Today, WAM-Vs® operate in ten countries for commercial, military and scientific uses. Our WAM-Vs® exist in three primary sizes of 8, 16, and 22 feet, however, many of the design components are common across the sizes, allowing for integration of different payloads and adaptation of the payload platforms for larger equipment. All sizes can be adapted to suit electric or liquid fuel propulsion methods.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WAM-V® product line highly complements the Company’s business strategy and can be used inshore, nearshore, and offshore. This business continues to grow and is further expanding into core marine survey and maritime security markets in Europe, Asia, Oceania and the Americas. We continue to find ways to integrate Autonomous Vehicles with the Company’s existing platforms and service offerings and expect to take advantage of new synergistic opportunities as they arise. In addition, we plan to integrate the MDAS platform onto the WAM-V® to expand our MDA offering to provide a roaming MDA solution to our customers.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Technological Advancements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2023 we successfully demonstrated a WAM-V attaching itself remotely to a buoy and establishing a connection that will enable charging. This successful electrical connection that enabled charging represents a significant step forward in the integration of renewable energy sources within the maritime industry and paves the way for a future where electrically propelled autonomous vessels can operate for extended durations, opening doors to potential new applications within the maritime domain. We are continuing to advance the ability to remotely charge our WAM-V® from our PowerBuoy® platforms, enabling persistent, resident and roaming capabilities.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continues to advance its efforts with the WAM-V® in the defense and national security industry. To that end, it has started working with various U.S. Government agencies to provide its assets on a Contractor Owned Contractor Operator, Government Owned Government Operated, and Government Owned Contractor Operated basis. These advances are being supported through the hiring of employees that are U.S. citizens and the Company’s workforce is now around 25% veterans. As part of these efforts, the Company is also working with other Unmanned Surface Vehicle (USV), Unmanned Aerial Vehicle (UAV), and Unmanned Underwater Vehicle (UUV) providers to support autonomous swarming services for the defense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Robotics as a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fiscal 2023 the Company introduced the RaaS subscription model for our customers to access our WAM-V’s®. Under this model we lease our WAM-V’s to our customers over a fixed time period or provide a specified number of use days, typically with a guaranteed minimum. This model provides a lower cost entry point for our customers to access our products, provides a try before buying opportunity, and allows our customers increased access during periods of increased need. The Company expects to benefit from the growing RaaS trend, providing greater visibility into predicting revenue and planning supply for demand, while providing our customers with flexibility and a lower cost of entry.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Power as a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PaaS solutions deliver value to customers by utilizing our managed power platforms. We continue to commercialize our proprietary power platforms that generate electricity primarily by harnessing the renewable energy of ocean waves. In addition to offering our commercial PB3, we are adding solar power options to our next generation PowerBuoy® (the “NextGen PB”) and have the option of adding small wind turbines to supplement power generation. The NextGen PB includes versions with and without a wave energy converter (WEC), with the non-WEC version replacing our previous hybrid PB. Our focus for these solutions is on bringing autonomous clean power to our customers wherever it is required. Moreover, offshore data and communications networks require power to function, and our solution solves this need without requiring ongoing battery replacement or older technologies such as shore station power cables. Many of the lessons learned from the deployments of both our PB3 and demonstrator systems have been used to develop the next generation of PowerBuoy® systems that are based on modularity for WEC and non-WEC applications. The PB3 will continue to be available and supported in addition to the support provided to the NextGen PB once fully commercialized in Fiscal Year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PB3 PowerBuoy</w:t>
      </w:r>
      <w:r>
        <w:rPr>
          <w:rFonts w:ascii="Times New Roman;Times;Serif" w:hAnsi="Times New Roman;Times;Serif"/>
          <w:b/>
          <w:i w:val="false"/>
          <w:caps w:val="false"/>
          <w:smallCaps w:val="false"/>
          <w:position w:val="7"/>
          <w:sz w:val="16"/>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PB3 uses proprietary technologies that convert the hydrokinetic energy of ocean waves into electricity. The PB3 features a unique onboard power take-off (“PTO”) system which incorporates both energy storage and energy management and control systems. The PB3 generates a nominal nameplate capacity rating of up to three kilowatts (“kW”) of peak power. Power generation is deployment-site dependent, as wave activity impacts power generation. Our Energy Storage System (“ESS”) has a capacity of up to a nominal 150 kW-hours to meet specific application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PB3 is designed to generate power for use independent of the power grid in offshore locations. As ocean waves pass the PB3, the rising and falling of the waves are converted into mechanical energy, which in turn, drives the electric generator. The power electronics system then conditions the electrical output which is stored within the 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operation of the PB3 is controlled by our customized, proprietary control system. The control system uses sensors and an onboard computer to continuously monitor the PB3 subsystems. We believe that this ability to optimize and manage the electric power output of the PB3 is a significant advantage of our technology. In the event of large storm waves, the control system automatically locks the PB3, and electricity generation is suspended. However, the load center (either the on-board payload or one in the vicinity of the PB3) may continue to receive power from the ESS. When wave heights return to normal operating conditions, the control system automatically unlocks the PB3 and electricity generation and ESS replenishment recommences. This safety feature helps to protect the PB3 from being damaged by storms.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Customized solutions are also available for the PB3 including the addition of subsea sensors to monitor for acoustic signatures, tsunami activity, and water quality.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Next Generation PowerBuoy®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NextGen PB is our future platform that integrates the lessons learned from the PB3 and our demonstrator systems. It consists of two versions, one utilizing solar and wind power and one utilizing solar and wind power plus wave energy conversion capability, to provide reliable power in remote offshore locations, regardless of ocean wave conditions. Both versions utilize the same spar shape, thus increasing modularity and decreasing part count and costs. The WEC technology in the NextGen PB is based on our ongoing Mass on Spring Wave Energy Converter (MOSWEC) development which has the advantages of smaller size, lower cost, environmentally sealed design, and increased energy generation capability. The prototype of the solar and wind PowerBuoy® and the prototype of the MOSWEC PowerBuoys has been tested off the coast of New Jersey and the solar and wind system was used during the MDAS demonstration for ANTX during fiscal 2023. We believe this product addresses a broader spectrum of customer deployment needs, including low-wave and nearshore environments, with the potential for greater product integration within each customer project. The NextGen PB is intended to provide a stable energy platform for our MDAS solution, and for agile deployment of other intelligence gathering surface and subsea sensors, subsea power applications, such as a surface communications hub for electric remotely operated vehicles (“eROV”) and autonomous underwater vehicles (“AUV”) used for mine counter measures, unexploded ordinance disposal, subsea acoustic monitoring, underwater inspections and short-term maintenance, and subsea equipment monitoring and control. The design has a high payload capacity for surveillance and communications equipment, including subsea acoustics, with the capability of being tethered to subsea payloads such as batteries, or with a conventional anchor mooring system. Energy is stored in onboard lithium ion batteries which can power subsea and topside payloads. The control system uses sensors and an onboard computer to continuously monitor the subsystems. The NextGen PB is designed to be able to operate over a broad range of temperature and ocean wave conditions. It has a 50kW-hour battery system which can be expanded up to 100 kW-hour energy.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Strategic Consulting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OPT divested its non-core strategic consulting team so that it can more fully focus its efforts and resources on the commercialization of its cutting-edge pipeline of products – particularly for the national security and defense markets. Going forward, the focus of our Strategic Consulting Services will be on delivering value to our customers through services which can be integrated in support of our broader PaaS and/or DaaS and RaaS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Strategy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strategy includes developing integrated solutions and services, including autonomous and cloud-based delivery systems for ocean intelligence, ocean data and predictive analytics to provide actionable intelligence for our clients. We believe that having demonstrated the capability of our solutions, we can advance our product and services and gain further adoption from our target markets. Our marketing efforts are focused on offshore locations that require a cost-efficient solution for renewable, reliable, and persistent power, data collection, and communications, either by supplying electric power to payloads that are integrated directly with our products or located in its vicinity, such as on the surface, the seabed, or in the water column. Our recent projects have been primarily focused on military and government applications.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recent market analysis reveals evolving dynamics within the offshore MDA sector, notably influenced by the technological revolution that enhances MDA capabilities through advanced, low-cost unmanned systems. This shift, highlighted by the National Plan to achieve MDA by the Department of Homeland Security (“DHS”) and the Government Accountability Office (“GAO”) in their 2022 ‘Unmanned Maritime Systems’ report on Maritime Security, is further exemplified by the United States Coast Guard’s March 2023 Unmanned System Strategic Plan. This plan outlines a vision to effectively employ, defend against, and regulate unmanned systems in maritime operations, underscoring the strategic importance of collaborative international efforts in maritime security. The United States is actively encouraging Pacific allies to bolster their maritime surveillance capabilities to counteract regional coercive behaviors, reflecting a broader trend towards democratizing technology to enhance global maritime safety, security, and prosperity. This aligns with our company’s positioning, as our products are well-suited to enable the Coast Guard and other maritime bodies to achieve their mission-critical capabilities in surveillance, detection, classification, identification, and prosecution, which are essential for executing statutory missions. Moreover, large defense contractors’ increasing interest in the “ocean data collection” space, through acquisition of small and mid-size unmanned and autonomous surface vehicle companies, signifies a growing market and application opportunities for our unmanned system offerings. Within the United States, our MDAS deployed on our modular PowerBuoys® can also be deployed domestically, enhancing our market size.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Unmanned systems are increasingly in demand by defense and security and commercial companies to reduce costs and improve safety in offshore operations. Also, geopolitical developments such as conflict in the Middle East and Eastern Europe demonstrate the need for countries to protect their borders. In addition, the need to protect exclusive economic zones from illegal fishing activities and protect natural resources on the seabed are accelerating the adoption of solutions or technologies that collect, transmit, and synthesize data to provide actionable intelligence and decision-advantage to clients. Our recent operations in Bahrain and in the Asia Pacific region show the broadening geographic opportunity for our services, especially in the defense and security markets. This includes support for other unmanned assets, such as aerial drones, deployment of underwater vehicles, that can then communicate via PowerBuoy deployed communication links, and as a deployment platform for secure communication networks.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focused on serving defense and security organizations, while also targeting offshore wind, science and research, and ports and harbors. Our pipeline continues to grow and comprises primarily of participants in defense and security markets. In addition, we continue to see a growing number of commercial opportunities as we witness growing interest from offshore wind companies for autonomous monitoring, surveillance and survey-related services during various stages of the project development cycle. Further, we are attracting interest targeted toward subsea applications, using proprietary sensor payloads for environmental monitoring and subsea intelligence. We believe that our buoys and WAM-Vs® are uniquely able to deliver these services either as a standalone solution or in combination with other systems. Furthermore, we are becoming a trusted provider of solutions for the hydrography survey market, especially for shallow water operations.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Commercial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above, we are now primarily focused on commercial activities. We have built a suite of products that we believe will be the basis for our current and future commercial success resulting in meaningful progress in orders, pipeline, and backlog. We continue to seek new strategic relationships and further develop our existing partnerships. We collaborate with companies that have developed or are developing in-ocean applications requiring a persistent source of power that is also capable of real time data collection, processing and communication, to address potential customer needs. For the nine months ended January 31, 2024 and 2023, the Company had two customers whose revenues accounted for at least 10% of the Company’s consolidated revenues, respectively. These revenues accounted for approximately 36% and 28% of the Company’s total revenue for the respective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achieve success in ongoing commercialization efforts, we must expand our customer base and obtain commercial contracts to lease or sell our solutions and services to customers. Our potential customer base for our solutions includes various public and private entities, and agencies that require remote offshore power.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Current and Recent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contracts were entered into during fiscal 2024:</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Funding from the NPS in Monterey, California, for the year-long deployment of a PowerBuoy® in Monterey Bay, California. The PowerBuoy®, integrating our MDAS along with cutting-edge Satellite communication and AT&amp;T 5G technology, will demonstrate its persistent surveillance and communications capacities in a maritime environment. This deployment marks a significant milestone in maritime technology, showcasing the potential of standalone at-sea infrastructure nodes to support the Joint Force’s diverse operational needs. It aims to explore and exploit the value that such autonomous at-sea infrastructure can provide, particularly in enhancing situational awareness and communication capabilities for maritime operations. Furthermore, this deployment signifies the first installation of AT&amp;T cellular technology on one of our commercially proven ocean buoys. This advancement is a testament to the ongoing collaboration between OPT and AT&amp;T, which began with the SLAMR initiative at NPS and has now evolved into a focused effort to enable AT&amp;T’s pioneering 5G At Sea initiative.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Company received a $6.5 million letter contract from a U.S. based prime contractor for multiple maritime domain awareness buoys advancing our commitment to national security and intelligence. This collaboration between the Company and the prime contractor will focus on providing multi domain marine solutions in support of U.S. government agencies. Our PowerBuoys® will play a pivotal role in enhancing surveillance capabilities above and below the waterline, contributing significantly to maritime domain awareness initiatives. The current contract enables us to advance the preparation of its Next Generation PowerBuoy® systems with definitization to be received.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volume order from Sulmara, a prominent player in offshore services, of WAM-V 16 uncrewed surface vehicles, making this the largest single order of WAM-Vs to date. The order, valued at $1.6 million, underscores our commitment to providing innovative and sustainable solutions for the offshore industry. Due to demand, production is already underway to support and will allow for revenue recognition this fiscal year.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contract in support of foreign law enforcement. This collaboration aims to protect vital marine species and combat illegal, unreported, and unregulated fishing activities in critical habitats using our state-of-the-art uncrewed technologies and demonstrates unprecedented, networked surveillance capabilities and evidence collection, allowing authorities to gather critical information and support legal actions while keeping personnel safely out of harm’s way until the precise time and conditions favor interdiction efforts.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award of three separate IDIQ Multiple-Award Contracts from the NOAA. NOAA has selected us as one of several Multiple Award IDIQ contract holders to provide Uncrewed Maritime Systems Services to NOAA’s Office of Marine and Aviation Operations uncrewed systems operation center. These contracts have the potential to result in millions of dollars of revenue for us, and the ordering period is set to span three years, commencing on September 1, 2023, and concluding on August 31, 2026.</w:t>
            </w:r>
          </w:p>
        </w:tc>
      </w:tr>
    </w:tbl>
    <w:p>
      <w:pPr>
        <w:pStyle w:val="TextBody"/>
        <w:bidi w:val="0"/>
        <w:spacing w:before="0" w:after="0"/>
        <w:ind w:left="0" w:right="0" w:hanging="0"/>
        <w:jc w:val="both"/>
        <w:rPr>
          <w:caps w:val="false"/>
          <w:smallCaps w:val="false"/>
          <w:color w:val="333333"/>
        </w:rPr>
      </w:pPr>
      <w:r>
        <w:rPr>
          <w:caps w:val="false"/>
          <w:smallCaps w:val="false"/>
          <w:color w:val="333333"/>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Relationships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solutions are best developed, sold, deployed, and maintained together with subject matter experts in their respective fields. This enables the Company to protect, maintain, and evolve our various platforms and integrate them with surface and subsea payloads. The Company has previously entered into business relationships focused on including, but not limited to, deployment and installations, sourcing of surface payloads, and integration with autonomous vehicles. To augment our own internal software development team and further develop the MDAS, we maintain ongoing strategic software and robotics partnerships with software companies. We believe the business relationships with these software companies will further the development, alongside our internal technology resources, of our next-generation MDAS product for the maritime industrial market and governmental defense and security organizations.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third-party software companies are contributing to the Company’s MDAS by providing integration software, control software, autonomy and systems integration for the buoy sensor payload. In addition, they are assisting the Company with designing and building a customized data platform that supports the Company’s MDAS with sensor data feed management, secure communications management, a cloud-based infrastructure, and web-based user interface. The platform was designed with a flexible architecture that allows the Company to integrate new sensor technologies and third-party analytics capabilities and share MDAS data with customers and partners. During fiscal 2024, the Company has decreased its reliance on third-party software parties through increased support from its internal software team.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maintain an active dialogue with several offshore specialists and marine operations partners globally to support our deployment, maintenance, and recovery operations and projects.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first nine months of fiscal 2024, we have continued to advance our marketing programs, products, and solutions. We have substantially completed our research and development efforts, thus positioning the Company to increase its focus on delivering intelligent maritime solutions and services, particularly in the national security and defense markets. We intend to build on these efforts by introducing additional processes and making investments in appropriate human capital, operations, and manufacturing capabilities. In support of our focus on the national security and defense markets, we have developed a defense specific sales team, including veterans from the U.S. Navy, Swedish Navy, and U.S. Intelligence Community.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on November 20, 2023, we retained Rear Admiral Victorino “Vic” G. Mercado (Retired) as a special advisor to the Company’s Board of Directors. We are leveraging Vic’s experience, expertise, and networks as we build on our momentum in providing intelligent maritime solutions to the U.S. Government and defense and security sectors, and carefully navigate the challenges of securing access to and protecting highly sensitive and confidential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majority of the Company’s potential customers are in areas of defense and security, hydrographic survey, offshore wind, offshore and coastal communication networks, and MDA, including mitigation of IUU fishing, where the end use may be both domestic and abroad.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demonstration projects have been a requisite step towards broad solution deployment and revenues associated with specific applications such as our New Jersey MDAS test array as part of our DaaS solution and to highlight these capabilities. Customers may want their own dedicated demonstration depending on customer needs. During a typical demonstration project’s specification, negotiation and evaluation period, we are often subject to the prospective customer’s vendor qualification process, which entails substantial due diligence of the Company and its capabilities. Such demonstrations are often a required step prior to leasing and may include negotiation of standard terms and conditions. Many proposals contain provisions which would provide the option to purchase or lease our PowerBuoy® or WAM-V® product upon successful conclusion of the demonstration project. The Company maintains a fleet of WAM-Vs® dedicated to demonstrations and has successfully demonstrated the capabilities of many of its solutions on its own or in customer-sponsored evaluation projects and remains focused on further demonstrations to build customer awareness and confidence and to drive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pursuing a long-term growth strategy to expand its market value proposition while growing the Company’s revenue base. This strategy includes partnerships with leading companies and organizations in adjacent and complementary markets. We continue to develop our PowerBuoy® and WAM-V® products for use in offshore power, data acquisition, and real-time data communications applications, and in order to achieve this goal, we are pursuing the following business objectives: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integrated turn-key solutions, purchases or leases. We believe our DaaS, RaaS and PaaS solutions, together with our platforms, are well suited to enable unmanned, autonomous (non-grid connected) offshore applications, such as intelligence, surveillance, and reconnaissance (ISR), mine counter measure operations, topside and subsea surveillance and communications, surveying, subsea equipment monitoring, early warning systems platform, subsea power and buffering, and weather and climate data collection. We have investigated and realized market demand for some of these solutions, and we intend to sell and/or lease our products to these markets as part of these broader integrated solutions. Additionally, we intend to provide services associated with our solution offerings such as paid engineering studies, value-added engineering, maintenance, remote monitoring and diagnostics, application engineering, planning, training, project management, and marine and logistics support required for our solution life cycle. As our MDAS development continues, we expect that this will also include data and cloud services.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 customer system solution offerings through new complementary products that enable more cost-efficient deployments that make shorter missions more feasible. We are continuously innovating new solutions to deliver enhanced value to our customers, such as enhancing our MDAS and improving our deployment platforms solutions, such as our PowerBuoys® and WAM-Vs®. We have substantially completed development of our next generation PowerBuoy</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that incorporates wave, wind, and solar power generation capabilities in a robust yet cost effective system that supports shorter term missions as well as the ability to operate in near shore and low wave environments. This effort was partially funded by the DOE SBIR Phase II award. In addition, we have integrated PowerBuoy® and WAM-V® capabilities, including WAM-V® recharging from a PowerBuoy®, with future plans to integrate MDAS capabilities into our WAM-Vs®, thus extending our reach and providing both fixed and mobile MDAS offerings to our customers.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Focus WAM-Vs® on the defense and security, hydrographic survey, and surveillance industries are well positioned to capitalize on the growing demand for unmanned surface vehicles to provide maritime safety, security, and awareness of what is happening in the maritime domain, including surveillance, detection, classification, and identification. The ability of our WAM-Vs® to handle various payloads allows us to target navigation surveys, marine infrastructure surveys, berth clearance surveys, dredging surveys, and mining pit surveys. Near-term future markets for our WAM-Vs® include the use of WAM-Vs® for the launch of aerial drones and underwater survey equipment. WAM-Vs® are easily and economically shipped via land, air, or sea, and their modular design enables us to quickly reduce their size for storage or shipment. The ability to disassemble a WAM-V® reduces the footprint by as much as 75%, and as a result, a 20-foot container can hold four 16-foot WAM-Vs®. In addition, our 8-foot WAM-V® can be checked as baggage on a standard commercial flight. To integrate our solutions and add roaming as an option or enhancement to our MDAS, we are advancing developments to further integrate MDAS into the WAM-V® platform and develop additional autonomy capabilities.</w:t>
            </w:r>
          </w:p>
        </w:tc>
      </w:tr>
    </w:tbl>
    <w:p>
      <w:pPr>
        <w:pStyle w:val="TextBody"/>
        <w:bidi w:val="0"/>
        <w:spacing w:before="0" w:after="0"/>
        <w:ind w:left="72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Focus sales efforts on key global markets in the U.S., Middle East, Latin America, and Asia Pacific. These efforts are already yielding success as evidenced by the February 2024 orders received from a Latin American customer for fully integrated WAM-V Unmanned Surface Vehicles totaling over $1.25 million. While we are marketing our products and services globally, we have focused on several key markets and applications, including U.S. and foreign defense and security applications with our MDAS offering; and the hydrographic survey market with regard to our WAM-Vs®. We believe that each of these areas has demand for our solutions, sizable end market opportunities, and high levels of industrialization and economic development. Our headquarters in Monroe Township, New Jersey and our office in Richmond, California enable us to support the geographic diversity of our customers and strengthen our dialogue with our solution partners located on both the east and west coasts of the United States.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 our relationships in key market areas through strategic partnerships and collaborations. We believe that strategic partners are an important part of expanding visibility to our products. Partnerships and collaborations can be used to improve the development of overall integrated solutions, create new market channels, expand commercial know-how and geographic footprint, and bolster our product delivery capabilities. We have formed such a relationship with several well-known groups, and we continue to seek other opportunities to collaborate with application experts from within our selected markets. These partnerships have helped us source services, such as installation expertise, and products, such as MDA enabling equipment, to meet our development and customer obligations. We have been actively pursuing additional opportunities to bring in-house skills, capabilities, and solutions that are complementary to our strategy and enable us to scale more quickly.</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Partner with fabrication, deployment and service contractors. In order to minimize our capital requirements as we scale our business, we intend to optimize and utilize state of the art fabrication, anchoring, mooring, cabling supply, and in some cases, deployment of our products and solutions. We believe this domestically distributed manufacturing and assembly approach enables us to focus on our core competencies and ensure a cost-effective product by leveraging a larger more established supply base. We continue to seek strategic partnerships regarding servicing of our products and solutions.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 survey and security market applications. Through our WAM-V® products, we can increase our ability to lease vehicles specifically to support shoreline and offshore survey markets as well as security applications while integrating MDA into these solutions.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January 31, 2024, the Company incurred a net loss of approximately $20.8 million and used cash in operations of approximately $24.7 million. Cash used in operations includes cash payments of the MAR earnout payable of $0.5 million and payment of the fiscal 2023 bonus for all employees. In addition, the Company has continued to make investments to build inventory, support order backlog and future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incurred expenses of approximately $3.2 million related to a shareholder activist activity and related litigation with Paragon Technologies, Inc. (see Note 14) and preparation for its 2023 Annual Meeting of Shareholders. These expenses are a direct result of the Paragon litigation and were not incurred in the prior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future results of operations involve significant risks and uncertainties. Factors that could affect the Company’s future operating results and could cause actual results to vary materially from expectations include, but are not limited to, access to capital, performance of its products, its ability to market and commercialize its products and new products that it may develop, technology development, scalability of technology and production, ability to attract and retain key personnel, concentration of customers and suppliers, pending or threatened litigation (including recent litigation noted above), and deployment risks and integration of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January 31, 2024 and through the date of filing of this Form 10-Q, management has not obtained any material additional capital financing. Management believes the Company’s cash balance of $4.9 million and short term investments balance of $4.4 million at January 31, 2024 may not be sufficient to fund its planned operations through March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conditions and events raise substantial doubt about the Company’s ability to continue as a going concern for at least a period of one year from the issuance of these consolidated financial statements. The ability to continue as a going concern is dependent upon the Company’s operations in the future and/or obtaining the necessary financing to meet its obligations and repay its liabilities arising from normal business operations when they become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20, 2020, the Company entered into an At-the-Market Offering Agreement (“ATM”) with AGP (the “2020 ATM Facility”). The 2020 ATM Facility was terminated by the Company effective June 2,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7, 2023, the Company entered into a Controlled Equity Offering Sales Agreement (the “2023 ATM”) with Cantor Fitzgerald &amp; Co. (“Cantor”), as sales agent, which was terminated effective December 2,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choose to seek another sales agent for a new ATM in the future. The sale of additional equity under new facilities could result in dilution to our shareholders. If additional funds are raised through the issuance of debt securities or preferred stock, these securities could have rights senior to those associated with our common stock and could contain covenants that would restrict our operations. The Company cannot be certain that additional equity and/or debt financing will be available to the Company as needed on acceptable terms, or at all. If we are unable to obtain required financing when needed, we may be required to reduce the scope of our operations, including our planned product development and marketing efforts, which could materially and adversely affect our financial condition and operating results. If we are unable to secure additional financing, we may be forced to cease our operations.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Backlog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January 31, 2024, the Company’s backlog was $3.3 million. Our backlog includes unfilled firm orders for our products and services from commercial or governmental customers. If any of our contracts were to be terminated, our backlog would be reduced by the expected value of the remaining terms of such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contract backlog is not necessarily indicative of future revenue because modifications to or terminations of present contracts and production delays can provide additional revenue or reduce anticipated revenue. A portion of our revenue is recognized using the input method used to measure progress towards completion of our customer contracts over time, and changes in estimates from time to time may have a significant effect on revenue and backlog. Our backlog is also typically subject to large variations from time to time due to the timing of new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understand our financial statements, it is important to understand our critical accounting policies and estimates. We prepare our financial statements in accordance with U.S. Generally Accepted Accounting Principles (“U.S. GAAP”). The preparation of financial statements also requires us to make estimates and assumptions that affect the reported amounts of assets, liabilities, costs and expenses and related disclosures. We base our estimates on historical experience and on various other assumptions that we believe to be reasonable under the circumstances. Actual results could differ significantly from the estimates made by our management. To the extent that there are differences between our estimates and actual results, our future financial statement presentation, financial condition, results of operations and cash flows will be affected. We believe that accounting policies are critical to understanding our historical and future performance, as these policies relate to the more significant areas involving management’s judgments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discussion of our critical accounting estimates, see the section entitled Item 7. “Management’s Discussion and Analysis of Financial Condition and Results of Operations” in our Annual Report on Form 10-K for the year ended April 30, 2023. There were no material changes to our critical accounting estimates or accounting policies during the nine months ended January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revenue in accordance with Accounting Standards Codification 606 (ASC 606) for contracts with customers and Accounting Standards Codification 842 (ASC 842) for leasing arrangements. In relation to ASC 606, which states that a performance obligation is the unit of account for revenue recognition, the Company assesses the goods or services promised in a contract with a customer and identifies as a performance obligation as either: a) a good or service (or a bundle of goods or services) that is distinct; or b) a series of distinct goods or services that are substantially the same and that have the same pattern of transfer to the customer. A contract may contain a single performance obligation or multiple performance obligations. For contracts with multiple performance obligations, the Company allocates the contracted transaction price to each performance obligation based upon the relative standalone selling price, which represents the price the Company would sell a promised good or service separately to a customer. The Company determines the standalone selling price based upon the facts and circumstances of each obligated good or service. When no observable standalone selling price is available, the standalone selling price is generally estimated based upon the Company’s forecast of the total cost to satisfy the performance obligation plus an appropriate profit margin.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of the Company’s contracts may give rise to several types of variable consideration, including unpriced change orders, liquidated damages and penalties. Variable consideration can also arise from modifications to the scope of services. Variable consideration is included in the transaction price to the extent it is probable that a significant reversal of cumulative revenue recognized will not occur once the uncertainty associated with the variable consideration is resolved. Our estimates of variable consideration and determination of whether to include such amounts in the transaction price are based largely on our assessment of legal enforceability, performance, and any other information (historical, current, and forecasted) that is reasonably available to us. There was no variable consideration as of January 31, 2024 or 2023. The Company presents shipping and handling costs, that occur after control of the promised goods or services transfer to the customer, as fulfillment costs in costs of goods sold and regular shipping and handling activities charged to 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when or as it satisfies a performance obligation by transferring a good or service to a customer, either (1) at a point in time or (2) over time. A good or service is transferred when or as the customer obtains control. The evaluation of whether control of each performance obligation is transferred at a point in time or over time is made at contract inception. Input measures such as costs incurred are utilized to assess progress against specific contractual performance obligations for the Company’s services. The selection of the method to measure progress towards completion requires judgment and is based on the nature of the services to be provided. For the Company, the input method using costs or labor hours incurred best represents the measure of progress against the performance obligations incorporated within the contractual agreements. If estimated total costs on any contract project a loss, the Company charges the entire estimated loss to operations in the period the loss becomes known. The cumulative effect of revisions to revenue, estimated costs to complete contracts, including penalties, change orders, claims, anticipated losses, and others are recorded in the accounting period in which the events indicating a loss are known and the loss can be reasonably estimated. These loss projections are re-assessed for each subsequent reporting period until the project is complete. Such revisions could occur at any time and the effects may be material. During the nine-month period ended January 31, 2024, the Company recognized approximately $2.6 million in revenue related to performance obligations satisfied at a point in time and approximately $1.4 million in revenue related to performance obligations satisfied over time. During the three-month period ended January 31, 2024 the Company recognized approximately $1.4 million in revenue related to performance obligation satisfied at a point in time and approximately $0.4 million in revenue related to performance obligations satisfied over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contracts are either cost-plus contracts, fixed-price contracts, time and material agreements, lease or service agreements. Under cost plus contracts, customers are billed for actual expenses incurred plus an agreed-upon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two types of fixed-price contracts, firm fixed-price and cost-sharing. Under firm fixed-price contracts, the Company receives an agreed-upon amount for providing products and services specified in the contract, and a profit or loss is recognized depending on whether actual costs are more or less than the agreed upon amount. Under cost-sharing contracts, the fixed amount agreed upon with the customer is only intended to fund a portion of the costs on a specific project. Under cost sharing contracts, an amount corresponding to the revenue is recorded in cost of revenue, resulting in gross profit on these contracts of zero. The Company’s share of the costs is recorded as product development expense. The Company reports its disaggregation of revenue by contract type since this method best represents the Company’s business. For the nine months ended January 31, 2024 and 2023, the majority of the Company’s contracts were classified as firm fixed-price and the balance were cost-sharing.</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revenue also includes revenue from certain contracts which do not fall within the scope of ASC 606, but under the scope of ASC 842. At inception of a contract for those classified under ASC 842, the Company classifies leases as either operating or financing in accordance with the authoritative accounting guidance contained within ASC Topic 842, “Leases”. If the direct financing or sales-type classification criteria are met, then the lease is accounted for as a finance lease. All others are treated as operating leases. The Company recognizes revenue from operating lease arrangements generally on a straight-line basis over the lease term, or as agreed upon in-use days are utilized, which is presented in Revenue in the Consolidated Statement of Operations. The Company also enters into lease arrangements for its PowerBuoys® and WAM-V® with certain customers. Revenue related to multiple-element arrangements is allocated to lease and non-lease elements based on their relative standalone selling prices or expected cost plus a margin approach. Lease elements generally include a PowerBuoy®, WAM-V®, and components, while non-lease elements, which the Company expects to become more prevalent, generally include engineering, monitoring and support services. In the lease arrangement, the customer may be provided with an option to extend the lease term or purchase the leased buoy or WAM-V® at some point during and/or at the end of the lease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Recently Issued Accounting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recently issued accounting standards in the current or prior periods that would significantly affect the Company’s financial statements, that have not been addressed in prior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Operations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describes certain line items in our statement of operations and some of the factors that affect our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both of the nine months ended January 31, 2024 and 2023, the Company had two customers whose revenues accounted for at least 10% of the Company’s consolidated revenues. These revenues accounted for approximately 36% and 28% of the Company’s total revenue for the respective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focus our sales efforts in key global markets in North America, South America, Europe and Asia. The following table shows the percentage of our revenues by geographical location of our customers for the nine months ended January 31, 2024 and 2023.</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20"/>
        <w:gridCol w:w="60"/>
        <w:gridCol w:w="174"/>
        <w:gridCol w:w="1092"/>
        <w:gridCol w:w="617"/>
        <w:gridCol w:w="172"/>
        <w:gridCol w:w="174"/>
        <w:gridCol w:w="1092"/>
        <w:gridCol w:w="215"/>
        <w:gridCol w:w="60"/>
        <w:gridCol w:w="167"/>
        <w:gridCol w:w="1050"/>
        <w:gridCol w:w="593"/>
        <w:gridCol w:w="165"/>
        <w:gridCol w:w="167"/>
        <w:gridCol w:w="1050"/>
        <w:gridCol w:w="237"/>
      </w:tblGrid>
      <w:tr>
        <w:trPr/>
        <w:tc>
          <w:tcPr>
            <w:tcW w:w="3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2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 January 31,</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9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Nine months ended January 31,</w:t>
            </w:r>
          </w:p>
        </w:tc>
        <w:tc>
          <w:tcPr>
            <w:tcW w:w="237" w:type="dxa"/>
            <w:tcBorders/>
            <w:vAlign w:val="center"/>
          </w:tcPr>
          <w:p>
            <w:pPr>
              <w:pStyle w:val="TableContents"/>
              <w:bidi w:val="0"/>
              <w:spacing w:before="0" w:after="283"/>
              <w:jc w:val="left"/>
              <w:rPr/>
            </w:pPr>
            <w:r>
              <w:rPr/>
              <w:t> </w:t>
            </w:r>
          </w:p>
        </w:tc>
      </w:tr>
      <w:tr>
        <w:trPr/>
        <w:tc>
          <w:tcPr>
            <w:tcW w:w="3120" w:type="dxa"/>
            <w:tcBorders>
              <w:bottom w:val="single" w:sz="12" w:space="0" w:color="000000"/>
            </w:tcBorders>
            <w:tcMar>
              <w:bottom w:w="28" w:type="dxa"/>
            </w:tcMar>
            <w:vAlign w:val="center"/>
          </w:tcPr>
          <w:p>
            <w:pPr>
              <w:pStyle w:val="TableContents"/>
              <w:bidi w:val="0"/>
              <w:spacing w:before="0" w:after="283"/>
              <w:jc w:val="left"/>
              <w:rPr>
                <w:b/>
              </w:rPr>
            </w:pPr>
            <w:r>
              <w:rPr>
                <w:b/>
              </w:rPr>
              <w:t>Customer Location*</w:t>
            </w:r>
          </w:p>
        </w:tc>
        <w:tc>
          <w:tcPr>
            <w:tcW w:w="60" w:type="dxa"/>
            <w:tcBorders/>
            <w:vAlign w:val="center"/>
          </w:tcPr>
          <w:p>
            <w:pPr>
              <w:pStyle w:val="TableContents"/>
              <w:bidi w:val="0"/>
              <w:spacing w:before="0" w:after="283"/>
              <w:jc w:val="left"/>
              <w:rPr/>
            </w:pPr>
            <w:r>
              <w:rPr/>
              <w:t> </w:t>
            </w:r>
          </w:p>
        </w:tc>
        <w:tc>
          <w:tcPr>
            <w:tcW w:w="126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17"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26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593"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21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37" w:type="dxa"/>
            <w:tcBorders/>
            <w:vAlign w:val="center"/>
          </w:tcPr>
          <w:p>
            <w:pPr>
              <w:pStyle w:val="TableContents"/>
              <w:bidi w:val="0"/>
              <w:spacing w:before="0" w:after="283"/>
              <w:jc w:val="left"/>
              <w:rPr/>
            </w:pPr>
            <w:r>
              <w:rPr/>
              <w:t> </w:t>
            </w:r>
          </w:p>
        </w:tc>
      </w:tr>
      <w:tr>
        <w:trPr/>
        <w:tc>
          <w:tcPr>
            <w:tcW w:w="3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6" w:type="dxa"/>
            <w:gridSpan w:val="2"/>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266"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7" w:type="dxa"/>
            <w:gridSpan w:val="2"/>
            <w:tcBorders/>
            <w:vAlign w:val="center"/>
          </w:tcPr>
          <w:p>
            <w:pPr>
              <w:pStyle w:val="TableContents"/>
              <w:bidi w:val="0"/>
              <w:spacing w:before="0" w:after="283"/>
              <w:jc w:val="left"/>
              <w:rPr/>
            </w:pPr>
            <w:r>
              <w:rPr/>
              <w:t> </w:t>
            </w:r>
          </w:p>
        </w:tc>
        <w:tc>
          <w:tcPr>
            <w:tcW w:w="593"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217" w:type="dxa"/>
            <w:gridSpan w:val="2"/>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r>
      <w:tr>
        <w:trPr/>
        <w:tc>
          <w:tcPr>
            <w:tcW w:w="3120" w:type="dxa"/>
            <w:tcBorders/>
            <w:shd w:fill="CCEEFF" w:val="clear"/>
            <w:vAlign w:val="center"/>
          </w:tcPr>
          <w:p>
            <w:pPr>
              <w:pStyle w:val="TableContents"/>
              <w:bidi w:val="0"/>
              <w:spacing w:before="0" w:after="283"/>
              <w:jc w:val="left"/>
              <w:rPr/>
            </w:pPr>
            <w:r>
              <w:rPr/>
              <w:t>North America &amp; South America</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092" w:type="dxa"/>
            <w:tcBorders/>
            <w:shd w:fill="CCEEFF" w:val="clear"/>
            <w:vAlign w:val="center"/>
          </w:tcPr>
          <w:p>
            <w:pPr>
              <w:pStyle w:val="TableContents"/>
              <w:bidi w:val="0"/>
              <w:spacing w:before="0" w:after="283"/>
              <w:jc w:val="right"/>
              <w:rPr/>
            </w:pPr>
            <w:r>
              <w:rPr/>
              <w:t>100</w:t>
            </w:r>
          </w:p>
        </w:tc>
        <w:tc>
          <w:tcPr>
            <w:tcW w:w="617" w:type="dxa"/>
            <w:tcBorders/>
            <w:shd w:fill="CCEEFF" w:val="clear"/>
            <w:vAlign w:val="center"/>
          </w:tcPr>
          <w:p>
            <w:pPr>
              <w:pStyle w:val="TableContents"/>
              <w:bidi w:val="0"/>
              <w:spacing w:before="0" w:after="283"/>
              <w:jc w:val="left"/>
              <w:rPr/>
            </w:pPr>
            <w:r>
              <w:rPr/>
              <w:t>%</w:t>
            </w:r>
          </w:p>
        </w:tc>
        <w:tc>
          <w:tcPr>
            <w:tcW w:w="172"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092" w:type="dxa"/>
            <w:tcBorders/>
            <w:shd w:fill="CCEEFF" w:val="clear"/>
            <w:vAlign w:val="center"/>
          </w:tcPr>
          <w:p>
            <w:pPr>
              <w:pStyle w:val="TableContents"/>
              <w:bidi w:val="0"/>
              <w:spacing w:before="0" w:after="283"/>
              <w:jc w:val="right"/>
              <w:rPr/>
            </w:pPr>
            <w:r>
              <w:rPr/>
              <w:t>97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100</w:t>
            </w:r>
          </w:p>
        </w:tc>
        <w:tc>
          <w:tcPr>
            <w:tcW w:w="593" w:type="dxa"/>
            <w:tcBorders/>
            <w:shd w:fill="CCEEFF" w:val="clear"/>
            <w:vAlign w:val="center"/>
          </w:tcPr>
          <w:p>
            <w:pPr>
              <w:pStyle w:val="TableContents"/>
              <w:bidi w:val="0"/>
              <w:spacing w:before="0" w:after="283"/>
              <w:jc w:val="left"/>
              <w:rPr/>
            </w:pPr>
            <w:r>
              <w:rPr/>
              <w:t>%</w:t>
            </w:r>
          </w:p>
        </w:tc>
        <w:tc>
          <w:tcPr>
            <w:tcW w:w="165"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86</w:t>
            </w:r>
          </w:p>
        </w:tc>
        <w:tc>
          <w:tcPr>
            <w:tcW w:w="237" w:type="dxa"/>
            <w:tcBorders/>
            <w:shd w:fill="CCEEFF" w:val="clear"/>
            <w:vAlign w:val="center"/>
          </w:tcPr>
          <w:p>
            <w:pPr>
              <w:pStyle w:val="TableContents"/>
              <w:bidi w:val="0"/>
              <w:spacing w:before="0" w:after="283"/>
              <w:jc w:val="left"/>
              <w:rPr/>
            </w:pPr>
            <w:r>
              <w:rPr/>
              <w:t>%</w:t>
            </w:r>
          </w:p>
        </w:tc>
      </w:tr>
      <w:tr>
        <w:trPr/>
        <w:tc>
          <w:tcPr>
            <w:tcW w:w="3120" w:type="dxa"/>
            <w:tcBorders/>
            <w:shd w:fill="FFFFFF" w:val="clear"/>
            <w:vAlign w:val="center"/>
          </w:tcPr>
          <w:p>
            <w:pPr>
              <w:pStyle w:val="TableContents"/>
              <w:bidi w:val="0"/>
              <w:spacing w:before="0" w:after="283"/>
              <w:jc w:val="left"/>
              <w:rPr/>
            </w:pPr>
            <w:r>
              <w:rPr/>
              <w:t>Asia &amp; Australia</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9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17" w:type="dxa"/>
            <w:tcBorders/>
            <w:shd w:fill="FFFFFF" w:val="clear"/>
            <w:vAlign w:val="center"/>
          </w:tcPr>
          <w:p>
            <w:pPr>
              <w:pStyle w:val="TableContents"/>
              <w:bidi w:val="0"/>
              <w:spacing w:before="0" w:after="283"/>
              <w:jc w:val="left"/>
              <w:rPr/>
            </w:pPr>
            <w:r>
              <w:rPr/>
              <w:t>%</w:t>
            </w:r>
          </w:p>
        </w:tc>
        <w:tc>
          <w:tcPr>
            <w:tcW w:w="172" w:type="dxa"/>
            <w:tcBorders/>
            <w:shd w:fill="FFFFFF" w:val="clear"/>
            <w:vAlign w:val="center"/>
          </w:tcPr>
          <w:p>
            <w:pPr>
              <w:pStyle w:val="TableContents"/>
              <w:bidi w:val="0"/>
              <w:spacing w:before="0" w:after="283"/>
              <w:jc w:val="left"/>
              <w:rPr/>
            </w:pPr>
            <w:r>
              <w:rPr/>
              <w:t> </w:t>
            </w:r>
          </w:p>
        </w:tc>
        <w:tc>
          <w:tcPr>
            <w:tcW w:w="1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92" w:type="dxa"/>
            <w:tcBorders>
              <w:bottom w:val="single" w:sz="12" w:space="0" w:color="000000"/>
            </w:tcBorders>
            <w:shd w:fill="FFFFFF" w:val="clear"/>
            <w:tcMar>
              <w:bottom w:w="28" w:type="dxa"/>
            </w:tcMar>
            <w:vAlign w:val="center"/>
          </w:tcPr>
          <w:p>
            <w:pPr>
              <w:pStyle w:val="TableContents"/>
              <w:bidi w:val="0"/>
              <w:spacing w:before="0" w:after="283"/>
              <w:jc w:val="right"/>
              <w:rPr/>
            </w:pPr>
            <w:r>
              <w:rPr/>
              <w:t>3</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593" w:type="dxa"/>
            <w:tcBorders/>
            <w:shd w:fill="FFFFFF" w:val="clear"/>
            <w:vAlign w:val="center"/>
          </w:tcPr>
          <w:p>
            <w:pPr>
              <w:pStyle w:val="TableContents"/>
              <w:bidi w:val="0"/>
              <w:spacing w:before="0" w:after="283"/>
              <w:jc w:val="left"/>
              <w:rPr/>
            </w:pPr>
            <w:r>
              <w:rPr/>
              <w:t>%</w:t>
            </w:r>
          </w:p>
        </w:tc>
        <w:tc>
          <w:tcPr>
            <w:tcW w:w="165" w:type="dxa"/>
            <w:tcBorders/>
            <w:shd w:fill="FFFFFF" w:val="clear"/>
            <w:vAlign w:val="center"/>
          </w:tcPr>
          <w:p>
            <w:pPr>
              <w:pStyle w:val="TableContents"/>
              <w:bidi w:val="0"/>
              <w:spacing w:before="0" w:after="283"/>
              <w:jc w:val="left"/>
              <w:rPr/>
            </w:pPr>
            <w:r>
              <w:rPr/>
              <w:t> </w:t>
            </w:r>
          </w:p>
        </w:tc>
        <w:tc>
          <w:tcPr>
            <w:tcW w:w="1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0" w:type="dxa"/>
            <w:tcBorders>
              <w:bottom w:val="single" w:sz="12" w:space="0" w:color="000000"/>
            </w:tcBorders>
            <w:shd w:fill="FFFFFF" w:val="clear"/>
            <w:tcMar>
              <w:bottom w:w="28" w:type="dxa"/>
            </w:tcMar>
            <w:vAlign w:val="center"/>
          </w:tcPr>
          <w:p>
            <w:pPr>
              <w:pStyle w:val="TableContents"/>
              <w:bidi w:val="0"/>
              <w:spacing w:before="0" w:after="283"/>
              <w:jc w:val="right"/>
              <w:rPr/>
            </w:pPr>
            <w:r>
              <w:rPr/>
              <w:t>14</w:t>
            </w:r>
          </w:p>
        </w:tc>
        <w:tc>
          <w:tcPr>
            <w:tcW w:w="237" w:type="dxa"/>
            <w:tcBorders/>
            <w:shd w:fill="FFFFFF" w:val="clear"/>
            <w:vAlign w:val="center"/>
          </w:tcPr>
          <w:p>
            <w:pPr>
              <w:pStyle w:val="TableContents"/>
              <w:bidi w:val="0"/>
              <w:spacing w:before="0" w:after="283"/>
              <w:jc w:val="left"/>
              <w:rPr/>
            </w:pPr>
            <w:r>
              <w:rPr/>
              <w:t>%</w:t>
            </w:r>
          </w:p>
        </w:tc>
      </w:tr>
      <w:tr>
        <w:trPr/>
        <w:tc>
          <w:tcPr>
            <w:tcW w:w="3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92" w:type="dxa"/>
            <w:tcBorders>
              <w:bottom w:val="double" w:sz="6" w:space="0" w:color="000000"/>
            </w:tcBorders>
            <w:shd w:fill="CCEEFF" w:val="clear"/>
            <w:tcMar>
              <w:bottom w:w="28" w:type="dxa"/>
            </w:tcMar>
            <w:vAlign w:val="center"/>
          </w:tcPr>
          <w:p>
            <w:pPr>
              <w:pStyle w:val="TableContents"/>
              <w:bidi w:val="0"/>
              <w:spacing w:before="0" w:after="283"/>
              <w:jc w:val="right"/>
              <w:rPr/>
            </w:pPr>
            <w:r>
              <w:rPr/>
              <w:t>100</w:t>
            </w:r>
          </w:p>
        </w:tc>
        <w:tc>
          <w:tcPr>
            <w:tcW w:w="617" w:type="dxa"/>
            <w:tcBorders/>
            <w:shd w:fill="CCEEFF" w:val="clear"/>
            <w:vAlign w:val="center"/>
          </w:tcPr>
          <w:p>
            <w:pPr>
              <w:pStyle w:val="TableContents"/>
              <w:bidi w:val="0"/>
              <w:spacing w:before="0" w:after="283"/>
              <w:jc w:val="left"/>
              <w:rPr/>
            </w:pPr>
            <w:r>
              <w:rPr/>
              <w:t>%</w:t>
            </w:r>
          </w:p>
        </w:tc>
        <w:tc>
          <w:tcPr>
            <w:tcW w:w="172" w:type="dxa"/>
            <w:tcBorders/>
            <w:shd w:fill="CCEEFF" w:val="clear"/>
            <w:vAlign w:val="center"/>
          </w:tcPr>
          <w:p>
            <w:pPr>
              <w:pStyle w:val="TableContents"/>
              <w:bidi w:val="0"/>
              <w:spacing w:before="0" w:after="283"/>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92" w:type="dxa"/>
            <w:tcBorders>
              <w:bottom w:val="double" w:sz="6" w:space="0" w:color="000000"/>
            </w:tcBorders>
            <w:shd w:fill="CCEEFF" w:val="clear"/>
            <w:tcMar>
              <w:bottom w:w="28" w:type="dxa"/>
            </w:tcMar>
            <w:vAlign w:val="center"/>
          </w:tcPr>
          <w:p>
            <w:pPr>
              <w:pStyle w:val="TableContents"/>
              <w:bidi w:val="0"/>
              <w:spacing w:before="0" w:after="283"/>
              <w:jc w:val="right"/>
              <w:rPr/>
            </w:pPr>
            <w:r>
              <w:rPr/>
              <w:t>100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0" w:type="dxa"/>
            <w:tcBorders>
              <w:bottom w:val="double" w:sz="6" w:space="0" w:color="000000"/>
            </w:tcBorders>
            <w:shd w:fill="CCEEFF" w:val="clear"/>
            <w:tcMar>
              <w:bottom w:w="28" w:type="dxa"/>
            </w:tcMar>
            <w:vAlign w:val="center"/>
          </w:tcPr>
          <w:p>
            <w:pPr>
              <w:pStyle w:val="TableContents"/>
              <w:bidi w:val="0"/>
              <w:spacing w:before="0" w:after="283"/>
              <w:jc w:val="right"/>
              <w:rPr/>
            </w:pPr>
            <w:r>
              <w:rPr/>
              <w:t>100</w:t>
            </w:r>
          </w:p>
        </w:tc>
        <w:tc>
          <w:tcPr>
            <w:tcW w:w="593" w:type="dxa"/>
            <w:tcBorders/>
            <w:shd w:fill="CCEEFF" w:val="clear"/>
            <w:vAlign w:val="center"/>
          </w:tcPr>
          <w:p>
            <w:pPr>
              <w:pStyle w:val="TableContents"/>
              <w:bidi w:val="0"/>
              <w:spacing w:before="0" w:after="283"/>
              <w:jc w:val="left"/>
              <w:rPr/>
            </w:pPr>
            <w:r>
              <w:rPr/>
              <w:t>%</w:t>
            </w:r>
          </w:p>
        </w:tc>
        <w:tc>
          <w:tcPr>
            <w:tcW w:w="165" w:type="dxa"/>
            <w:tcBorders/>
            <w:shd w:fill="CCEEFF" w:val="clear"/>
            <w:vAlign w:val="center"/>
          </w:tcPr>
          <w:p>
            <w:pPr>
              <w:pStyle w:val="TableContents"/>
              <w:bidi w:val="0"/>
              <w:spacing w:before="0" w:after="283"/>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0" w:type="dxa"/>
            <w:tcBorders>
              <w:bottom w:val="double" w:sz="6" w:space="0" w:color="000000"/>
            </w:tcBorders>
            <w:shd w:fill="CCEEFF" w:val="clear"/>
            <w:tcMar>
              <w:bottom w:w="28" w:type="dxa"/>
            </w:tcMar>
            <w:vAlign w:val="center"/>
          </w:tcPr>
          <w:p>
            <w:pPr>
              <w:pStyle w:val="TableContents"/>
              <w:bidi w:val="0"/>
              <w:spacing w:before="0" w:after="283"/>
              <w:jc w:val="right"/>
              <w:rPr/>
            </w:pPr>
            <w:r>
              <w:rPr/>
              <w:t>100</w:t>
            </w:r>
          </w:p>
        </w:tc>
        <w:tc>
          <w:tcPr>
            <w:tcW w:w="237" w:type="dxa"/>
            <w:tcBorders/>
            <w:shd w:fill="CCEEFF" w:val="clear"/>
            <w:vAlign w:val="center"/>
          </w:tcPr>
          <w:p>
            <w:pPr>
              <w:pStyle w:val="TableContents"/>
              <w:bidi w:val="0"/>
              <w:spacing w:before="0" w:after="283"/>
              <w:jc w:val="left"/>
              <w:rPr/>
            </w:pPr>
            <w:r>
              <w:rPr/>
              <w:t>%</w:t>
            </w:r>
          </w:p>
        </w:tc>
      </w:tr>
    </w:tbl>
    <w:p>
      <w:pPr>
        <w:pStyle w:val="TextBody"/>
        <w:bidi w:val="0"/>
        <w:spacing w:before="0" w:after="283"/>
        <w:jc w:val="left"/>
        <w:rPr/>
      </w:pPr>
      <w:r>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For U.S. Government contracts, the revenue is classified as North American however, location of operations may differ.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cost of revenues consists primarily of subcontracts, incurred material, labor and manufacturing overhead expenses, such as engineering expense, equipment depreciation, maintenance, and facility related expenses, and includes the cost of equipment to customize the PowerBuoy® and our other products supplied by third-party suppliers. Cost of revenues also includes PowerBuoy® and other product system delivery and deployment expenses and may include anticipated losses at completion on certain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Engineering and product development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engineering and product development costs consist of salaries and other personnel-related costs and the costs of products, materials and outside services used in our product development and unfunded research activities. Our product development costs relate primarily to our efforts to increase the power output and reliability of our PowerBuoy® system and other products, to enhance and optimize data monitoring and controls systems, and to the development of new products, product applications and complementary technologies. We expense all of our product development costs, including engineering product development costs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general and administrative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selling, general and administrative costs consist primarily of professional fees, salaries and other personnel-related costs for employees and consultants engaged in sales and marketing of our products, and costs for executive, accounting and administrative personnel, professional fees and other general corporate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income,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net consists of interest received on cash, cash equivalents, and short term investments and interest paid on certain obligations to third parties as well as amortization expense related to the premiums on the purchase of short term investments.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Foreign exchange gain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transact business in various countries and have exposure to fluctuations in foreign currency exchange rates. Since we conduct our business in U.S. dollars and our functional currency is the U.S. dollar, our main foreign exchange exposure, if any, results from changes in the exchange rate between the U.S. dollar and transactions settled in foreign currencies.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should we desire to, a portion of our operations can be conducted through our subsidiary in the United Kingdom, the functional currency of which is the British pound sterling. This subsidiary has foreign exchange exposure that results from changes in the exchange rate between their functional currency and other foreign currencies in which they conduct business. For the nine months ended January 31, 2024 and 2023 there has been little to no activity other than regulatory and tax filings.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completed its process of winding down its Australian subsidiary during fiscal 2024. The Company began the process of winding down its UK subsidiary during the nine months ended January 31, 2024 and expects this to be completed within the next 12 months. The unrealized gains or losses resulting from foreign currency balances translation are included in Accumulated Other Comprehensive Loss within Shareholders’ Equity. Foreign currency transaction gains and losses are recognized within our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do not hedge our exchange rate exposure. However, we assess the anticipated foreign currency working capital requirements and capital asset acquisitions of our foreign operations and assess the need and cost to utilize financial instruments to hedge currency exposures on an ongoing basis and may hedge against exchange rate exposure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should be read in conjunction with the discussion below under “Liquidity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Three months ended January 31, 2024 compared to the three months ended January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contains selected statement of operations information, which serves as the basis of the discussion of our results of operations for the three months ended January 31, 2024 and 2023.</w:t>
      </w:r>
    </w:p>
    <w:p>
      <w:pPr>
        <w:pStyle w:val="TextBody"/>
        <w:bidi w:val="0"/>
        <w:spacing w:before="0" w:after="0"/>
        <w:ind w:left="0" w:right="0" w:hanging="0"/>
        <w:jc w:val="left"/>
        <w:rPr>
          <w:caps w:val="false"/>
          <w:smallCaps w:val="false"/>
        </w:rPr>
      </w:pPr>
      <w:r>
        <w:rPr>
          <w:caps w:val="false"/>
          <w:smallCaps w:val="false"/>
        </w:rPr>
        <w:t> </w:t>
      </w:r>
    </w:p>
    <w:tbl>
      <w:tblPr>
        <w:tblW w:w="8637" w:type="dxa"/>
        <w:jc w:val="left"/>
        <w:tblInd w:w="0" w:type="dxa"/>
        <w:tblLayout w:type="fixed"/>
        <w:tblCellMar>
          <w:top w:w="0" w:type="dxa"/>
          <w:left w:w="0" w:type="dxa"/>
          <w:bottom w:w="0" w:type="dxa"/>
          <w:right w:w="0" w:type="dxa"/>
        </w:tblCellMar>
      </w:tblPr>
      <w:tblGrid>
        <w:gridCol w:w="5075"/>
        <w:gridCol w:w="60"/>
        <w:gridCol w:w="278"/>
        <w:gridCol w:w="1264"/>
        <w:gridCol w:w="189"/>
        <w:gridCol w:w="119"/>
        <w:gridCol w:w="278"/>
        <w:gridCol w:w="1264"/>
        <w:gridCol w:w="110"/>
      </w:tblGrid>
      <w:tr>
        <w:trPr/>
        <w:tc>
          <w:tcPr>
            <w:tcW w:w="5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9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 January 31,</w:t>
            </w:r>
          </w:p>
        </w:tc>
        <w:tc>
          <w:tcPr>
            <w:tcW w:w="110" w:type="dxa"/>
            <w:tcBorders/>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89"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54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2" w:type="dxa"/>
            <w:gridSpan w:val="2"/>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542"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w:t>
            </w:r>
          </w:p>
        </w:tc>
        <w:tc>
          <w:tcPr>
            <w:tcW w:w="1264" w:type="dxa"/>
            <w:tcBorders/>
            <w:shd w:fill="CCEEFF" w:val="clear"/>
            <w:vAlign w:val="center"/>
          </w:tcPr>
          <w:p>
            <w:pPr>
              <w:pStyle w:val="TableContents"/>
              <w:bidi w:val="0"/>
              <w:spacing w:before="0" w:after="283"/>
              <w:jc w:val="right"/>
              <w:rPr/>
            </w:pPr>
            <w:r>
              <w:rPr/>
              <w:t>1,792</w:t>
            </w:r>
          </w:p>
        </w:tc>
        <w:tc>
          <w:tcPr>
            <w:tcW w:w="18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w:t>
            </w:r>
          </w:p>
        </w:tc>
        <w:tc>
          <w:tcPr>
            <w:tcW w:w="1264" w:type="dxa"/>
            <w:tcBorders/>
            <w:shd w:fill="CCEEFF" w:val="clear"/>
            <w:vAlign w:val="center"/>
          </w:tcPr>
          <w:p>
            <w:pPr>
              <w:pStyle w:val="TableContents"/>
              <w:bidi w:val="0"/>
              <w:spacing w:before="0" w:after="283"/>
              <w:jc w:val="right"/>
              <w:rPr/>
            </w:pPr>
            <w:r>
              <w:rPr/>
              <w:t>734</w:t>
            </w:r>
          </w:p>
        </w:tc>
        <w:tc>
          <w:tcPr>
            <w:tcW w:w="110"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2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4" w:type="dxa"/>
            <w:tcBorders>
              <w:bottom w:val="single" w:sz="12" w:space="0" w:color="000000"/>
            </w:tcBorders>
            <w:shd w:fill="FFFFFF" w:val="clear"/>
            <w:tcMar>
              <w:bottom w:w="28" w:type="dxa"/>
            </w:tcMar>
            <w:vAlign w:val="center"/>
          </w:tcPr>
          <w:p>
            <w:pPr>
              <w:pStyle w:val="TableContents"/>
              <w:bidi w:val="0"/>
              <w:spacing w:before="0" w:after="283"/>
              <w:jc w:val="right"/>
              <w:rPr/>
            </w:pPr>
            <w:r>
              <w:rPr/>
              <w:t>979</w:t>
            </w:r>
          </w:p>
        </w:tc>
        <w:tc>
          <w:tcPr>
            <w:tcW w:w="18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4" w:type="dxa"/>
            <w:tcBorders>
              <w:bottom w:val="single" w:sz="12" w:space="0" w:color="000000"/>
            </w:tcBorders>
            <w:shd w:fill="FFFFFF" w:val="clear"/>
            <w:tcMar>
              <w:bottom w:w="28" w:type="dxa"/>
            </w:tcMar>
            <w:vAlign w:val="center"/>
          </w:tcPr>
          <w:p>
            <w:pPr>
              <w:pStyle w:val="TableContents"/>
              <w:bidi w:val="0"/>
              <w:spacing w:before="0" w:after="283"/>
              <w:jc w:val="right"/>
              <w:rPr/>
            </w:pPr>
            <w:r>
              <w:rPr/>
              <w:t>598</w:t>
            </w:r>
          </w:p>
        </w:tc>
        <w:tc>
          <w:tcPr>
            <w:tcW w:w="110"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Gross margin</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813</w:t>
            </w:r>
          </w:p>
        </w:tc>
        <w:tc>
          <w:tcPr>
            <w:tcW w:w="18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136</w:t>
            </w:r>
          </w:p>
        </w:tc>
        <w:tc>
          <w:tcPr>
            <w:tcW w:w="110"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8,551</w:t>
            </w:r>
          </w:p>
        </w:tc>
        <w:tc>
          <w:tcPr>
            <w:tcW w:w="18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6,820</w:t>
            </w:r>
          </w:p>
        </w:tc>
        <w:tc>
          <w:tcPr>
            <w:tcW w:w="110"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283"/>
              <w:jc w:val="left"/>
              <w:rPr/>
            </w:pPr>
            <w:r>
              <w:rPr/>
              <w:t>(Gain)/loss from change in fair value of consideration</w:t>
            </w:r>
          </w:p>
        </w:tc>
        <w:tc>
          <w:tcPr>
            <w:tcW w:w="60" w:type="dxa"/>
            <w:tcBorders/>
            <w:shd w:fill="FFFFFF" w:val="clear"/>
            <w:vAlign w:val="center"/>
          </w:tcPr>
          <w:p>
            <w:pPr>
              <w:pStyle w:val="TableContents"/>
              <w:bidi w:val="0"/>
              <w:spacing w:before="0" w:after="283"/>
              <w:jc w:val="left"/>
              <w:rPr/>
            </w:pPr>
            <w:r>
              <w:rPr/>
              <w:t> </w:t>
            </w:r>
          </w:p>
        </w:tc>
        <w:tc>
          <w:tcPr>
            <w:tcW w:w="2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4" w:type="dxa"/>
            <w:tcBorders>
              <w:bottom w:val="single" w:sz="12" w:space="0" w:color="000000"/>
            </w:tcBorders>
            <w:shd w:fill="FFFFFF" w:val="clear"/>
            <w:tcMar>
              <w:bottom w:w="28" w:type="dxa"/>
            </w:tcMar>
            <w:vAlign w:val="center"/>
          </w:tcPr>
          <w:p>
            <w:pPr>
              <w:pStyle w:val="TableContents"/>
              <w:bidi w:val="0"/>
              <w:spacing w:before="0" w:after="283"/>
              <w:jc w:val="right"/>
              <w:rPr/>
            </w:pPr>
            <w:r>
              <w:rPr/>
              <w:t>(33</w:t>
            </w:r>
          </w:p>
        </w:tc>
        <w:tc>
          <w:tcPr>
            <w:tcW w:w="189" w:type="dxa"/>
            <w:tcBorders/>
            <w:shd w:fill="FFFFFF" w:val="clear"/>
            <w:vAlign w:val="center"/>
          </w:tcPr>
          <w:p>
            <w:pPr>
              <w:pStyle w:val="TableContents"/>
              <w:bidi w:val="0"/>
              <w:spacing w:before="0" w:after="283"/>
              <w:jc w:val="left"/>
              <w:rPr/>
            </w:pPr>
            <w:r>
              <w:rPr/>
              <w:t>)</w:t>
            </w:r>
          </w:p>
        </w:tc>
        <w:tc>
          <w:tcPr>
            <w:tcW w:w="119" w:type="dxa"/>
            <w:tcBorders/>
            <w:shd w:fill="FFFFFF" w:val="clear"/>
            <w:vAlign w:val="center"/>
          </w:tcPr>
          <w:p>
            <w:pPr>
              <w:pStyle w:val="TableContents"/>
              <w:bidi w:val="0"/>
              <w:spacing w:before="0" w:after="283"/>
              <w:jc w:val="left"/>
              <w:rPr/>
            </w:pPr>
            <w:r>
              <w:rPr/>
              <w:t> </w:t>
            </w:r>
          </w:p>
        </w:tc>
        <w:tc>
          <w:tcPr>
            <w:tcW w:w="2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4" w:type="dxa"/>
            <w:tcBorders>
              <w:bottom w:val="single" w:sz="12" w:space="0" w:color="000000"/>
            </w:tcBorders>
            <w:shd w:fill="FFFFFF" w:val="clear"/>
            <w:tcMar>
              <w:bottom w:w="28" w:type="dxa"/>
            </w:tcMar>
            <w:vAlign w:val="center"/>
          </w:tcPr>
          <w:p>
            <w:pPr>
              <w:pStyle w:val="TableContents"/>
              <w:bidi w:val="0"/>
              <w:spacing w:before="0" w:after="283"/>
              <w:jc w:val="right"/>
              <w:rPr/>
            </w:pPr>
            <w:r>
              <w:rPr/>
              <w:t>373</w:t>
            </w:r>
          </w:p>
        </w:tc>
        <w:tc>
          <w:tcPr>
            <w:tcW w:w="110"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Operating loss</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(7,705</w:t>
            </w:r>
          </w:p>
        </w:tc>
        <w:tc>
          <w:tcPr>
            <w:tcW w:w="189" w:type="dxa"/>
            <w:tcBorders/>
            <w:shd w:fill="CCEEFF" w:val="clear"/>
            <w:vAlign w:val="center"/>
          </w:tcPr>
          <w:p>
            <w:pPr>
              <w:pStyle w:val="TableContents"/>
              <w:bidi w:val="0"/>
              <w:spacing w:before="0" w:after="283"/>
              <w:jc w:val="left"/>
              <w:rPr/>
            </w:pPr>
            <w:r>
              <w:rPr/>
              <w:t>)</w:t>
            </w:r>
          </w:p>
        </w:tc>
        <w:tc>
          <w:tcPr>
            <w:tcW w:w="119"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(7,057</w:t>
            </w:r>
          </w:p>
        </w:tc>
        <w:tc>
          <w:tcPr>
            <w:tcW w:w="110" w:type="dxa"/>
            <w:tcBorders/>
            <w:shd w:fill="CCEEFF" w:val="clear"/>
            <w:vAlign w:val="center"/>
          </w:tcPr>
          <w:p>
            <w:pPr>
              <w:pStyle w:val="TableContents"/>
              <w:bidi w:val="0"/>
              <w:spacing w:before="0" w:after="283"/>
              <w:jc w:val="left"/>
              <w:rPr/>
            </w:pPr>
            <w:r>
              <w:rPr/>
              <w:t>)</w:t>
            </w:r>
          </w:p>
        </w:tc>
      </w:tr>
      <w:tr>
        <w:trPr/>
        <w:tc>
          <w:tcPr>
            <w:tcW w:w="5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Interest income, net</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151</w:t>
            </w:r>
          </w:p>
        </w:tc>
        <w:tc>
          <w:tcPr>
            <w:tcW w:w="18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229</w:t>
            </w:r>
          </w:p>
        </w:tc>
        <w:tc>
          <w:tcPr>
            <w:tcW w:w="110"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283"/>
              <w:jc w:val="left"/>
              <w:rPr/>
            </w:pPr>
            <w:r>
              <w:rPr/>
              <w:t>Other income, proceeds from insurance claim</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w:t>
            </w:r>
          </w:p>
        </w:tc>
        <w:tc>
          <w:tcPr>
            <w:tcW w:w="18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458</w:t>
            </w:r>
          </w:p>
        </w:tc>
        <w:tc>
          <w:tcPr>
            <w:tcW w:w="110"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Loss on disposition of assets</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(210</w:t>
            </w:r>
          </w:p>
        </w:tc>
        <w:tc>
          <w:tcPr>
            <w:tcW w:w="189" w:type="dxa"/>
            <w:tcBorders/>
            <w:shd w:fill="CCEEFF" w:val="clear"/>
            <w:vAlign w:val="center"/>
          </w:tcPr>
          <w:p>
            <w:pPr>
              <w:pStyle w:val="TableContents"/>
              <w:bidi w:val="0"/>
              <w:spacing w:before="0" w:after="283"/>
              <w:jc w:val="left"/>
              <w:rPr/>
            </w:pPr>
            <w:r>
              <w:rPr/>
              <w:t>)</w:t>
            </w:r>
          </w:p>
        </w:tc>
        <w:tc>
          <w:tcPr>
            <w:tcW w:w="119"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283"/>
              <w:jc w:val="left"/>
              <w:rPr/>
            </w:pPr>
            <w:r>
              <w:rPr/>
              <w:t>Foreign exchange gain</w:t>
            </w:r>
          </w:p>
        </w:tc>
        <w:tc>
          <w:tcPr>
            <w:tcW w:w="60" w:type="dxa"/>
            <w:tcBorders/>
            <w:shd w:fill="FFFFFF" w:val="clear"/>
            <w:vAlign w:val="center"/>
          </w:tcPr>
          <w:p>
            <w:pPr>
              <w:pStyle w:val="TableContents"/>
              <w:bidi w:val="0"/>
              <w:spacing w:before="0" w:after="283"/>
              <w:jc w:val="left"/>
              <w:rPr/>
            </w:pPr>
            <w:r>
              <w:rPr/>
              <w:t> </w:t>
            </w:r>
          </w:p>
        </w:tc>
        <w:tc>
          <w:tcPr>
            <w:tcW w:w="2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4" w:type="dxa"/>
            <w:tcBorders>
              <w:bottom w:val="single" w:sz="12" w:space="0" w:color="000000"/>
            </w:tcBorders>
            <w:shd w:fill="FFFFFF" w:val="clear"/>
            <w:tcMar>
              <w:bottom w:w="28" w:type="dxa"/>
            </w:tcMar>
            <w:vAlign w:val="center"/>
          </w:tcPr>
          <w:p>
            <w:pPr>
              <w:pStyle w:val="TableContents"/>
              <w:bidi w:val="0"/>
              <w:spacing w:before="0" w:after="283"/>
              <w:jc w:val="right"/>
              <w:rPr/>
            </w:pPr>
            <w:r>
              <w:rPr/>
              <w:t>1</w:t>
            </w:r>
          </w:p>
        </w:tc>
        <w:tc>
          <w:tcPr>
            <w:tcW w:w="18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4" w:type="dxa"/>
            <w:tcBorders>
              <w:bottom w:val="single" w:sz="12" w:space="0" w:color="000000"/>
            </w:tcBorders>
            <w:shd w:fill="FFFFFF" w:val="clear"/>
            <w:tcMar>
              <w:bottom w:w="28" w:type="dxa"/>
            </w:tcMar>
            <w:vAlign w:val="center"/>
          </w:tcPr>
          <w:p>
            <w:pPr>
              <w:pStyle w:val="TableContents"/>
              <w:bidi w:val="0"/>
              <w:spacing w:before="0" w:after="283"/>
              <w:jc w:val="right"/>
              <w:rPr/>
            </w:pPr>
            <w:r>
              <w:rPr/>
              <w:t>2</w:t>
            </w:r>
          </w:p>
        </w:tc>
        <w:tc>
          <w:tcPr>
            <w:tcW w:w="110"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Loss before income taxes</w:t>
            </w:r>
          </w:p>
        </w:tc>
        <w:tc>
          <w:tcPr>
            <w:tcW w:w="60" w:type="dxa"/>
            <w:tcBorders/>
            <w:shd w:fill="CCEEFF" w:val="clear"/>
            <w:vAlign w:val="center"/>
          </w:tcPr>
          <w:p>
            <w:pPr>
              <w:pStyle w:val="TableContents"/>
              <w:bidi w:val="0"/>
              <w:spacing w:before="0" w:after="283"/>
              <w:jc w:val="left"/>
              <w:rPr/>
            </w:pPr>
            <w:r>
              <w:rPr/>
              <w:t> </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4" w:type="dxa"/>
            <w:tcBorders>
              <w:bottom w:val="single" w:sz="12" w:space="0" w:color="000000"/>
            </w:tcBorders>
            <w:shd w:fill="CCEEFF" w:val="clear"/>
            <w:tcMar>
              <w:bottom w:w="28" w:type="dxa"/>
            </w:tcMar>
            <w:vAlign w:val="center"/>
          </w:tcPr>
          <w:p>
            <w:pPr>
              <w:pStyle w:val="TableContents"/>
              <w:bidi w:val="0"/>
              <w:spacing w:before="0" w:after="283"/>
              <w:jc w:val="right"/>
              <w:rPr/>
            </w:pPr>
            <w:r>
              <w:rPr/>
              <w:t>(7,763</w:t>
            </w:r>
          </w:p>
        </w:tc>
        <w:tc>
          <w:tcPr>
            <w:tcW w:w="189" w:type="dxa"/>
            <w:tcBorders/>
            <w:shd w:fill="CCEEFF" w:val="clear"/>
            <w:vAlign w:val="center"/>
          </w:tcPr>
          <w:p>
            <w:pPr>
              <w:pStyle w:val="TableContents"/>
              <w:bidi w:val="0"/>
              <w:spacing w:before="0" w:after="283"/>
              <w:jc w:val="left"/>
              <w:rPr/>
            </w:pPr>
            <w:r>
              <w:rPr/>
              <w:t>)</w:t>
            </w:r>
          </w:p>
        </w:tc>
        <w:tc>
          <w:tcPr>
            <w:tcW w:w="119" w:type="dxa"/>
            <w:tcBorders/>
            <w:shd w:fill="CCEEFF" w:val="clear"/>
            <w:vAlign w:val="center"/>
          </w:tcPr>
          <w:p>
            <w:pPr>
              <w:pStyle w:val="TableContents"/>
              <w:bidi w:val="0"/>
              <w:spacing w:before="0" w:after="283"/>
              <w:jc w:val="left"/>
              <w:rPr/>
            </w:pPr>
            <w:r>
              <w:rPr/>
              <w:t> </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4" w:type="dxa"/>
            <w:tcBorders>
              <w:bottom w:val="single" w:sz="12" w:space="0" w:color="000000"/>
            </w:tcBorders>
            <w:shd w:fill="CCEEFF" w:val="clear"/>
            <w:tcMar>
              <w:bottom w:w="28" w:type="dxa"/>
            </w:tcMar>
            <w:vAlign w:val="center"/>
          </w:tcPr>
          <w:p>
            <w:pPr>
              <w:pStyle w:val="TableContents"/>
              <w:bidi w:val="0"/>
              <w:spacing w:before="0" w:after="283"/>
              <w:jc w:val="right"/>
              <w:rPr/>
            </w:pPr>
            <w:r>
              <w:rPr/>
              <w:t>(6,368</w:t>
            </w:r>
          </w:p>
        </w:tc>
        <w:tc>
          <w:tcPr>
            <w:tcW w:w="110" w:type="dxa"/>
            <w:tcBorders/>
            <w:shd w:fill="CCEEFF" w:val="clear"/>
            <w:vAlign w:val="center"/>
          </w:tcPr>
          <w:p>
            <w:pPr>
              <w:pStyle w:val="TableContents"/>
              <w:bidi w:val="0"/>
              <w:spacing w:before="0" w:after="283"/>
              <w:jc w:val="left"/>
              <w:rPr/>
            </w:pPr>
            <w:r>
              <w:rPr/>
              <w:t>)</w:t>
            </w:r>
          </w:p>
        </w:tc>
      </w:tr>
      <w:tr>
        <w:trPr/>
        <w:tc>
          <w:tcPr>
            <w:tcW w:w="5075" w:type="dxa"/>
            <w:tcBorders/>
            <w:shd w:fill="FFFFFF" w:val="clear"/>
            <w:vAlign w:val="center"/>
          </w:tcPr>
          <w:p>
            <w:pPr>
              <w:pStyle w:val="TableContents"/>
              <w:bidi w:val="0"/>
              <w:spacing w:before="0" w:after="283"/>
              <w:jc w:val="left"/>
              <w:rPr/>
            </w:pPr>
            <w:r>
              <w:rPr/>
              <w:t>Income tax benefit</w:t>
            </w:r>
          </w:p>
        </w:tc>
        <w:tc>
          <w:tcPr>
            <w:tcW w:w="60" w:type="dxa"/>
            <w:tcBorders/>
            <w:shd w:fill="FFFFFF" w:val="clear"/>
            <w:vAlign w:val="center"/>
          </w:tcPr>
          <w:p>
            <w:pPr>
              <w:pStyle w:val="TableContents"/>
              <w:bidi w:val="0"/>
              <w:spacing w:before="0" w:after="283"/>
              <w:jc w:val="left"/>
              <w:rPr/>
            </w:pPr>
            <w:r>
              <w:rPr/>
              <w:t> </w:t>
            </w:r>
          </w:p>
        </w:tc>
        <w:tc>
          <w:tcPr>
            <w:tcW w:w="2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4" w:type="dxa"/>
            <w:tcBorders>
              <w:bottom w:val="single" w:sz="12" w:space="0" w:color="000000"/>
            </w:tcBorders>
            <w:shd w:fill="FFFFFF" w:val="clear"/>
            <w:tcMar>
              <w:bottom w:w="28" w:type="dxa"/>
            </w:tcMar>
            <w:vAlign w:val="center"/>
          </w:tcPr>
          <w:p>
            <w:pPr>
              <w:pStyle w:val="TableContents"/>
              <w:bidi w:val="0"/>
              <w:spacing w:before="0" w:after="283"/>
              <w:jc w:val="right"/>
              <w:rPr/>
            </w:pPr>
            <w:r>
              <w:rPr/>
              <w:t>1,254</w:t>
            </w:r>
          </w:p>
        </w:tc>
        <w:tc>
          <w:tcPr>
            <w:tcW w:w="18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4" w:type="dxa"/>
            <w:tcBorders>
              <w:bottom w:val="single" w:sz="12" w:space="0" w:color="000000"/>
            </w:tcBorders>
            <w:shd w:fill="FFFFFF" w:val="clear"/>
            <w:tcMar>
              <w:bottom w:w="28" w:type="dxa"/>
            </w:tcMar>
            <w:vAlign w:val="center"/>
          </w:tcPr>
          <w:p>
            <w:pPr>
              <w:pStyle w:val="TableContents"/>
              <w:bidi w:val="0"/>
              <w:spacing w:before="0" w:after="283"/>
              <w:jc w:val="right"/>
              <w:rPr/>
            </w:pPr>
            <w:r>
              <w:rPr/>
              <w:t>278</w:t>
            </w:r>
          </w:p>
        </w:tc>
        <w:tc>
          <w:tcPr>
            <w:tcW w:w="110"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27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64" w:type="dxa"/>
            <w:tcBorders>
              <w:bottom w:val="double" w:sz="6" w:space="0" w:color="000000"/>
            </w:tcBorders>
            <w:shd w:fill="CCEEFF" w:val="clear"/>
            <w:tcMar>
              <w:bottom w:w="28" w:type="dxa"/>
            </w:tcMar>
            <w:vAlign w:val="center"/>
          </w:tcPr>
          <w:p>
            <w:pPr>
              <w:pStyle w:val="TableContents"/>
              <w:bidi w:val="0"/>
              <w:spacing w:before="0" w:after="283"/>
              <w:jc w:val="right"/>
              <w:rPr/>
            </w:pPr>
            <w:r>
              <w:rPr/>
              <w:t>(6,509</w:t>
            </w:r>
          </w:p>
        </w:tc>
        <w:tc>
          <w:tcPr>
            <w:tcW w:w="189" w:type="dxa"/>
            <w:tcBorders/>
            <w:shd w:fill="CCEEFF" w:val="clear"/>
            <w:vAlign w:val="center"/>
          </w:tcPr>
          <w:p>
            <w:pPr>
              <w:pStyle w:val="TableContents"/>
              <w:bidi w:val="0"/>
              <w:spacing w:before="0" w:after="283"/>
              <w:jc w:val="left"/>
              <w:rPr/>
            </w:pPr>
            <w:r>
              <w:rPr/>
              <w:t>)</w:t>
            </w:r>
          </w:p>
        </w:tc>
        <w:tc>
          <w:tcPr>
            <w:tcW w:w="119" w:type="dxa"/>
            <w:tcBorders/>
            <w:shd w:fill="CCEEFF" w:val="clear"/>
            <w:vAlign w:val="center"/>
          </w:tcPr>
          <w:p>
            <w:pPr>
              <w:pStyle w:val="TableContents"/>
              <w:bidi w:val="0"/>
              <w:spacing w:before="0" w:after="283"/>
              <w:jc w:val="left"/>
              <w:rPr/>
            </w:pPr>
            <w:r>
              <w:rPr/>
              <w:t> </w:t>
            </w:r>
          </w:p>
        </w:tc>
        <w:tc>
          <w:tcPr>
            <w:tcW w:w="27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64" w:type="dxa"/>
            <w:tcBorders>
              <w:bottom w:val="double" w:sz="6" w:space="0" w:color="000000"/>
            </w:tcBorders>
            <w:shd w:fill="CCEEFF" w:val="clear"/>
            <w:tcMar>
              <w:bottom w:w="28" w:type="dxa"/>
            </w:tcMar>
            <w:vAlign w:val="center"/>
          </w:tcPr>
          <w:p>
            <w:pPr>
              <w:pStyle w:val="TableContents"/>
              <w:bidi w:val="0"/>
              <w:spacing w:before="0" w:after="283"/>
              <w:jc w:val="right"/>
              <w:rPr/>
            </w:pPr>
            <w:r>
              <w:rPr/>
              <w:t>(6,090</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for the three months ended January 31, 2024 and 2023 were $1.8 million and $0.7 million, respectively. The year-over-year increase primarily reflects higher levels of revenue stemming from the sale and lease of WAM-Vs, equal to approximately $1.0 million and increased buoy revenue of $0.1 million for the three months ended January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for the three months ended January 31, 2024 and 2023 increased slightly to $1.0 million from $0.6 million, respectively. The year-over-year increase is in proportion to the increase in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Change in fair value of contingent consideration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fair value of contingent consideration for the three months ended January 31, 2024 and 2023 was for a $33 thousand decrease and a $373 thousand increase in the liabilities value, respectively. These adjustments are due to changes in actual and forecasted bookings relating to the MAR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for the three months ended January 31, 2024 and 2023 were $8.6 million and $6.8 million, respectively. The increase of approximately $1.8 million was primarily the result of an increase in professional and legal fees of $2.0 million primarily related to costs related to Paragon, an increase in employee related expenses of $0.1 million, and an increase in office related expenses of $0.1 million, partially offset by a decrease in product development costs of $0.5 million. The decrease in the product development expenses resulted from actions taken to complete product development activities and focus the Company on commercial activities.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for the three months ended January 31, 2024 and 2023 was $151 thousand and $229 thousand, respectively, with the slight decrease primarily related to lower investment balances in the current year, partially offset by increased interest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for the three months ended January 31, 2024 and 2023 was zero and $0.5 million, respectively. The 2023 balance related to proceeds received for an insurance claim.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Loss on disposition of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on disposition of assets of $0.2 million relates to the disposal of intangible and fixed assets related to the disposition of 3Dent Technology, LLC in November of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Nine months ended January 31, 2024 compared to the nine months ended January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contains selected statement of operations information, which serves as the basis of the discussion of our results of operations for the three months ended January 31, 2024 and 2023.</w:t>
      </w:r>
    </w:p>
    <w:p>
      <w:pPr>
        <w:pStyle w:val="TextBody"/>
        <w:bidi w:val="0"/>
        <w:spacing w:before="0" w:after="0"/>
        <w:ind w:left="0" w:right="0" w:hanging="0"/>
        <w:jc w:val="both"/>
        <w:rPr>
          <w:caps w:val="false"/>
          <w:smallCaps w:val="false"/>
        </w:rPr>
      </w:pPr>
      <w:r>
        <w:rPr>
          <w:caps w:val="false"/>
          <w:smallCaps w:val="false"/>
        </w:rPr>
        <w:t> </w:t>
      </w:r>
    </w:p>
    <w:tbl>
      <w:tblPr>
        <w:tblW w:w="8502" w:type="dxa"/>
        <w:jc w:val="left"/>
        <w:tblInd w:w="0" w:type="dxa"/>
        <w:tblLayout w:type="fixed"/>
        <w:tblCellMar>
          <w:top w:w="0" w:type="dxa"/>
          <w:left w:w="0" w:type="dxa"/>
          <w:bottom w:w="0" w:type="dxa"/>
          <w:right w:w="0" w:type="dxa"/>
        </w:tblCellMar>
      </w:tblPr>
      <w:tblGrid>
        <w:gridCol w:w="5075"/>
        <w:gridCol w:w="60"/>
        <w:gridCol w:w="234"/>
        <w:gridCol w:w="1265"/>
        <w:gridCol w:w="159"/>
        <w:gridCol w:w="100"/>
        <w:gridCol w:w="234"/>
        <w:gridCol w:w="1265"/>
        <w:gridCol w:w="110"/>
      </w:tblGrid>
      <w:tr>
        <w:trPr/>
        <w:tc>
          <w:tcPr>
            <w:tcW w:w="5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5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Nine months ended January 31,</w:t>
            </w:r>
          </w:p>
        </w:tc>
        <w:tc>
          <w:tcPr>
            <w:tcW w:w="110" w:type="dxa"/>
            <w:tcBorders/>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59"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4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9" w:type="dxa"/>
            <w:gridSpan w:val="2"/>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499"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w:t>
            </w:r>
          </w:p>
        </w:tc>
        <w:tc>
          <w:tcPr>
            <w:tcW w:w="1265" w:type="dxa"/>
            <w:tcBorders/>
            <w:shd w:fill="CCEEFF" w:val="clear"/>
            <w:vAlign w:val="center"/>
          </w:tcPr>
          <w:p>
            <w:pPr>
              <w:pStyle w:val="TableContents"/>
              <w:bidi w:val="0"/>
              <w:spacing w:before="0" w:after="283"/>
              <w:jc w:val="right"/>
              <w:rPr/>
            </w:pPr>
            <w:r>
              <w:rPr/>
              <w:t>3,953</w:t>
            </w:r>
          </w:p>
        </w:tc>
        <w:tc>
          <w:tcPr>
            <w:tcW w:w="159"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w:t>
            </w:r>
          </w:p>
        </w:tc>
        <w:tc>
          <w:tcPr>
            <w:tcW w:w="1265" w:type="dxa"/>
            <w:tcBorders/>
            <w:shd w:fill="CCEEFF" w:val="clear"/>
            <w:vAlign w:val="center"/>
          </w:tcPr>
          <w:p>
            <w:pPr>
              <w:pStyle w:val="TableContents"/>
              <w:bidi w:val="0"/>
              <w:spacing w:before="0" w:after="283"/>
              <w:jc w:val="right"/>
              <w:rPr/>
            </w:pPr>
            <w:r>
              <w:rPr/>
              <w:t>1,752</w:t>
            </w:r>
          </w:p>
        </w:tc>
        <w:tc>
          <w:tcPr>
            <w:tcW w:w="110"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12" w:space="0" w:color="000000"/>
            </w:tcBorders>
            <w:shd w:fill="FFFFFF" w:val="clear"/>
            <w:tcMar>
              <w:bottom w:w="28" w:type="dxa"/>
            </w:tcMar>
            <w:vAlign w:val="center"/>
          </w:tcPr>
          <w:p>
            <w:pPr>
              <w:pStyle w:val="TableContents"/>
              <w:bidi w:val="0"/>
              <w:spacing w:before="0" w:after="283"/>
              <w:jc w:val="right"/>
              <w:rPr/>
            </w:pPr>
            <w:r>
              <w:rPr/>
              <w:t>1,989</w:t>
            </w:r>
          </w:p>
        </w:tc>
        <w:tc>
          <w:tcPr>
            <w:tcW w:w="159"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3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12" w:space="0" w:color="000000"/>
            </w:tcBorders>
            <w:shd w:fill="FFFFFF" w:val="clear"/>
            <w:tcMar>
              <w:bottom w:w="28" w:type="dxa"/>
            </w:tcMar>
            <w:vAlign w:val="center"/>
          </w:tcPr>
          <w:p>
            <w:pPr>
              <w:pStyle w:val="TableContents"/>
              <w:bidi w:val="0"/>
              <w:spacing w:before="0" w:after="283"/>
              <w:jc w:val="right"/>
              <w:rPr/>
            </w:pPr>
            <w:r>
              <w:rPr/>
              <w:t>1,382</w:t>
            </w:r>
          </w:p>
        </w:tc>
        <w:tc>
          <w:tcPr>
            <w:tcW w:w="110"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Gross margin</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1,964</w:t>
            </w:r>
          </w:p>
        </w:tc>
        <w:tc>
          <w:tcPr>
            <w:tcW w:w="159"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370</w:t>
            </w:r>
          </w:p>
        </w:tc>
        <w:tc>
          <w:tcPr>
            <w:tcW w:w="110"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24,648</w:t>
            </w:r>
          </w:p>
        </w:tc>
        <w:tc>
          <w:tcPr>
            <w:tcW w:w="159"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19,546</w:t>
            </w:r>
          </w:p>
        </w:tc>
        <w:tc>
          <w:tcPr>
            <w:tcW w:w="110"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283"/>
              <w:jc w:val="left"/>
              <w:rPr/>
            </w:pPr>
            <w:r>
              <w:rPr/>
              <w:t>(Gain)/loss from change in fair value of consideration</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12" w:space="0" w:color="000000"/>
            </w:tcBorders>
            <w:shd w:fill="FFFFFF" w:val="clear"/>
            <w:tcMar>
              <w:bottom w:w="28" w:type="dxa"/>
            </w:tcMar>
            <w:vAlign w:val="center"/>
          </w:tcPr>
          <w:p>
            <w:pPr>
              <w:pStyle w:val="TableContents"/>
              <w:bidi w:val="0"/>
              <w:spacing w:before="0" w:after="283"/>
              <w:jc w:val="right"/>
              <w:rPr/>
            </w:pPr>
            <w:r>
              <w:rPr/>
              <w:t>(117</w:t>
            </w:r>
          </w:p>
        </w:tc>
        <w:tc>
          <w:tcPr>
            <w:tcW w:w="159" w:type="dxa"/>
            <w:tcBorders/>
            <w:shd w:fill="FFFFFF" w:val="clear"/>
            <w:vAlign w:val="center"/>
          </w:tcPr>
          <w:p>
            <w:pPr>
              <w:pStyle w:val="TableContents"/>
              <w:bidi w:val="0"/>
              <w:spacing w:before="0" w:after="283"/>
              <w:jc w:val="left"/>
              <w:rPr/>
            </w:pPr>
            <w:r>
              <w:rPr/>
              <w:t>)</w:t>
            </w:r>
          </w:p>
        </w:tc>
        <w:tc>
          <w:tcPr>
            <w:tcW w:w="100" w:type="dxa"/>
            <w:tcBorders/>
            <w:shd w:fill="FFFFFF" w:val="clear"/>
            <w:vAlign w:val="center"/>
          </w:tcPr>
          <w:p>
            <w:pPr>
              <w:pStyle w:val="TableContents"/>
              <w:bidi w:val="0"/>
              <w:spacing w:before="0" w:after="283"/>
              <w:jc w:val="left"/>
              <w:rPr/>
            </w:pPr>
            <w:r>
              <w:rPr/>
              <w:t> </w:t>
            </w:r>
          </w:p>
        </w:tc>
        <w:tc>
          <w:tcPr>
            <w:tcW w:w="23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12" w:space="0" w:color="000000"/>
            </w:tcBorders>
            <w:shd w:fill="FFFFFF" w:val="clear"/>
            <w:tcMar>
              <w:bottom w:w="28" w:type="dxa"/>
            </w:tcMar>
            <w:vAlign w:val="center"/>
          </w:tcPr>
          <w:p>
            <w:pPr>
              <w:pStyle w:val="TableContents"/>
              <w:bidi w:val="0"/>
              <w:spacing w:before="0" w:after="283"/>
              <w:jc w:val="right"/>
              <w:rPr/>
            </w:pPr>
            <w:r>
              <w:rPr/>
              <w:t>154</w:t>
            </w:r>
          </w:p>
        </w:tc>
        <w:tc>
          <w:tcPr>
            <w:tcW w:w="110"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Operating loss</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(22,567</w:t>
            </w:r>
          </w:p>
        </w:tc>
        <w:tc>
          <w:tcPr>
            <w:tcW w:w="159" w:type="dxa"/>
            <w:tcBorders/>
            <w:shd w:fill="CCEEFF" w:val="clear"/>
            <w:vAlign w:val="center"/>
          </w:tcPr>
          <w:p>
            <w:pPr>
              <w:pStyle w:val="TableContents"/>
              <w:bidi w:val="0"/>
              <w:spacing w:before="0" w:after="283"/>
              <w:jc w:val="left"/>
              <w:rPr/>
            </w:pPr>
            <w:r>
              <w:rPr/>
              <w:t>)</w:t>
            </w:r>
          </w:p>
        </w:tc>
        <w:tc>
          <w:tcPr>
            <w:tcW w:w="10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(19,330</w:t>
            </w:r>
          </w:p>
        </w:tc>
        <w:tc>
          <w:tcPr>
            <w:tcW w:w="110" w:type="dxa"/>
            <w:tcBorders/>
            <w:shd w:fill="CCEEFF" w:val="clear"/>
            <w:vAlign w:val="center"/>
          </w:tcPr>
          <w:p>
            <w:pPr>
              <w:pStyle w:val="TableContents"/>
              <w:bidi w:val="0"/>
              <w:spacing w:before="0" w:after="283"/>
              <w:jc w:val="left"/>
              <w:rPr/>
            </w:pPr>
            <w:r>
              <w:rPr/>
              <w:t>)</w:t>
            </w:r>
          </w:p>
        </w:tc>
      </w:tr>
      <w:tr>
        <w:trPr/>
        <w:tc>
          <w:tcPr>
            <w:tcW w:w="5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Interest income, net</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760</w:t>
            </w:r>
          </w:p>
        </w:tc>
        <w:tc>
          <w:tcPr>
            <w:tcW w:w="159"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604</w:t>
            </w:r>
          </w:p>
        </w:tc>
        <w:tc>
          <w:tcPr>
            <w:tcW w:w="110"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283"/>
              <w:jc w:val="left"/>
              <w:rPr/>
            </w:pPr>
            <w:r>
              <w:rPr/>
              <w:t>Other income, proceeds from insurance claim</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w:t>
            </w:r>
          </w:p>
        </w:tc>
        <w:tc>
          <w:tcPr>
            <w:tcW w:w="159"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458</w:t>
            </w:r>
          </w:p>
        </w:tc>
        <w:tc>
          <w:tcPr>
            <w:tcW w:w="110"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Other income, employee retention credit</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w:t>
            </w:r>
          </w:p>
        </w:tc>
        <w:tc>
          <w:tcPr>
            <w:tcW w:w="159"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1,202</w:t>
            </w:r>
          </w:p>
        </w:tc>
        <w:tc>
          <w:tcPr>
            <w:tcW w:w="110"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283"/>
              <w:jc w:val="left"/>
              <w:rPr/>
            </w:pPr>
            <w:r>
              <w:rPr/>
              <w:t>Loss on disposition of assets</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(210</w:t>
            </w:r>
          </w:p>
        </w:tc>
        <w:tc>
          <w:tcPr>
            <w:tcW w:w="159" w:type="dxa"/>
            <w:tcBorders/>
            <w:shd w:fill="FFFFFF" w:val="clear"/>
            <w:vAlign w:val="center"/>
          </w:tcPr>
          <w:p>
            <w:pPr>
              <w:pStyle w:val="TableContents"/>
              <w:bidi w:val="0"/>
              <w:spacing w:before="0" w:after="283"/>
              <w:jc w:val="left"/>
              <w:rPr/>
            </w:pPr>
            <w:r>
              <w:rPr/>
              <w:t>)</w:t>
            </w:r>
          </w:p>
        </w:tc>
        <w:tc>
          <w:tcPr>
            <w:tcW w:w="10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Foreign exchange gain</w:t>
            </w:r>
          </w:p>
        </w:tc>
        <w:tc>
          <w:tcPr>
            <w:tcW w:w="60" w:type="dxa"/>
            <w:tcBorders/>
            <w:shd w:fill="CCEEFF" w:val="clear"/>
            <w:vAlign w:val="center"/>
          </w:tcPr>
          <w:p>
            <w:pPr>
              <w:pStyle w:val="TableContents"/>
              <w:bidi w:val="0"/>
              <w:spacing w:before="0" w:after="283"/>
              <w:jc w:val="left"/>
              <w:rPr/>
            </w:pPr>
            <w:r>
              <w:rPr/>
              <w:t> </w:t>
            </w:r>
          </w:p>
        </w:tc>
        <w:tc>
          <w:tcPr>
            <w:tcW w:w="23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12" w:space="0" w:color="000000"/>
            </w:tcBorders>
            <w:shd w:fill="CCEEFF" w:val="clear"/>
            <w:tcMar>
              <w:bottom w:w="28" w:type="dxa"/>
            </w:tcMar>
            <w:vAlign w:val="center"/>
          </w:tcPr>
          <w:p>
            <w:pPr>
              <w:pStyle w:val="TableContents"/>
              <w:bidi w:val="0"/>
              <w:spacing w:before="0" w:after="283"/>
              <w:jc w:val="right"/>
              <w:rPr/>
            </w:pPr>
            <w:r>
              <w:rPr/>
              <w:t>2</w:t>
            </w:r>
          </w:p>
        </w:tc>
        <w:tc>
          <w:tcPr>
            <w:tcW w:w="159"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3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12" w:space="0" w:color="000000"/>
            </w:tcBorders>
            <w:shd w:fill="CCEEFF" w:val="clear"/>
            <w:tcMar>
              <w:bottom w:w="28" w:type="dxa"/>
            </w:tcMar>
            <w:vAlign w:val="center"/>
          </w:tcPr>
          <w:p>
            <w:pPr>
              <w:pStyle w:val="TableContents"/>
              <w:bidi w:val="0"/>
              <w:spacing w:before="0" w:after="283"/>
              <w:jc w:val="right"/>
              <w:rPr/>
            </w:pPr>
            <w:r>
              <w:rPr/>
              <w:t>2</w:t>
            </w:r>
          </w:p>
        </w:tc>
        <w:tc>
          <w:tcPr>
            <w:tcW w:w="110"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283"/>
              <w:jc w:val="left"/>
              <w:rPr/>
            </w:pPr>
            <w:r>
              <w:rPr/>
              <w:t>Loss before income taxes</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12" w:space="0" w:color="000000"/>
            </w:tcBorders>
            <w:shd w:fill="FFFFFF" w:val="clear"/>
            <w:tcMar>
              <w:bottom w:w="28" w:type="dxa"/>
            </w:tcMar>
            <w:vAlign w:val="center"/>
          </w:tcPr>
          <w:p>
            <w:pPr>
              <w:pStyle w:val="TableContents"/>
              <w:bidi w:val="0"/>
              <w:spacing w:before="0" w:after="283"/>
              <w:jc w:val="right"/>
              <w:rPr/>
            </w:pPr>
            <w:r>
              <w:rPr/>
              <w:t>(22,015</w:t>
            </w:r>
          </w:p>
        </w:tc>
        <w:tc>
          <w:tcPr>
            <w:tcW w:w="159" w:type="dxa"/>
            <w:tcBorders/>
            <w:shd w:fill="FFFFFF" w:val="clear"/>
            <w:vAlign w:val="center"/>
          </w:tcPr>
          <w:p>
            <w:pPr>
              <w:pStyle w:val="TableContents"/>
              <w:bidi w:val="0"/>
              <w:spacing w:before="0" w:after="283"/>
              <w:jc w:val="left"/>
              <w:rPr/>
            </w:pPr>
            <w:r>
              <w:rPr/>
              <w:t>)</w:t>
            </w:r>
          </w:p>
        </w:tc>
        <w:tc>
          <w:tcPr>
            <w:tcW w:w="100" w:type="dxa"/>
            <w:tcBorders/>
            <w:shd w:fill="FFFFFF" w:val="clear"/>
            <w:vAlign w:val="center"/>
          </w:tcPr>
          <w:p>
            <w:pPr>
              <w:pStyle w:val="TableContents"/>
              <w:bidi w:val="0"/>
              <w:spacing w:before="0" w:after="283"/>
              <w:jc w:val="left"/>
              <w:rPr/>
            </w:pPr>
            <w:r>
              <w:rPr/>
              <w:t> </w:t>
            </w:r>
          </w:p>
        </w:tc>
        <w:tc>
          <w:tcPr>
            <w:tcW w:w="23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12" w:space="0" w:color="000000"/>
            </w:tcBorders>
            <w:shd w:fill="FFFFFF" w:val="clear"/>
            <w:tcMar>
              <w:bottom w:w="28" w:type="dxa"/>
            </w:tcMar>
            <w:vAlign w:val="center"/>
          </w:tcPr>
          <w:p>
            <w:pPr>
              <w:pStyle w:val="TableContents"/>
              <w:bidi w:val="0"/>
              <w:spacing w:before="0" w:after="283"/>
              <w:jc w:val="right"/>
              <w:rPr/>
            </w:pPr>
            <w:r>
              <w:rPr/>
              <w:t>(17,064</w:t>
            </w:r>
          </w:p>
        </w:tc>
        <w:tc>
          <w:tcPr>
            <w:tcW w:w="110" w:type="dxa"/>
            <w:tcBorders/>
            <w:shd w:fill="FFFFFF" w:val="clear"/>
            <w:vAlign w:val="center"/>
          </w:tcPr>
          <w:p>
            <w:pPr>
              <w:pStyle w:val="TableContents"/>
              <w:bidi w:val="0"/>
              <w:spacing w:before="0" w:after="283"/>
              <w:jc w:val="left"/>
              <w:rPr/>
            </w:pPr>
            <w:r>
              <w:rPr/>
              <w:t>)</w:t>
            </w:r>
          </w:p>
        </w:tc>
      </w:tr>
      <w:tr>
        <w:trPr/>
        <w:tc>
          <w:tcPr>
            <w:tcW w:w="5075" w:type="dxa"/>
            <w:tcBorders/>
            <w:shd w:fill="CCEEFF" w:val="clear"/>
            <w:vAlign w:val="center"/>
          </w:tcPr>
          <w:p>
            <w:pPr>
              <w:pStyle w:val="TableContents"/>
              <w:bidi w:val="0"/>
              <w:spacing w:before="0" w:after="283"/>
              <w:jc w:val="left"/>
              <w:rPr/>
            </w:pPr>
            <w:r>
              <w:rPr/>
              <w:t>Income tax benefit</w:t>
            </w:r>
          </w:p>
        </w:tc>
        <w:tc>
          <w:tcPr>
            <w:tcW w:w="60" w:type="dxa"/>
            <w:tcBorders/>
            <w:shd w:fill="CCEEFF" w:val="clear"/>
            <w:vAlign w:val="center"/>
          </w:tcPr>
          <w:p>
            <w:pPr>
              <w:pStyle w:val="TableContents"/>
              <w:bidi w:val="0"/>
              <w:spacing w:before="0" w:after="283"/>
              <w:jc w:val="left"/>
              <w:rPr/>
            </w:pPr>
            <w:r>
              <w:rPr/>
              <w:t> </w:t>
            </w:r>
          </w:p>
        </w:tc>
        <w:tc>
          <w:tcPr>
            <w:tcW w:w="23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12" w:space="0" w:color="000000"/>
            </w:tcBorders>
            <w:shd w:fill="CCEEFF" w:val="clear"/>
            <w:tcMar>
              <w:bottom w:w="28" w:type="dxa"/>
            </w:tcMar>
            <w:vAlign w:val="center"/>
          </w:tcPr>
          <w:p>
            <w:pPr>
              <w:pStyle w:val="TableContents"/>
              <w:bidi w:val="0"/>
              <w:spacing w:before="0" w:after="283"/>
              <w:jc w:val="right"/>
              <w:rPr/>
            </w:pPr>
            <w:r>
              <w:rPr/>
              <w:t>1,254</w:t>
            </w:r>
          </w:p>
        </w:tc>
        <w:tc>
          <w:tcPr>
            <w:tcW w:w="159"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3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12" w:space="0" w:color="000000"/>
            </w:tcBorders>
            <w:shd w:fill="CCEEFF" w:val="clear"/>
            <w:tcMar>
              <w:bottom w:w="28" w:type="dxa"/>
            </w:tcMar>
            <w:vAlign w:val="center"/>
          </w:tcPr>
          <w:p>
            <w:pPr>
              <w:pStyle w:val="TableContents"/>
              <w:bidi w:val="0"/>
              <w:spacing w:before="0" w:after="283"/>
              <w:jc w:val="right"/>
              <w:rPr/>
            </w:pPr>
            <w:r>
              <w:rPr/>
              <w:t>278</w:t>
            </w:r>
          </w:p>
        </w:tc>
        <w:tc>
          <w:tcPr>
            <w:tcW w:w="110"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65" w:type="dxa"/>
            <w:tcBorders>
              <w:bottom w:val="double" w:sz="6" w:space="0" w:color="000000"/>
            </w:tcBorders>
            <w:shd w:fill="FFFFFF" w:val="clear"/>
            <w:tcMar>
              <w:bottom w:w="28" w:type="dxa"/>
            </w:tcMar>
            <w:vAlign w:val="center"/>
          </w:tcPr>
          <w:p>
            <w:pPr>
              <w:pStyle w:val="TableContents"/>
              <w:bidi w:val="0"/>
              <w:spacing w:before="0" w:after="283"/>
              <w:jc w:val="right"/>
              <w:rPr/>
            </w:pPr>
            <w:r>
              <w:rPr/>
              <w:t>(20,761</w:t>
            </w:r>
          </w:p>
        </w:tc>
        <w:tc>
          <w:tcPr>
            <w:tcW w:w="159" w:type="dxa"/>
            <w:tcBorders/>
            <w:shd w:fill="FFFFFF" w:val="clear"/>
            <w:vAlign w:val="center"/>
          </w:tcPr>
          <w:p>
            <w:pPr>
              <w:pStyle w:val="TableContents"/>
              <w:bidi w:val="0"/>
              <w:spacing w:before="0" w:after="283"/>
              <w:jc w:val="left"/>
              <w:rPr/>
            </w:pPr>
            <w:r>
              <w:rPr/>
              <w:t>)</w:t>
            </w:r>
          </w:p>
        </w:tc>
        <w:tc>
          <w:tcPr>
            <w:tcW w:w="100" w:type="dxa"/>
            <w:tcBorders/>
            <w:shd w:fill="FFFFFF" w:val="cle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65" w:type="dxa"/>
            <w:tcBorders>
              <w:bottom w:val="double" w:sz="6" w:space="0" w:color="000000"/>
            </w:tcBorders>
            <w:shd w:fill="FFFFFF" w:val="clear"/>
            <w:tcMar>
              <w:bottom w:w="28" w:type="dxa"/>
            </w:tcMar>
            <w:vAlign w:val="center"/>
          </w:tcPr>
          <w:p>
            <w:pPr>
              <w:pStyle w:val="TableContents"/>
              <w:bidi w:val="0"/>
              <w:spacing w:before="0" w:after="283"/>
              <w:jc w:val="right"/>
              <w:rPr/>
            </w:pPr>
            <w:r>
              <w:rPr/>
              <w:t>(16,786</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for the nine months ended January 31, 2024 and 2023 were $4.0 million and $1.8 million, respectively. The year-over-year increase primarily reflects higher levels of revenue stemming from the sale and lease of WAM-Vs, equal to approximately $1.6 million and increased buoy revenue of $0.7 million, offset partially by a decrease in consulting services revenue of $0.1 million for the nine months ended January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for the nine months ended January 31, 2024 and 2023 were $2.0 million and $1.4 million, respectively, reflecting The year-over-year increase is in proportion to the increase in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Change in fair value of contingent consideration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fair value of contingent consideration for the nine months ended January 31, 2024 and 2023 were $(0.1) million decrease and $0.2 million increase in the liabilities value, respectively. These adjustments are due to changes in actual and forecasted bookings relating to the MAR acquisition.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for the nine months ended January 31, 2024 and 2023 were $24.6 million and $19.5 million, respectively. The increase of approximately $5.1 million was the result of an increase in professional and legal fees of $4.0 million primarily related to continued Paragon litigation, an increase in employee related costs of $1.7 million primarily driven by increase in fringe and bonus accrual offset partially by a decrease in stock based compensation, and an increase in office related expenses of $0.7 million, partially offset by a decrease in product development costs of $1.3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for the nine months ended January 31, 2024 and 2023 was $0.8 million and $0.6 million, respectively, with the increase primarily related to the short term investments being purchased at a discount in the current year as a result of increasing interest rates, offset slightly by the decreased balance of short-term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for the nine months ended January 31, 2024 and 2023 was zero and $1.7 million, respectively. The 2023 balance related to $1.2 million in employee retention credits (ERC) applied for previously filed payroll tax returns with the IRS and $0.5 million related to proceeds received for an insurance claim. Both the ERC and insurance proceeds were received during fiscal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Loss on disposition of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on disposition of assets of $0.2 million relates to the disposal of intangible and fixed assets related to the disposition of 3Dent Technology, LLC in November of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cash requirements relate primarily to working capital needed to operate and grow our business including funding operating expenses. We have experienced and continue to experience negative cash flows from operations and net losses. The Company incurred net losses of $20.8 million and $16.8 million for the nine months ended January 31, 2024 and 2023, respectively. Refer to “Liquidity Outlook” below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 operating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January 31, 2024, net cash flows used in operating activities was $24.7 million, an increase of $8.6 million compared to net cash used in operating activities during the nine months ended January 31, 2023 of $16.1 million. This reflects an increase in net loss of $20.8 million, an earn out payment of $0.5 million, decrease in accrued expense of $0.1 million primarily related to accrued bonus payout, and an increase in inventory of $1.4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incurred one-time expenses of approximately $3.2 million for the nine months ended January 31, 2024, related to litigation with Paragon Technologies, Inc. (see Note 14) and preparation for its 2023 Annual Meeting of Stockholders which took place on February 28, 2024. These expenses are a direct result of the Paragon litigation and were not incurred in the prior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we announced that we have substantially completed our research and development phase and are primarily focused on commercial activities. This pivot to commercial activities has enabled reallocation of headcount, going forward, resulting in approximately $4.5 million in annual run rate savings, and a material reduction in third-party expenditures.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provided by 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investing activities during the nine months ended January 31, 2024 was $22.5 million, compared to $18.9 million cash provided by investing activities during the nine months ended January 31, 2023. The net cash of $22.5 million provided by investing activities during the nine months ended January 31, 2024 was primarily due to the redemption of short-term investments of $31.6 million, partially offset by the purchase of short term investments of $7.9 million and purchases of property and equipment of $1.2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provided by/(used in) 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by/(used in) financing activities during the nine months ended January 31, 2024 and January 31, 2023 was $16,000 and $14,000,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exchange rates on cash and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material effect of exchange rates on cash and cash equivalents during the nine months ended January 31, 2024 and January 31, 2023.</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Outlook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the cash flows from customer revenues have not been sufficient to fund our operations and provide the capital resources for our business. As of January 31, 2024, our year to date revenues were $4.0 million, our year to date net losses were $20.8 million, our year to date net cash used in operating activities was $24.7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devote substantial resources to expand our sales, marketing and manufacturing programs associated with the continued commercialization of our products. Our future capital requirements will depend on several factors, including but not limited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develop, market and commercialize our products, and achieve and sustain profitability;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continued development of our proprietary technologies, and expected continued use of cash from operating activities unless or until we achieve positive cash flow from the commercialization of our products and services;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additional funding, as and if needed, which will be subject to several factors, including market conditions, and our operating performance;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history of operating losses, which we expect to continue for at least the short term and possibly longer;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challenges and expenses associated with communications and disputes with activist shareholders, including litigation;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and mitigate risks associated with our internal cyber security protocols and protection of the data we collect and distribute;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protect our intellectual property portfolio;</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inflation related to the U.S. dollar on our business, operations, customers, suppliers, manufacturers, and personnel;</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meet product development, manufacturing and customer delivery deadlines and the potential impact due to disruptions to our supply chain or our ability to identify vendors that can assist with the prefabrication elements of our products, as a result of, among other things, staff shortages, order delays, and increased pricing from vendors and manufacturers;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estimates regarding future expenses, revenues, and capital requirements;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identify and penetrate markets for our products, services, and solutions;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effectively respond to competition in our targeted markets;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relationships with our existing and future strategic partners which may not be successful;</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the listing of our common stock on the NYSE American;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reliability of our technology, products and solutions;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increase or more efficiently utilize the synergies available from our product lines: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current legislation, regulations and economic conditions that affect the demand for, or restrict the use of our products;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risks related to the actions of Paragon Technologies, Inc. in connection with its ongoing proxy contest against us and the related litigation brought against us, including the amount of related costs incurred by us and the disruption caused to our business activities by these actions;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expand markets across geographic boundaries;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be successful with Federal government work which is complex due to various statutes and regulations applicable to doing business with the Federal government;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be successful doing business internationally which requires strict compliance with applicable import, export, ITAR, anti-bribery and related statutes and regulations;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geopolitical world uncertainty, including Russia’s invasion of Ukraine, the Israel/Palestine conflict and recent attacks on merchant ships in the Red Sea;</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hire and retain key personnel, including senior management, to achieve our business objectives;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and maintain commercial profit margins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capital intensive, and through January 31, 2024, we have been funding our business principally through sales of our securities. As of January 31, 2024, our cash and cash equivalents, short-term restricted cash, and short term investments balance was $9.3 million and we expect to fund our business with this amount and, to a lesser extent, with our cash flow generated from operations. Management believes the Company’s current cash and cash equivalents, and short term investments, may not be sufficient to fund its planned expenditures through March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conditions and events raise substantial doubt about the Company’s ability to continue as a going concern for at least a period of one year from the issuance of these consolidated financial statements. The ability to continue as a going concern is dependent upon the Company’s operations in the future and/or obtaining the necessary financing to meet its obligations and repay its liabilities arising from normal business operations when they become due.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we have not engaged in any off-balance sheet financing activities.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3.</w:t>
      </w:r>
      <w:r>
        <w:rPr>
          <w:rFonts w:ascii="Times New Roman;Times;Serif" w:hAnsi="Times New Roman;Times;Serif"/>
          <w:b w:val="false"/>
          <w:i w:val="false"/>
          <w:caps w:val="false"/>
          <w:smallCaps w:val="false"/>
          <w:sz w:val="20"/>
        </w:rPr>
        <w:t xml:space="preserve"> </w:t>
      </w:r>
      <w:bookmarkStart w:id="660" w:name="K_002"/>
      <w:bookmarkEnd w:id="660"/>
      <w:r>
        <w:rPr>
          <w:rFonts w:ascii="Times New Roman;Times;Serif" w:hAnsi="Times New Roman;Times;Serif"/>
          <w:b/>
          <w:i w:val="false"/>
          <w:caps w:val="false"/>
          <w:smallCaps w:val="false"/>
          <w:sz w:val="20"/>
        </w:rPr>
        <w:t>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4.</w:t>
      </w:r>
      <w:r>
        <w:rPr>
          <w:rFonts w:ascii="Times New Roman;Times;Serif" w:hAnsi="Times New Roman;Times;Serif"/>
          <w:b w:val="false"/>
          <w:i w:val="false"/>
          <w:caps w:val="false"/>
          <w:smallCaps w:val="false"/>
          <w:sz w:val="20"/>
        </w:rPr>
        <w:t xml:space="preserve"> </w:t>
      </w:r>
      <w:bookmarkStart w:id="661" w:name="K_003"/>
      <w:bookmarkEnd w:id="661"/>
      <w:r>
        <w:rPr>
          <w:rFonts w:ascii="Times New Roman;Times;Serif" w:hAnsi="Times New Roman;Times;Serif"/>
          <w:b/>
          <w:i w:val="false"/>
          <w:caps w:val="false"/>
          <w:smallCaps w:val="false"/>
          <w:sz w:val="20"/>
        </w:rPr>
        <w:t>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disclosure controls and procedures that are designed to provide reasonable assurance that material information required to be disclosed in our reports that we file or submit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(“CEO”) and Chief Financial Officer (“CFO”), as appropriate, to allow timely decisions regarding required financial disclosure. In designing and evaluating the disclosure controls and procedures, management recognized that a control system, no matter how well designed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a company have been detected.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end of the period covered by this report, we carried out an evaluation, under the supervision and with the participation of our management, including our CEO and CFO, of the effectiveness of the design and operation of our disclosure controls and procedures pursuant to Rule 13a-15 of the Exchange Act. Based upon that evaluation, our CEO and CFO concluded that our disclosure controls and procedures were not effective, due to the material weaknesses in internal control over financial reporting that are described in our Annual Report on form 10-K for the year ended April 30, 2023 (the “2023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such material weaknesses in internal control over financial reporting, our management, including our CEO and CFO, has concluded that our consolidated financial statements present fairly, in all material respects, our financial position, results of our operations and our cash flows for the periods presented in this Quarterly Report, in conformity with U.S.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Remediation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previously described in </w:t>
      </w:r>
      <w:r>
        <w:rPr>
          <w:rFonts w:ascii="Times New Roman;Times;Serif" w:hAnsi="Times New Roman;Times;Serif"/>
          <w:b w:val="false"/>
          <w:i/>
          <w:caps w:val="false"/>
          <w:smallCaps w:val="false"/>
          <w:sz w:val="20"/>
        </w:rPr>
        <w:t>Part II – Item 9A – Controls and Procedures</w:t>
      </w:r>
      <w:r>
        <w:rPr>
          <w:rFonts w:ascii="Times New Roman;Times;Serif" w:hAnsi="Times New Roman;Times;Serif"/>
          <w:b w:val="false"/>
          <w:i w:val="false"/>
          <w:caps w:val="false"/>
          <w:smallCaps w:val="false"/>
          <w:sz w:val="20"/>
        </w:rPr>
        <w:t xml:space="preserve"> of the 2023 10-K, we continue to implement a remediation plan to address the material weaknesses mentioned above. The weaknesses will not be considered remediated until the applicable controls operate for a sufficient period of time and management has concluded, through testing, that these controls are operating effectively. Please see below for the remediation actions taken by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trained our employees to reinforce the importance of a strong control environment and communicated expectations to emphasize responsibilities and the technical requirements for controls, and to set the appropriate expectations on internal controls.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established a business process control remediation plan, which included frequent communications between our Audit Committee and senior management regarding the progression of remediation of our financial reporting and internal control environment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establishing IT General Controls and invested in people and technology to address gaps in IT Systems Security controls. In addition, there is now a formal process for SOC Report reviews and templates that are being performed by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engaged third-party consultants to assist with process mapping and internal control design.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Progress has been made against management’s plan to remediate these material weaknesses, but for Management to consider a material weakness remediated, the related controls are required to function as anticipated for a minimum period which varies based upon the specified control. As part of its remediation plan, management will put mitigating controls in place to minimize risk associated with any open material weaknesses.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response to the material weaknesses described in the 2023 10-K, the Company reviewed the design of its controls and began remediation activities to alleviate the noted control deficiencies. Other than these items, there was no change in the Company’s internal control over financial reporting that occurred during the quarter ended January 31, 2024, that has materially affected, or is reasonably likely to materially affect, the Company’s internal control over financial reporting.</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62" w:name="K_004"/>
      <w:bookmarkEnd w:id="662"/>
      <w:r>
        <w:rPr>
          <w:rFonts w:ascii="Times New Roman;Times;Serif" w:hAnsi="Times New Roman;Times;Serif"/>
          <w:b/>
          <w:i w:val="false"/>
          <w:caps w:val="false"/>
          <w:smallCaps w:val="false"/>
          <w:sz w:val="20"/>
        </w:rPr>
        <w:t>PART II — OTHER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1.</w:t>
      </w:r>
      <w:r>
        <w:rPr>
          <w:rFonts w:ascii="Times New Roman;Times;Serif" w:hAnsi="Times New Roman;Times;Serif"/>
          <w:b w:val="false"/>
          <w:i w:val="false"/>
          <w:caps w:val="false"/>
          <w:smallCaps w:val="false"/>
          <w:sz w:val="20"/>
        </w:rPr>
        <w:t xml:space="preserve"> </w:t>
      </w:r>
      <w:bookmarkStart w:id="663" w:name="K_005"/>
      <w:bookmarkEnd w:id="663"/>
      <w:r>
        <w:rPr>
          <w:rFonts w:ascii="Times New Roman;Times;Serif" w:hAnsi="Times New Roman;Times;Serif"/>
          <w:b/>
          <w:i/>
          <w:caps w:val="false"/>
          <w:smallCaps w:val="false"/>
          <w:sz w:val="20"/>
        </w:rPr>
        <w:t>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normal business activities, we are party to a number of legal proceedings and other matters in various stages of development. Management periodically assesses our liabilities and contingencies in connection with these matters based upon the latest information available. We disclose material pending legal proceedings pursuant to SEC rules and other pending matters as we may determine to be appropriate.</w:t>
      </w:r>
    </w:p>
    <w:p>
      <w:pPr>
        <w:pStyle w:val="TextBody"/>
        <w:bidi w:val="0"/>
        <w:spacing w:before="0" w:after="0"/>
        <w:ind w:left="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information on matters in dispute, see Note 14 to the Consolidated Financial Statements under Part I, Item 1 of this report.</w:t>
      </w:r>
    </w:p>
    <w:p>
      <w:pPr>
        <w:pStyle w:val="TextBody"/>
        <w:bidi w:val="0"/>
        <w:spacing w:before="0" w:after="0"/>
        <w:ind w:left="4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1A.</w:t>
      </w:r>
      <w:r>
        <w:rPr>
          <w:rFonts w:ascii="Times New Roman;Times;Serif" w:hAnsi="Times New Roman;Times;Serif"/>
          <w:b w:val="false"/>
          <w:i w:val="false"/>
          <w:caps w:val="false"/>
          <w:smallCaps w:val="false"/>
          <w:sz w:val="20"/>
        </w:rPr>
        <w:t xml:space="preserve"> </w:t>
      </w:r>
      <w:bookmarkStart w:id="664" w:name="K_006"/>
      <w:bookmarkEnd w:id="664"/>
      <w:r>
        <w:rPr>
          <w:rFonts w:ascii="Times New Roman;Times;Serif" w:hAnsi="Times New Roman;Times;Serif"/>
          <w:b/>
          <w:i/>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discussion of our business and operations should be read together with the risk factors contained in Item 1A of our Annual Report on Form 10-K for the year ended April 30, 2023 and set forth below in this Quarterly Report on Form 10-Q. These risk factors describe various risks and uncertainties to which we are or may become subject. These risks and uncertainties have the potential to affect our business, financial condition, results of operations, cash flows, strategies or prospects in a material and adverse manner. Except as noted below, there have been no material changes in our risk factors from those disclosed in our Annual Report on Form 10-K filed with the SEC on July 28,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 history of operating losses and may not achieve or maintain profitability and positive cash flow.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net losses since we began operations in 1994, including net losses of $20.8 million during the first nine months of fiscal year 2024 and $16.8 million during the same nine month period in fiscal year 2024. As of January 31, 2024, we had an accumulated deficit of $300.9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know whether we will be able to successfully commercialize our products and solutions, or whether we can achieve profitability. There is significant uncertainty about our ability to successfully commercialize our products and solutions in our targeted markets. Even if we do achieve commercialization of our products and solutions and become profitable, we may not be able to achieve or, if achieved, sustain profitability on a quarterly or annual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Contracting with the U.S. Government could expose us to potential fines and damages which could have a material adverse effect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government customers include the U.S. government, which means we are subject to various statutes and regulations applicable to doing business with the U.S. government. These types of contracts customarily contain provisions that give the U.S. government substantial rights and remedies, many of which are not typically found in commercial contracts and which are unfavorable to contractors, including provisions that allow the government to unilaterally terminate or modify our federal government contracts, in whole or in part, at the government’s convenience. Under general principles of U.S. government contracting law, if the government terminates a contract for convenience, the terminated company may generally recover only its incurred or committed costs, settlement expenses and profit on work completed prior to the termination. If the government terminates a contract for default, the defaulting company may be liable for any extra costs incurred by the government in procuring undelivered items from another source.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U.S. government contracts and grants normally contain additional requirements that may increase our costs of doing business, reduce our profits, and expose us to liability for failure to comply with these terms and conditions. These requirements include, for example: (a) specialized disclosure and accounting requirements unique to U.S. government contracts; (b) financial and compliance audits that may result in potential liability for price adjustments, recoupment of government funds after such funds have been spent, civil and criminal penalties, or administrative sanctions such as suspension or debarment from doing business with the US government; (c) public disclosures of certain contract and company information; and (d) mandatory socioeconomic compliance requirements, including labor requirements, non-discrimination and affirmative action programs and environmental compliance requirements.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comply with these requirements, our contracts may be subject to termination, and we may be subject to financial and/or other liability under our contracts or under the Federal Civil False Claims Act (the “False Claims Act”). The False Claims Act’s “whistleblower” provisions allow private individuals, including present and former employees, to sue on behalf of the U.S. government. The False Claims Act statute provides for treble damages and other penalties, and if our operations are found to be in violation of the False Claims Act, we could face other adverse actions, including suspension or prohibition from doing business with the U.S. government. Any penalties, damages, fines, suspension or damages could adversely affect our ability to operate our business and our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exposed to risks of operating businesses outside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non-U.S. sales and operations are subject to risks inherent in conducting business outside the United States, many of which are beyond our control including: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political and social attitudes, laws, rules, regulations, and policies within countries that favor local companies over US companies, including government-supported efforts to promote local competitors;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global trade issues and uncertainties with respect to trade policies, including tariffs, trade sanctions, and international trade disputes, and the ability to obtain required import and export licenses;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differing legal systems and standards of trade which may not honor our intellectual property rights and which may place us at a competitive disadvantage;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pressures from foreign customers and foreign governments for us to increase our operations in the foreign country, which may necessitate the sharing of sensitive information and intellectual property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multiple conflicting and changing governmental laws and regulations, including varying labor laws and tax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reliance on various information systems and information technology to conduct our business, making us vulnerable to cyberattacks by third parties or breaches due to employee error, misuse, or other causes, that could result in business disruptions, loss of or damage to our intellectual property and confidential information (and that of our customers and other business partners), reputational harm, transaction errors, processing inefficiencies, or other adverse consequences;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regional or global economic downturns or recessions, varying foreign government support, unstable political environments, and other changes in foreign economic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impact of public health epidemics, such as the COVID-19 pandemic, on employees, suppliers, customers and the global economy;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difficulties in managing a global enterprise, including staffing, managing distributors and representatives, and repatriating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longer sales cycles and difficulties in collecting accounts receivable;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different customs and ways of doing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our operations have not been materially adversely affected by global conflicts including Russia’s invasion of Ukraine, the current Israel/Palestine conflict, or the recent attacks on merchant ships in the Red Sea. However, further escalation of these or other conflicts could result in, among other negative consequences, a disruption to the global economy and supply chain leading to a shortage of parts, materials and services needed to manufacture and timely deliver our products. Any such shortages could negatively impact our suppliers’ ability to meet our demand requirements and, in turn, our ability to satisfy our customer demand. These challenges, together with other challenges associated with operating an international business, may adversely affect our ability to recognize revenue and our other operating results.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by third parties to supply or manufacture components of our products or to deploy our systems timely or properly could adversely affect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and expect to continue to be, highly dependent on third parties to supply or manufacture components for our products, including for pre-fabrication elements. If, for any reason, our third-party manufacturers or vendors are not willing or able to provide us with components or supplies in a timely fashion, or at all, our ability to manufacture and sell many of our products could be impaired. For example, some of our manufacturers have experienced staffing shortages due to COVID-19 and its variants as well as other factors, and this has delayed delivery times for our products from time to time. Specifically, we have concerns about the delivery of semiconductors and specialty metals, which are necessary to produce our products, as well as our ability to find vendors for pre-fabrication elements of our products. Other global supply chain issues have caused our vendors to delay orders, or to request increased pricing that we may not always be able to pass on to our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long-term contracts with our third-party manufacturers or vendors. If we do not develop ongoing relationships with vendors located in different regions, we may not be successful at controlling unit costs as our manufacturing volume increases. Additionally, we may not be able to negotiate new arrangements with these third parties on acceptable terms,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rely on third parties, under our oversight, for the deployment and mooring for products. We have utilized several different deployment methods, including towing our products to the deployment location and transporting our products to the deployment location by barge or offshore workboat. If these third parties do not properly deploy our systems, cannot effectively deploy the products on a large, commercial scale, or otherwise do not perform adequately, or if we fail to recruit and retain third parties to deploy our systems in particular geographic areas, our business, financial condition, and results of operations could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2.</w:t>
      </w:r>
      <w:r>
        <w:rPr>
          <w:rFonts w:ascii="Times New Roman;Times;Serif" w:hAnsi="Times New Roman;Times;Serif"/>
          <w:b w:val="false"/>
          <w:i w:val="false"/>
          <w:caps w:val="false"/>
          <w:smallCaps w:val="false"/>
          <w:sz w:val="20"/>
        </w:rPr>
        <w:t xml:space="preserve"> </w:t>
      </w:r>
      <w:bookmarkStart w:id="665" w:name="K_007"/>
      <w:bookmarkEnd w:id="665"/>
      <w:r>
        <w:rPr>
          <w:rFonts w:ascii="Times New Roman;Times;Serif" w:hAnsi="Times New Roman;Times;Serif"/>
          <w:b/>
          <w:i/>
          <w:caps w:val="false"/>
          <w:smallCaps w:val="false"/>
          <w:sz w:val="20"/>
        </w:rPr>
        <w:t>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3.</w:t>
      </w:r>
      <w:r>
        <w:rPr>
          <w:rFonts w:ascii="Times New Roman;Times;Serif" w:hAnsi="Times New Roman;Times;Serif"/>
          <w:b w:val="false"/>
          <w:i w:val="false"/>
          <w:caps w:val="false"/>
          <w:smallCaps w:val="false"/>
          <w:sz w:val="20"/>
        </w:rPr>
        <w:t xml:space="preserve"> </w:t>
      </w:r>
      <w:bookmarkStart w:id="666" w:name="K_008"/>
      <w:bookmarkEnd w:id="666"/>
      <w:r>
        <w:rPr>
          <w:rFonts w:ascii="Times New Roman;Times;Serif" w:hAnsi="Times New Roman;Times;Serif"/>
          <w:b/>
          <w:i/>
          <w:caps w:val="false"/>
          <w:smallCaps w:val="false"/>
          <w:sz w:val="20"/>
        </w:rPr>
        <w:t>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4.</w:t>
      </w:r>
      <w:r>
        <w:rPr>
          <w:rFonts w:ascii="Times New Roman;Times;Serif" w:hAnsi="Times New Roman;Times;Serif"/>
          <w:b w:val="false"/>
          <w:i w:val="false"/>
          <w:caps w:val="false"/>
          <w:smallCaps w:val="false"/>
          <w:sz w:val="20"/>
        </w:rPr>
        <w:t xml:space="preserve"> </w:t>
      </w:r>
      <w:bookmarkStart w:id="667" w:name="K_009"/>
      <w:bookmarkEnd w:id="667"/>
      <w:r>
        <w:rPr>
          <w:rFonts w:ascii="Times New Roman;Times;Serif" w:hAnsi="Times New Roman;Times;Serif"/>
          <w:b/>
          <w:i/>
          <w:caps w:val="false"/>
          <w:smallCaps w:val="false"/>
          <w:sz w:val="20"/>
        </w:rPr>
        <w:t>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5.</w:t>
      </w:r>
      <w:r>
        <w:rPr>
          <w:rFonts w:ascii="Times New Roman;Times;Serif" w:hAnsi="Times New Roman;Times;Serif"/>
          <w:b w:val="false"/>
          <w:i w:val="false"/>
          <w:caps w:val="false"/>
          <w:smallCaps w:val="false"/>
          <w:sz w:val="20"/>
        </w:rPr>
        <w:t xml:space="preserve"> </w:t>
      </w:r>
      <w:bookmarkStart w:id="668" w:name="K_010"/>
      <w:bookmarkEnd w:id="668"/>
      <w:r>
        <w:rPr>
          <w:rFonts w:ascii="Times New Roman;Times;Serif" w:hAnsi="Times New Roman;Times;Serif"/>
          <w:b/>
          <w:i/>
          <w:caps w:val="false"/>
          <w:smallCaps w:val="false"/>
          <w:sz w:val="20"/>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6.</w:t>
      </w:r>
      <w:r>
        <w:rPr>
          <w:rFonts w:ascii="Times New Roman;Times;Serif" w:hAnsi="Times New Roman;Times;Serif"/>
          <w:b w:val="false"/>
          <w:i w:val="false"/>
          <w:caps w:val="false"/>
          <w:smallCaps w:val="false"/>
          <w:sz w:val="20"/>
        </w:rPr>
        <w:t xml:space="preserve"> </w:t>
      </w:r>
      <w:bookmarkStart w:id="669" w:name="K_011"/>
      <w:bookmarkEnd w:id="669"/>
      <w:r>
        <w:rPr>
          <w:rFonts w:ascii="Times New Roman;Times;Serif" w:hAnsi="Times New Roman;Times;Serif"/>
          <w:b/>
          <w:i/>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0"/>
        <w:gridCol w:w="138"/>
        <w:gridCol w:w="9597"/>
      </w:tblGrid>
      <w:tr>
        <w:trPr/>
        <w:tc>
          <w:tcPr>
            <w:tcW w:w="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Chief Executive Officer pursuant to Section 302 of the Sarbanes-Oxley Act of 2002</w:t>
              </w:r>
            </w:hyperlink>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Certification of Chief Financial Officer pursuant to Section 302 of the Sarbanes-Oxley Act of 2002</w:t>
              </w:r>
            </w:hyperlink>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1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9597" w:type="dxa"/>
            <w:tcBorders/>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of Chief Executive Officer pursuant to Section 906 of the Sarbanes-Oxley Act of 2002</w:t>
              </w:r>
            </w:hyperlink>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1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9597" w:type="dxa"/>
            <w:tcBorders/>
            <w:vAlign w:val="center"/>
          </w:tcPr>
          <w:p>
            <w:pPr>
              <w:pStyle w:val="TableContents"/>
              <w:bidi w:val="0"/>
              <w:spacing w:before="0" w:after="283"/>
              <w:jc w:val="both"/>
              <w:rPr/>
            </w:pPr>
            <w:hyperlink w:anchor="ex32-2.htm">
              <w:r>
                <w:rPr>
                  <w:rStyle w:val="InternetLink"/>
                  <w:rFonts w:ascii="Times New Roman;Times;Serif" w:hAnsi="Times New Roman;Times;Serif"/>
                  <w:b w:val="false"/>
                  <w:i w:val="false"/>
                  <w:caps w:val="false"/>
                  <w:smallCaps w:val="false"/>
                  <w:sz w:val="20"/>
                </w:rPr>
                <w:t>Certification of Chief Financial Officer pursuant to Section 906 of the Sarbanes-Oxley Act of 2002</w:t>
              </w:r>
            </w:hyperlink>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financial information from Ocean Power Technologies, Inc.’s Quarterly Report on Form 10-Q for the quarter ended January 31, 2024, formatted in eXtensible Business Reporting Language (XBRL): (i) Consolidated Balance Sheets – January 31, 2024 (unaudited) and April 30, 2021, (ii) Consolidated Statements of Operations (unaudited) – three and nine months ended January 31, 2024 and 2023, (iii) Consolidated Statements of Comprehensive Loss (unaudited) – three and nine months ended January 31, 2024 and 2021, (iv) Consolidated Statement of Shareholders’ Equity (unaudited) – three and nine months ended January 31, 2024 and 2023 (v) Consolidated Statements of Cash Flows (unaudited) –nine months ended January 31, 2024 and 2023, (vi) Notes to Consolidated Financial Statements.**</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provided in Item 601(b)(32)(ii) of Regulation S-K, this exhibit shall not be deemed to be “filed” or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provided in Rule 406T of Regulation S-T, this exhibit shall not be deemed “filed” or a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Regulation S-K, Item 601(b)(10)(iv) of the Securities Exchange Act of 1934, as amended, certain confidential portions of this exhibit have been redacted from the publicly filed document. The Company agrees to furnish supplementally an unredacted copy of the exhibit to the Securities and Exchange Commission upon its request.</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6300" w:type="dxa"/>
        <w:jc w:val="left"/>
        <w:tblInd w:w="0" w:type="dxa"/>
        <w:tblLayout w:type="fixed"/>
        <w:tblCellMar>
          <w:top w:w="0" w:type="dxa"/>
          <w:left w:w="0" w:type="dxa"/>
          <w:bottom w:w="0" w:type="dxa"/>
          <w:right w:w="0" w:type="dxa"/>
        </w:tblCellMar>
      </w:tblPr>
      <w:tblGrid>
        <w:gridCol w:w="1805"/>
        <w:gridCol w:w="365"/>
        <w:gridCol w:w="4130"/>
      </w:tblGrid>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449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Ocean Power Technologies, Inc.</w:t>
            </w:r>
            <w:r>
              <w:rPr>
                <w:rFonts w:ascii="Times New Roman;Times;Serif" w:hAnsi="Times New Roman;Times;Serif"/>
                <w:b/>
                <w:i w:val="false"/>
                <w:caps w:val="false"/>
                <w:smallCaps w:val="false"/>
                <w:sz w:val="20"/>
              </w:rPr>
              <w:t xml:space="preserve"> </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449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4495" w:type="dxa"/>
            <w:gridSpan w:val="2"/>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(Registrant)</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41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13, 2024</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413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Philipp Stratmann</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Philipp Stratmann</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413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President and Chief Executive Officer</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41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13, 2024</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413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Robert Powers</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Powers</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413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Senior Vice President and Chief Financial Officer</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670" w:name="ex31-1.htm"/>
      <w:bookmarkStart w:id="671" w:name="ksex311"/>
      <w:bookmarkEnd w:id="670"/>
      <w:bookmarkEnd w:id="67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SECTION 302 OF SARBANES-OXLEY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Philipp Stratmann,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Ocean Power Technologies, Inc.;</w:t>
            </w:r>
          </w:p>
        </w:tc>
      </w:tr>
      <w:tr>
        <w:trPr/>
        <w:tc>
          <w:tcPr>
            <w:tcW w:w="218"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218"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218"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218"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218"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218"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218"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218"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tc>
      </w:tr>
      <w:tr>
        <w:trPr/>
        <w:tc>
          <w:tcPr>
            <w:tcW w:w="218"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218"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360" w:right="0" w:hanging="360"/>
        <w:jc w:val="both"/>
        <w:rPr>
          <w:caps w:val="false"/>
          <w:smallCaps w:val="false"/>
        </w:rPr>
      </w:pPr>
      <w:r>
        <w:rPr>
          <w:caps w:val="false"/>
          <w:smallCaps w:val="false"/>
        </w:rPr>
        <w:t> </w:t>
      </w:r>
    </w:p>
    <w:tbl>
      <w:tblPr>
        <w:tblW w:w="4930" w:type="dxa"/>
        <w:jc w:val="left"/>
        <w:tblInd w:w="0" w:type="dxa"/>
        <w:tblLayout w:type="fixed"/>
        <w:tblCellMar>
          <w:top w:w="0" w:type="dxa"/>
          <w:left w:w="0" w:type="dxa"/>
          <w:bottom w:w="0" w:type="dxa"/>
          <w:right w:w="0" w:type="dxa"/>
        </w:tblCellMar>
      </w:tblPr>
      <w:tblGrid>
        <w:gridCol w:w="1805"/>
        <w:gridCol w:w="3125"/>
      </w:tblGrid>
      <w:tr>
        <w:trPr/>
        <w:tc>
          <w:tcPr>
            <w:tcW w:w="1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13, 2024</w:t>
            </w:r>
          </w:p>
        </w:tc>
        <w:tc>
          <w:tcPr>
            <w:tcW w:w="31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31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312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Philipp Stratmann</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3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Philipp Stratmann</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312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672" w:name="ex31-2.htm"/>
      <w:bookmarkStart w:id="673" w:name="ksex312"/>
      <w:bookmarkEnd w:id="672"/>
      <w:bookmarkEnd w:id="67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SECTION 302 OF SARBANES-OXLEY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Robert Powers,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Ocean Power Technologies, Inc.;</w:t>
            </w:r>
          </w:p>
        </w:tc>
      </w:tr>
      <w:tr>
        <w:trPr/>
        <w:tc>
          <w:tcPr>
            <w:tcW w:w="218"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218"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218"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218"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218"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218"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218"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218"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tc>
      </w:tr>
      <w:tr>
        <w:trPr/>
        <w:tc>
          <w:tcPr>
            <w:tcW w:w="218"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218"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360" w:right="0" w:hanging="360"/>
        <w:jc w:val="both"/>
        <w:rPr>
          <w:caps w:val="false"/>
          <w:smallCaps w:val="false"/>
        </w:rPr>
      </w:pPr>
      <w:r>
        <w:rPr>
          <w:caps w:val="false"/>
          <w:smallCaps w:val="false"/>
        </w:rPr>
        <w:t> </w:t>
      </w:r>
    </w:p>
    <w:tbl>
      <w:tblPr>
        <w:tblW w:w="5935" w:type="dxa"/>
        <w:jc w:val="left"/>
        <w:tblInd w:w="0" w:type="dxa"/>
        <w:tblLayout w:type="fixed"/>
        <w:tblCellMar>
          <w:top w:w="0" w:type="dxa"/>
          <w:left w:w="0" w:type="dxa"/>
          <w:bottom w:w="0" w:type="dxa"/>
          <w:right w:w="0" w:type="dxa"/>
        </w:tblCellMar>
      </w:tblPr>
      <w:tblGrid>
        <w:gridCol w:w="1805"/>
        <w:gridCol w:w="4130"/>
      </w:tblGrid>
      <w:tr>
        <w:trPr/>
        <w:tc>
          <w:tcPr>
            <w:tcW w:w="1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13, 2024</w:t>
            </w:r>
          </w:p>
        </w:tc>
        <w:tc>
          <w:tcPr>
            <w:tcW w:w="41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41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413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Robert Powers</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Powers</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413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Senior Vice President and Chief Financial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674" w:name="ex32-1.htm"/>
      <w:bookmarkStart w:id="675" w:name="ksex321"/>
      <w:bookmarkEnd w:id="674"/>
      <w:bookmarkEnd w:id="67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on Form 10-Q of Ocean Power Technologies, Inc. (the “Company”) for the period ended January 31, 2024, as filed with the Securities and Exchange Commission on the date hereof (the “Report”), the undersigned, Philipp Stratmann III, President and Chief Executive Officer of the Company, hereby certifies, pursuant to 18 U.S.C. Section 1350, as adopted pursuant to Section 906 of the Sarbanes-Oxley Act of 2002, that, to the best of my knowledge: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as amended; and</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360" w:right="0" w:hanging="360"/>
        <w:jc w:val="both"/>
        <w:rPr>
          <w:caps w:val="false"/>
          <w:smallCaps w:val="false"/>
        </w:rPr>
      </w:pPr>
      <w:r>
        <w:rPr>
          <w:caps w:val="false"/>
          <w:smallCaps w:val="false"/>
        </w:rPr>
        <w:t> </w:t>
      </w:r>
    </w:p>
    <w:tbl>
      <w:tblPr>
        <w:tblW w:w="4930" w:type="dxa"/>
        <w:jc w:val="left"/>
        <w:tblInd w:w="0" w:type="dxa"/>
        <w:tblLayout w:type="fixed"/>
        <w:tblCellMar>
          <w:top w:w="0" w:type="dxa"/>
          <w:left w:w="0" w:type="dxa"/>
          <w:bottom w:w="0" w:type="dxa"/>
          <w:right w:w="0" w:type="dxa"/>
        </w:tblCellMar>
      </w:tblPr>
      <w:tblGrid>
        <w:gridCol w:w="1805"/>
        <w:gridCol w:w="3125"/>
      </w:tblGrid>
      <w:tr>
        <w:trPr/>
        <w:tc>
          <w:tcPr>
            <w:tcW w:w="1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13, 2024</w:t>
            </w:r>
          </w:p>
        </w:tc>
        <w:tc>
          <w:tcPr>
            <w:tcW w:w="31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31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312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Philipp Stratmann</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3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Philipp Stratmann</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312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President and 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676" w:name="ex32-2.htm"/>
      <w:bookmarkStart w:id="677" w:name="ksex322"/>
      <w:bookmarkEnd w:id="676"/>
      <w:bookmarkEnd w:id="67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on Form 10-Q of Ocean Power Technologies, Inc. (the “Company”) for the period ended January 31, 2024, as filed with the Securities and Exchange Commission on the date hereof (the “Report”), the undersigned, Robert Powers, Senior Vice President and Chief Financial Officer of the Company, hereby certifies, pursuant to 18 U.S.C. Section 1350, as adopted pursuant to Section 906 of the Sarbanes-Oxley Act of 2002, that, to the best of my knowledge: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as amended; and</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360" w:right="0" w:hanging="360"/>
        <w:jc w:val="both"/>
        <w:rPr>
          <w:caps w:val="false"/>
          <w:smallCaps w:val="false"/>
        </w:rPr>
      </w:pPr>
      <w:r>
        <w:rPr>
          <w:caps w:val="false"/>
          <w:smallCaps w:val="false"/>
        </w:rPr>
        <w:t> </w:t>
      </w:r>
    </w:p>
    <w:tbl>
      <w:tblPr>
        <w:tblW w:w="5935" w:type="dxa"/>
        <w:jc w:val="left"/>
        <w:tblInd w:w="0" w:type="dxa"/>
        <w:tblLayout w:type="fixed"/>
        <w:tblCellMar>
          <w:top w:w="0" w:type="dxa"/>
          <w:left w:w="0" w:type="dxa"/>
          <w:bottom w:w="0" w:type="dxa"/>
          <w:right w:w="0" w:type="dxa"/>
        </w:tblCellMar>
      </w:tblPr>
      <w:tblGrid>
        <w:gridCol w:w="1805"/>
        <w:gridCol w:w="4130"/>
      </w:tblGrid>
      <w:tr>
        <w:trPr/>
        <w:tc>
          <w:tcPr>
            <w:tcW w:w="1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13, 2024</w:t>
            </w:r>
          </w:p>
        </w:tc>
        <w:tc>
          <w:tcPr>
            <w:tcW w:w="41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41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413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Robert Powers</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Powers</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413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Senior Vice President and Chief Financial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28058</Words>
  <Characters>156199</Characters>
  <CharactersWithSpaces>185594</CharactersWithSpaces>
  <Paragraphs>6051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