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240" w:right="1440" w:hanging="3033"/>
        <w:spacing w:after="0" w:line="537" w:lineRule="auto"/>
        <w:tabs>
          <w:tab w:leader="none" w:pos="6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2020</w:t>
      </w:r>
    </w:p>
    <w:p>
      <w:pPr>
        <w:spacing w:after="0" w:line="370" w:lineRule="exact"/>
        <w:rPr>
          <w:sz w:val="24"/>
          <w:szCs w:val="24"/>
          <w:color w:val="auto"/>
        </w:rPr>
      </w:pPr>
    </w:p>
    <w:p>
      <w:pPr>
        <w:ind w:left="380" w:hanging="153"/>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Times New Roman" w:cs="Times New Roman" w:eastAsia="Times New Roman" w:hAnsi="Times New Roman"/>
          <w:sz w:val="18"/>
          <w:szCs w:val="18"/>
          <w:color w:val="auto"/>
        </w:rPr>
      </w:pPr>
    </w:p>
    <w:p>
      <w:pPr>
        <w:ind w:left="3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Transition Period From _________to _________</w:t>
      </w:r>
    </w:p>
    <w:p>
      <w:pPr>
        <w:spacing w:after="0" w:line="225" w:lineRule="exact"/>
        <w:rPr>
          <w:rFonts w:ascii="Times New Roman" w:cs="Times New Roman" w:eastAsia="Times New Roman" w:hAnsi="Times New Roman"/>
          <w:sz w:val="18"/>
          <w:szCs w:val="18"/>
          <w:color w:val="auto"/>
        </w:rPr>
      </w:pPr>
    </w:p>
    <w:p>
      <w:pPr>
        <w:ind w:left="4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42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216"/>
        </w:trPr>
        <w:tc>
          <w:tcPr>
            <w:tcW w:w="4240" w:type="dxa"/>
            <w:vAlign w:val="bottom"/>
          </w:tcPr>
          <w:p>
            <w:pPr>
              <w:jc w:val="center"/>
              <w:ind w:right="18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300" w:type="dxa"/>
            <w:vAlign w:val="bottom"/>
          </w:tcPr>
          <w:p>
            <w:pPr>
              <w:jc w:val="center"/>
              <w:ind w:left="18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240" w:type="dxa"/>
            <w:vAlign w:val="bottom"/>
          </w:tcPr>
          <w:p>
            <w:pPr>
              <w:jc w:val="center"/>
              <w:ind w:right="18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 MONROE TOWNSHIP, NJ 08831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Pr>
          <w:p>
            <w:pPr>
              <w:spacing w:after="0"/>
              <w:rPr>
                <w:sz w:val="20"/>
                <w:szCs w:val="20"/>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Captial Market</w:t>
            </w:r>
          </w:p>
        </w:tc>
      </w:tr>
    </w:tbl>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p>
      <w:pPr>
        <w:ind w:left="320"/>
        <w:spacing w:after="0"/>
        <w:tabs>
          <w:tab w:leader="none" w:pos="3100" w:val="left"/>
          <w:tab w:leader="none" w:pos="5740" w:val="left"/>
          <w:tab w:leader="none" w:pos="8580" w:val="left"/>
        </w:tabs>
        <w:rPr>
          <w:sz w:val="20"/>
          <w:szCs w:val="20"/>
          <w:color w:val="auto"/>
        </w:rPr>
      </w:pPr>
      <w:r>
        <w:rPr>
          <w:rFonts w:ascii="Times New Roman" w:cs="Times New Roman" w:eastAsia="Times New Roman" w:hAnsi="Times New Roman"/>
          <w:sz w:val="18"/>
          <w:szCs w:val="18"/>
          <w:color w:val="auto"/>
        </w:rPr>
        <w:t>Large accelerated filer [ ]</w:t>
      </w:r>
      <w:r>
        <w:rPr>
          <w:sz w:val="20"/>
          <w:szCs w:val="20"/>
          <w:color w:val="auto"/>
        </w:rPr>
        <w:tab/>
      </w:r>
      <w:r>
        <w:rPr>
          <w:rFonts w:ascii="Times New Roman" w:cs="Times New Roman" w:eastAsia="Times New Roman" w:hAnsi="Times New Roman"/>
          <w:sz w:val="18"/>
          <w:szCs w:val="18"/>
          <w:color w:val="auto"/>
        </w:rPr>
        <w:t>Accelerated filer [ ]</w:t>
      </w:r>
      <w:r>
        <w:rPr>
          <w:sz w:val="20"/>
          <w:szCs w:val="20"/>
          <w:color w:val="auto"/>
        </w:rPr>
        <w:tab/>
      </w:r>
      <w:r>
        <w:rPr>
          <w:rFonts w:ascii="Times New Roman" w:cs="Times New Roman" w:eastAsia="Times New Roman" w:hAnsi="Times New Roman"/>
          <w:sz w:val="18"/>
          <w:szCs w:val="18"/>
          <w:color w:val="auto"/>
        </w:rPr>
        <w:t>Non-accelerated filer [ ]</w:t>
      </w:r>
      <w:r>
        <w:rPr>
          <w:sz w:val="20"/>
          <w:szCs w:val="20"/>
          <w:color w:val="auto"/>
        </w:rPr>
        <w:tab/>
      </w:r>
      <w:r>
        <w:rPr>
          <w:rFonts w:ascii="Times New Roman" w:cs="Times New Roman" w:eastAsia="Times New Roman" w:hAnsi="Times New Roman"/>
          <w:sz w:val="17"/>
          <w:szCs w:val="17"/>
          <w:color w:val="auto"/>
        </w:rPr>
        <w:t>Smaller reporting company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September 10, 2020, the number of outstanding shares of common stock of the registrant was 18,620,565.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5"/>
        </w:trPr>
        <w:tc>
          <w:tcPr>
            <w:tcW w:w="102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16"/>
        </w:trPr>
        <w:tc>
          <w:tcPr>
            <w:tcW w:w="1026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 FINANCIAL INFORMATION</w:t>
              </w:r>
            </w:hyperlink>
          </w:p>
        </w:tc>
        <w:tc>
          <w:tcPr>
            <w:tcW w:w="980" w:type="dxa"/>
            <w:vAlign w:val="bottom"/>
            <w:shd w:val="clear" w:color="auto" w:fill="CCEEFF"/>
          </w:tcPr>
          <w:p>
            <w:pPr>
              <w:spacing w:after="0"/>
              <w:rPr>
                <w:sz w:val="18"/>
                <w:szCs w:val="18"/>
                <w:color w:val="auto"/>
              </w:rPr>
            </w:pPr>
          </w:p>
        </w:tc>
      </w:tr>
      <w:tr>
        <w:trPr>
          <w:trHeight w:val="216"/>
        </w:trPr>
        <w:tc>
          <w:tcPr>
            <w:tcW w:w="10260" w:type="dxa"/>
            <w:vAlign w:val="bottom"/>
          </w:tcPr>
          <w:p>
            <w:pPr>
              <w:ind w:left="1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1. Financial Statements:</w:t>
              </w:r>
            </w:hyperlink>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ind w:left="3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Balance Sheets as of July 31, 2020 (unaudited) and April 30, 2020</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60" w:type="dxa"/>
            <w:vAlign w:val="bottom"/>
          </w:tcPr>
          <w:p>
            <w:pPr>
              <w:ind w:left="3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Unaudited Consolidated Statements of Operations for the three months ended July 31, 2020 and 2019</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260" w:type="dxa"/>
            <w:vAlign w:val="bottom"/>
            <w:shd w:val="clear" w:color="auto" w:fill="CCEEFF"/>
          </w:tcPr>
          <w:p>
            <w:pPr>
              <w:ind w:left="3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Consolidated Statements of Comprehensive Loss for the three months ended July 31, 2020 and 2019</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260" w:type="dxa"/>
            <w:vAlign w:val="bottom"/>
          </w:tcPr>
          <w:p>
            <w:pPr>
              <w:ind w:left="3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Unaudited Consolidated Statement of Stockholders’ Equity for the three months ended July 31, 2020 and 2019</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60" w:type="dxa"/>
            <w:vAlign w:val="bottom"/>
            <w:shd w:val="clear" w:color="auto" w:fill="CCEEFF"/>
          </w:tcPr>
          <w:p>
            <w:pPr>
              <w:ind w:left="3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Unaudited Consolidated Statements of Cash Flows for the three months ended July 31, 2020 and 2019</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60" w:type="dxa"/>
            <w:vAlign w:val="bottom"/>
          </w:tcPr>
          <w:p>
            <w:pPr>
              <w:ind w:left="36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Unaudited Consolidated Financial Statements</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26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60" w:type="dxa"/>
            <w:vAlign w:val="bottom"/>
          </w:tcPr>
          <w:p>
            <w:pPr>
              <w:ind w:left="18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26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Item 4. Controls and Procedures</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2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8">
              <w:r>
                <w:rPr>
                  <w:rFonts w:ascii="Times New Roman" w:cs="Times New Roman" w:eastAsia="Times New Roman" w:hAnsi="Times New Roman"/>
                  <w:sz w:val="18"/>
                  <w:szCs w:val="18"/>
                  <w:b w:val="1"/>
                  <w:bCs w:val="1"/>
                  <w:u w:val="single" w:color="auto"/>
                  <w:color w:val="0000EE"/>
                </w:rPr>
                <w:t>PART II — OTHER INFORMATION</w:t>
              </w:r>
            </w:hyperlink>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Item 1. Legal Proceedings</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60" w:type="dxa"/>
            <w:vAlign w:val="bottom"/>
          </w:tcPr>
          <w:p>
            <w:pPr>
              <w:ind w:left="1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Item 1A. Risk Factors</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6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60" w:type="dxa"/>
            <w:vAlign w:val="bottom"/>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Item 3. Defaults Upon Senior Securities</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6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Item 4. Mine Safety Disclosures</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60" w:type="dxa"/>
            <w:vAlign w:val="bottom"/>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Item 5. Other Information</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6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Item 6. Exhibits</w:t>
              </w:r>
            </w:hyperlink>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PowerBuoy® and the Ocean Power Technologies logo are trademarks of Ocean Power Technologies, Inc. All other trademarks appearing in this report are the property of their respective 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pandemic on our business, operations, customers, suppliers and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and achieve and sustain profitability;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commercially viable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market new products, such as subsea battery solutions;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successful in our efforts to commercialize our products or the timetable upon which commercialization can be achieved, if at all;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and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power output, survivability and reliability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strategic partners may not be successful and we may not be successful in establishing additional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and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through our current equity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2020,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3" w:name="page4"/>
    <w:bookmarkEnd w:id="3"/>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July 31, 2020</w:t>
            </w:r>
          </w:p>
        </w:tc>
        <w:tc>
          <w:tcPr>
            <w:tcW w:w="20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April 30, 2020</w:t>
            </w:r>
          </w:p>
        </w:tc>
      </w:tr>
      <w:tr>
        <w:trPr>
          <w:trHeight w:val="216"/>
        </w:trPr>
        <w:tc>
          <w:tcPr>
            <w:tcW w:w="7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11,065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10,002</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12,606</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11,653</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2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57"/>
        </w:trPr>
        <w:tc>
          <w:tcPr>
            <w:tcW w:w="74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14,402</w:t>
            </w:r>
          </w:p>
        </w:tc>
        <w:tc>
          <w:tcPr>
            <w:tcW w:w="3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7440" w:type="dxa"/>
            <w:vAlign w:val="bottom"/>
            <w:shd w:val="clear" w:color="auto" w:fill="CCEEFF"/>
          </w:tcPr>
          <w:p>
            <w:pPr>
              <w:ind w:left="176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liability- current</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Paycheck protection program loan- current</w:t>
            </w: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less current portion</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Paycheck protection program loan less current portion</w:t>
            </w: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100,000,000 shares, issued 18,624,816 and</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12,939,420 shares, respectively</w:t>
            </w:r>
          </w:p>
        </w:tc>
        <w:tc>
          <w:tcPr>
            <w:tcW w:w="2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4,251 shares</w:t>
            </w:r>
          </w:p>
        </w:tc>
        <w:tc>
          <w:tcPr>
            <w:tcW w:w="2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234,089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231,101</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(223,521)</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(220,136)</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10,117</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10,493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 costs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1,252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1,987</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3,239</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15,677,331</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6,040,466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14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(3,385)</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Pr>
          <w:p>
            <w:pPr>
              <w:spacing w:after="0"/>
              <w:rPr>
                <w:sz w:val="20"/>
                <w:szCs w:val="20"/>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2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July 31, 2020</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2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7"/>
        </w:trPr>
        <w:tc>
          <w:tcPr>
            <w:tcW w:w="28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16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3"/>
        </w:trPr>
        <w:tc>
          <w:tcPr>
            <w:tcW w:w="28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May 1, 2020</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12,939,420</w:t>
            </w:r>
          </w:p>
        </w:tc>
        <w:tc>
          <w:tcPr>
            <w:tcW w:w="5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(4,251)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231,101</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(220,136)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10,493</w:t>
            </w:r>
          </w:p>
        </w:tc>
        <w:tc>
          <w:tcPr>
            <w:tcW w:w="80" w:type="dxa"/>
            <w:vAlign w:val="bottom"/>
            <w:shd w:val="clear" w:color="auto" w:fill="CCEEFF"/>
          </w:tcPr>
          <w:p>
            <w:pPr>
              <w:spacing w:after="0"/>
              <w:rPr>
                <w:sz w:val="18"/>
                <w:szCs w:val="18"/>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(3,385)</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(3,385)</w:t>
            </w:r>
          </w:p>
        </w:tc>
      </w:tr>
      <w:tr>
        <w:trPr>
          <w:trHeight w:val="24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1"/>
                <w:szCs w:val="2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Aspire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financing, net of issuance costs</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5,025,000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20"/>
                <w:szCs w:val="20"/>
                <w:color w:val="auto"/>
              </w:rPr>
            </w:pP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AGP At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2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Market offering, net of issuance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660,396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0"/>
                <w:szCs w:val="20"/>
                <w:color w:val="auto"/>
              </w:rPr>
            </w:pPr>
          </w:p>
        </w:tc>
      </w:tr>
      <w:tr>
        <w:trPr>
          <w:trHeight w:val="27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gain/(loss)</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4"/>
                <w:szCs w:val="24"/>
                <w:color w:val="auto"/>
              </w:rPr>
            </w:pPr>
          </w:p>
        </w:tc>
      </w:tr>
      <w:tr>
        <w:trPr>
          <w:trHeight w:val="217"/>
        </w:trPr>
        <w:tc>
          <w:tcPr>
            <w:tcW w:w="2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July 31, 2020</w:t>
            </w: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18,624,816</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234,089</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(223,521</w:t>
            </w:r>
          </w:p>
        </w:tc>
        <w:tc>
          <w:tcPr>
            <w:tcW w:w="18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July 31, 2019</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2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6"/>
        </w:trPr>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16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3"/>
        </w:trPr>
        <w:tc>
          <w:tcPr>
            <w:tcW w:w="2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May 1, 2019</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5,425,517</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226,026</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(209,784)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15,775</w:t>
            </w:r>
          </w:p>
        </w:tc>
        <w:tc>
          <w:tcPr>
            <w:tcW w:w="80" w:type="dxa"/>
            <w:vAlign w:val="bottom"/>
            <w:shd w:val="clear" w:color="auto" w:fill="CCEEFF"/>
          </w:tcPr>
          <w:p>
            <w:pPr>
              <w:spacing w:after="0"/>
              <w:rPr>
                <w:sz w:val="18"/>
                <w:szCs w:val="18"/>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(3,025)</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(3,025)</w:t>
            </w:r>
          </w:p>
        </w:tc>
      </w:tr>
      <w:tr>
        <w:trPr>
          <w:trHeight w:val="24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1"/>
                <w:szCs w:val="2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(forfeiture) of restricted stock,</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prefunded warrants, net of</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gain/(loss)</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4"/>
                <w:szCs w:val="24"/>
                <w:color w:val="auto"/>
              </w:rPr>
            </w:pPr>
          </w:p>
        </w:tc>
      </w:tr>
      <w:tr>
        <w:trPr>
          <w:trHeight w:val="217"/>
        </w:trPr>
        <w:tc>
          <w:tcPr>
            <w:tcW w:w="2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July 31, 2019</w:t>
            </w: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5,775,385</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226,099</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(212,809</w:t>
            </w:r>
          </w:p>
        </w:tc>
        <w:tc>
          <w:tcPr>
            <w:tcW w:w="18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12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(3,385)</w:t>
            </w:r>
          </w:p>
        </w:tc>
        <w:tc>
          <w:tcPr>
            <w:tcW w:w="1100" w:type="dxa"/>
            <w:vAlign w:val="bottom"/>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expense related to stock option grants and restricted stock</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116</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181</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381</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lease liability</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112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computers, equipment and furniture</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744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Paycheck Protection Program Loan</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890</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Aspire financing net of issuance costs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2,635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AGP At The Market offering, net of issuance costs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243</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(costs) associated with exercise of pre-funded warrants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10,930</w:t>
            </w:r>
          </w:p>
        </w:tc>
        <w:tc>
          <w:tcPr>
            <w:tcW w:w="1100" w:type="dxa"/>
            <w:vAlign w:val="bottom"/>
          </w:tcPr>
          <w:p>
            <w:pPr>
              <w:spacing w:after="0"/>
              <w:rPr>
                <w:sz w:val="20"/>
                <w:szCs w:val="20"/>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17,159</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financing costs reported in accrued expenses</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computers, equipment and furniture through accounts payable</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ind w:left="37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Ocean Power Technologies, Inc. (the “Company”, “we”, “us”, “our”) was founded in 1984 in New Jersey, commenced business operations in 1994 and re-incorporated in Delaware in 2007. We believe that we are a marine power solutions provider. We control the design, manufacture, sales, installation, operations and maintenance of our products while working closely with partners that provide payloads, integration services, and marine installation capabilities. We believe our solutions provide distributed offshore power which is persistent and reliable power along with communications for remote surface and subsea applications. Our mission and purpose is to utilize our proprietary, state-of-the-art technologies to reduce the global carbon footprint by providing renewable energy solutions for reliable electrical power and, in so doing, drive demand for our products and services. Before 2015, government agencies had accounted for a significant portion of the Company’s revenues. These revenues were largely for the support of product development efforts relating to our technology. Today our goal is to generate the majority of our revenue from the commercialization of products and solutions, and sales of services to support our business operations. As we continue to develop and commercialize our products and services, we expect to have a net decrease in cash due to the use of cash from operating activities until we can achieve positive cash flow from the commercialization of solutions, products and services.</w:t>
      </w:r>
    </w:p>
    <w:p>
      <w:pPr>
        <w:spacing w:after="0" w:line="190"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2020 filed with the Securities and Exchange Commission (“SEC”), and elsewhere in this Form 10-Q.</w:t>
      </w:r>
    </w:p>
    <w:p>
      <w:pPr>
        <w:spacing w:after="0" w:line="18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Liquidity/Going Concern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the Company will continue as a going concern. The Company has experienced substantial and recurring losses from operations, which have contributed to an accumulated deficit of $223.5 million as of July 31, 2020. As of July 31, 2020, the Company had approximately $12.0 million in cash, cash equivalents, and restricted cash on hand. The Company generated revenues of $0.2 million and $0.2 million during the three months ended July 31, 2020 and 2019, respectively. Based on the Company’s cash, cash equivalents and restricted cash balances as of July 31, 2020, the Company believes that it will be able to finance its capital requirements and operations into the quarter ending July 31, 2021. Among other things, the Company is currently evaluating a variety of different financing alternatives and we expect to continue to fund our business with sales of our securities and through generating revenue with customers. The Company will require additional equity and/or debt financing to continue its operations into fiscal year 2022.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and /or new investors, officers and directors; borrowings of debt; or a public offering of the Company’s equity or debt securities. There can be no assurance that any of these future-funding efforts will be successful.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2020 and during the three months ended July 31, 2020,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products, its inability to market and commercialize its products and new products that it may develop,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currently has committed sources of equity financing through its At the Market Offering Agreement with A.G.P/Alliance Global Partners (“AGP”) and its equity line with Aspire Capital (discussed further below), but the Company cannot be 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 million. Through July 31, 2020, under the 2019 ATM Facility, the Company sold and issued an aggregate of 5,913,362 shares of its common stock with an aggregate market value of $5.0 million at an average price of $0.85 per share and paid AGP a sales commission of approximately $162,448 related to those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24, 2019, the Company entered into a new common stock purchase agreement with Aspire Capital which provided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could issue within the 19.99% limit was 1,219,010 shares including shares issued as a commitment fee. In consideration for entering into the agreement, the Company issued to Aspire Capital 194,805 shares of our common stock as a commitment fee. Shareholder approval was needed for sale of common stock over the 19.99% limit of the outstanding common stock on the date of the agreement. At the 2019 annual meeting of stockholders, held on December 20, 2019, the Company’s stockholders approved an additional 5,400,000 shares to be issued pursuant to the common stock purchase agreement. Through July 31, 2020, the Company has sold an aggregate of 6,424,205 shares of common stock with an aggregate market value of $4.0 million at an average price of $0.63 per share pursuant to this common stock purchase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estimated costs to complete projects; and percentage of completion of customer contracts for purposes of revenue recognition. Actual results could differ from those estimates.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 Cash, Cash Equivalents, Restricted Cash and Security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invests excess cash in a money market account.</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1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agreements with Santander Bank. Cash is on deposit at Santander Bank and serves as security for a letter of credit issued by Santander Bank for the lease of warehouse/office space in Monroe Township, New Jersey. This agreement cannot be extended beyond July 31, 2025 and is cancelable at the discretion of the bank. Santander Bank also issued two letters of credit to subsidiaries of Enel Green Power (“EGP”) pursuant to the Company’s contracts with EGP. The first letter of credit was issued in the amount of $125,690 that expires in February 2021. The second letter of credit was issued in the amount of $645,467. This second letter of credit will be reduced to $322,734 in August 2020 and to $64,547 in September 2020. The remaining amount expires in October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includes the following: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5"/>
          </w:tcPr>
          <w:p>
            <w:pPr>
              <w:jc w:val="right"/>
              <w:ind w:right="10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Bank</w:t>
            </w: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6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5"/>
          </w:tcPr>
          <w:p>
            <w:pPr>
              <w:jc w:val="right"/>
              <w:ind w:right="10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short term</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long term</w:t>
            </w:r>
          </w:p>
        </w:tc>
        <w:tc>
          <w:tcPr>
            <w:tcW w:w="1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accounts receivable and cash and cash equivalents. The Company believes that its credit risk is limited because the Company’s current contracts are with companies with strong financial strength. The Company invests its excess cash in a money market account and does not believe that it is exposed to any significant risks related to its cash and money market accounts. Cash and cash equivalents are also maintained at foreign financial institutions. Cash and cash equivalents in foreign financial institutions as of July 31, 2020 was $0.3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5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1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1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EGP</w:t>
            </w:r>
          </w:p>
        </w:tc>
        <w:tc>
          <w:tcPr>
            <w:tcW w:w="1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U.S. Navy</w:t>
            </w:r>
          </w:p>
        </w:tc>
        <w:tc>
          <w:tcPr>
            <w:tcW w:w="1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months ended July 31, 2020 and 2019:</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94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20" w:type="dxa"/>
            <w:vAlign w:val="bottom"/>
            <w:gridSpan w:val="3"/>
          </w:tcPr>
          <w:p>
            <w:pPr>
              <w:jc w:val="right"/>
              <w:ind w:right="696"/>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236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20" w:type="dxa"/>
            <w:vAlign w:val="bottom"/>
            <w:gridSpan w:val="2"/>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Accounting Standards Update (“ASU”) 2016-10 provides a practical expedient that permits presentation of shipping and handling costs, that occur after control of the promised goods or services transfer to the customer, as fulfillment costs rather than evaluating whether the shipping and handling activities are promised services to the customer. The Company adopted this practical expedient, but it did not have a material effect on its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three-month period ended July 31, 2020 and 2019, all of the Company’s contracts were classified as firm fixed price.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2020, the Company’s total remaining performance obligations, also referred to as backlog, totaled $0.8 million. The Company expects to recognize approximately 73%, or $0.6 million, of the remaining performance obligations as revenue over the next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PB3 PowerBuoy® Leasing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lease arrangements with certain customers for their PB3 PowerBuoy® (“PB3”). As of July 31, 2020, the Company has one lease arrangement with a remaining lease term of less than 16 months.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leases as either operating or financing in accordance with the authoritative accounting guidance contained within ASC Topic 842,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At inception of the contract, the Company evaluates the lease against the lease classification criteria within ASC Topic 842. If the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or sales-type classification criteria are met, then the lease is accounted for as a finance lease. All others are treated as an operating lease.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operating lease arrangements generally on a straight-line basis over the lease term and is presented in Revenues in the Consolidated Statement of Operations. The lease income for the three months ended July 31, 2020 and 2019 was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non-vested restricted stock issued to employees and non-employee directors, were excluded from the diluted loss per share calculation due to their anti-dilutive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In computing diluted net loss per share on the Consolidated Statement of Operations, warrants on common stock, options to purchase shares of common stock and non-vested restricted stock issued to employees and non-employee directors, totaling 5,564,404 and 5,008,145 for the three months ended July 31, 2020 and 2019, respectively, were excluded from each of the computations as the effect would be anti-dilutive due to the Company’s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Recently Issued Accounting Standards</w:t>
      </w:r>
    </w:p>
    <w:p>
      <w:pPr>
        <w:spacing w:after="0" w:line="227"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amendment in this update replaces the incurred loss impairment methodology in current GAAP with a methodology that reflects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expected credit losses on instruments within its scope, including trade receivables. This update is intended to provide financial statement users with more decision-useful information about the expected credit losses. This ASU is effective for public entities, excluding entities eligible to be Smaller Reporting Companies for annual periods and interim periods beginning after December 15, 2019. In November 2019, the FASB issued No. 2019-10, </w:t>
      </w:r>
      <w:r>
        <w:rPr>
          <w:rFonts w:ascii="Times New Roman" w:cs="Times New Roman" w:eastAsia="Times New Roman" w:hAnsi="Times New Roman"/>
          <w:sz w:val="18"/>
          <w:szCs w:val="18"/>
          <w:i w:val="1"/>
          <w:iCs w:val="1"/>
          <w:color w:val="auto"/>
        </w:rPr>
        <w:t>Financial Instruments—Credit Losses (Topic 326), Derivatives and Hedging (Topic 815), and Leases (Topic 842)</w:t>
      </w:r>
      <w:r>
        <w:rPr>
          <w:rFonts w:ascii="Times New Roman" w:cs="Times New Roman" w:eastAsia="Times New Roman" w:hAnsi="Times New Roman"/>
          <w:sz w:val="18"/>
          <w:szCs w:val="18"/>
          <w:color w:val="auto"/>
        </w:rPr>
        <w:t>, which deferred the effective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2016-13 for Smaller Reporting Companies for fiscal years beginning after December 15, 2022, including interim periods within those fiscal years, assuming the Company remains a Smaller Reporting Company.The Company is currently evaluating the impact the adoption of ASU 2016-13 will have on its consolidated financial statements.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xml:space="preserve"> The ASU modifies, removes, and adds several disclosure requirements on fair value measurements in Topic 820, Fair Value Measurement.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adopted this guidance effective May 1, 2020. The adoption of the guidance did not have a material effect on its Consolidated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The ASU requires a customer in a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arrangement that is a service contract to follow the internal-use software guidance in Accounting Standards Codification 350-40 to determine which implementation costs to defer and recognize as an asset.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adopted this guidance on a prospective basis effective May 1, 2020. The adoption of the guidance did not have a material effect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 Receivable, Contract Assets, and Contract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July 31, 2020 and April 30,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5"/>
          </w:tcPr>
          <w:p>
            <w:pPr>
              <w:jc w:val="right"/>
              <w:ind w:right="10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Amount invoiced to customers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Collections</w:t>
            </w:r>
          </w:p>
        </w:tc>
        <w:tc>
          <w:tcPr>
            <w:tcW w:w="2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3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0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conditioned on completing additional tasks or services for a performance obligation. The increase in contract assets is primarily a result of services performed relating to our project with Enel Green Power that has not been billed during the three months ended July 31, 2020.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decrease in contract liabilities is primarily due to recognition of revenue relating to our Eni project during the three months ended July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Other Current Assets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 of the following at July 31, 2020 and April 30, 2020: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5"/>
          </w:tcPr>
          <w:p>
            <w:pPr>
              <w:jc w:val="right"/>
              <w:ind w:right="10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Prepaid offering costs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as of July 31, 2020 and April 30, 2020 consisted of the following: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5"/>
          </w:tcPr>
          <w:p>
            <w:pPr>
              <w:jc w:val="right"/>
              <w:ind w:right="10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$37,000 and $38,000 for the three-month period ended July 31, 2020 and 2019,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July 31, 2020, the Company has one lease which has been classified as an operating lease per accounting guidance contained within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Company’s remaining term on this operating lease is less than 16 months. The maturity of lease payments remaining on this lease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lease for its facility located in Monroe Township, New Jersey that is used as warehouse/production space and the Company’s principal offices and corporate headquarters. The initial lease term is for 7 years with an option to extend the lease for another 5 years. The lease is classified as an operating lease. The operating lease is included in right-of-use assets, lease liabilities- current and lease liabilities- long-term on the Company’s Consolidated Balance Sheets.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June 10, 2020 the Company signed a 12-month lease for office space in Houston, Texas. The lease can be extended by the Company by providing the lessor on or before the notice date of the Company’s intent to renew or terminate the lease.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allows a company an accounting policy election to recognize lease payments to the Consolidated Statement of Operations on a straight-line basis if the lease term is equal to or less 12 months and not recognize a right-of use asset and lease liability. The accounting policy is made on the commencement date of the 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cash flows from operating leases cash payments for the three months ended July 31, 2020 and 2019 was $83,000 and $79,000,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lease straight-line expense in the Consolidated Statement of Operations for both the three months ended July 31, 2020 and 2019 was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94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20" w:type="dxa"/>
            <w:vAlign w:val="bottom"/>
            <w:gridSpan w:val="3"/>
          </w:tcPr>
          <w:p>
            <w:pPr>
              <w:jc w:val="right"/>
              <w:ind w:right="696"/>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8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20" w:type="dxa"/>
            <w:vAlign w:val="bottom"/>
            <w:gridSpan w:val="2"/>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July 31, 2020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940" w:type="dxa"/>
            <w:vAlign w:val="bottom"/>
          </w:tcPr>
          <w:p>
            <w:pPr>
              <w:spacing w:after="0"/>
              <w:rPr>
                <w:sz w:val="21"/>
                <w:szCs w:val="21"/>
                <w:color w:val="auto"/>
              </w:rPr>
            </w:pPr>
          </w:p>
        </w:tc>
      </w:tr>
      <w:tr>
        <w:trPr>
          <w:trHeight w:val="234"/>
        </w:trPr>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75"/>
        </w:trPr>
        <w:tc>
          <w:tcPr>
            <w:tcW w:w="340" w:type="dxa"/>
            <w:vAlign w:val="bottom"/>
          </w:tcPr>
          <w:p>
            <w:pPr>
              <w:spacing w:after="0"/>
              <w:rPr>
                <w:sz w:val="15"/>
                <w:szCs w:val="15"/>
                <w:color w:val="auto"/>
              </w:rPr>
            </w:pPr>
          </w:p>
        </w:tc>
        <w:tc>
          <w:tcPr>
            <w:tcW w:w="46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2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40" w:type="dxa"/>
            <w:vAlign w:val="bottom"/>
          </w:tcPr>
          <w:p>
            <w:pPr>
              <w:spacing w:after="0"/>
              <w:rPr>
                <w:sz w:val="15"/>
                <w:szCs w:val="15"/>
                <w:color w:val="auto"/>
              </w:rPr>
            </w:pPr>
          </w:p>
        </w:tc>
      </w:tr>
      <w:tr>
        <w:trPr>
          <w:trHeight w:val="21"/>
        </w:trPr>
        <w:tc>
          <w:tcPr>
            <w:tcW w:w="340" w:type="dxa"/>
            <w:vAlign w:val="bottom"/>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25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1,113</w:t>
            </w: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liability- current</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194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liability- long term</w:t>
            </w:r>
          </w:p>
        </w:tc>
        <w:tc>
          <w:tcPr>
            <w:tcW w:w="2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c>
          <w:tcPr>
            <w:tcW w:w="1940" w:type="dxa"/>
            <w:vAlign w:val="bottom"/>
          </w:tcPr>
          <w:p>
            <w:pPr>
              <w:spacing w:after="0"/>
              <w:rPr>
                <w:sz w:val="21"/>
                <w:szCs w:val="21"/>
                <w:color w:val="auto"/>
              </w:rPr>
            </w:pPr>
          </w:p>
        </w:tc>
      </w:tr>
      <w:tr>
        <w:trPr>
          <w:trHeight w:val="256"/>
        </w:trPr>
        <w:tc>
          <w:tcPr>
            <w:tcW w:w="340" w:type="dxa"/>
            <w:vAlign w:val="bottom"/>
          </w:tcPr>
          <w:p>
            <w:pPr>
              <w:spacing w:after="0"/>
              <w:rPr>
                <w:sz w:val="22"/>
                <w:szCs w:val="22"/>
                <w:color w:val="auto"/>
              </w:rPr>
            </w:pPr>
          </w:p>
        </w:tc>
        <w:tc>
          <w:tcPr>
            <w:tcW w:w="464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228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60" w:type="dxa"/>
            <w:vAlign w:val="bottom"/>
            <w:tcBorders>
              <w:top w:val="single" w:sz="8" w:color="CCEEFF"/>
              <w:bottom w:val="single" w:sz="8" w:color="CCEEFF"/>
            </w:tcBorders>
          </w:tcPr>
          <w:p>
            <w:pPr>
              <w:spacing w:after="0"/>
              <w:rPr>
                <w:sz w:val="22"/>
                <w:szCs w:val="22"/>
                <w:color w:val="auto"/>
              </w:rPr>
            </w:pPr>
          </w:p>
        </w:tc>
        <w:tc>
          <w:tcPr>
            <w:tcW w:w="1940" w:type="dxa"/>
            <w:vAlign w:val="bottom"/>
          </w:tcPr>
          <w:p>
            <w:pPr>
              <w:spacing w:after="0"/>
              <w:rPr>
                <w:sz w:val="22"/>
                <w:szCs w:val="22"/>
                <w:color w:val="auto"/>
              </w:rPr>
            </w:pPr>
          </w:p>
        </w:tc>
      </w:tr>
      <w:tr>
        <w:trPr>
          <w:trHeight w:val="196"/>
        </w:trPr>
        <w:tc>
          <w:tcPr>
            <w:tcW w:w="34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 years</w:t>
            </w: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940" w:type="dxa"/>
            <w:vAlign w:val="bottom"/>
          </w:tcPr>
          <w:p>
            <w:pPr>
              <w:spacing w:after="0"/>
              <w:rPr>
                <w:sz w:val="18"/>
                <w:szCs w:val="18"/>
                <w:color w:val="auto"/>
              </w:rPr>
            </w:pPr>
          </w:p>
        </w:tc>
      </w:tr>
      <w:tr>
        <w:trPr>
          <w:trHeight w:val="439"/>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0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tcBorders>
              <w:top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5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56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1,489</w:t>
            </w:r>
          </w:p>
        </w:tc>
        <w:tc>
          <w:tcPr>
            <w:tcW w:w="80" w:type="dxa"/>
            <w:vAlign w:val="bottom"/>
            <w:tcBorders>
              <w:top w:val="single" w:sz="8" w:color="CCEEFF"/>
            </w:tcBorders>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tcBorders>
              <w:top w:val="single" w:sz="8" w:color="CCEEFF"/>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at July 31, 2020 and April 30, 2020: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7"/>
          </w:tcPr>
          <w:p>
            <w:pPr>
              <w:jc w:val="right"/>
              <w:ind w:right="114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53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loss reserve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 payable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Classified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The warrants have an exercise price of $121.60 per share, became exercisable on December 3, 2016 (“Initial Exercise Date”), and will expire five years following the Initial Exercise Date. As of July 31, 2020, none of the warrants have been exercised.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The Warrants were exercisable immediately at an exercise price of $187.20 per share. The Warrants will expire on the fifth (5th) anniversary of the initial date of issuance. As of July 31, 2020, none of the warrants have been exercised.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As of July 31, 2020, all of the pre-funded warrants have been exercised. The common stock warrants have an exercise price of $3.85 per share and expire five years from the issuance date. As of July 31, 2020, none of the common stock warrants have been exercised.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its June and July 2016 public offerings in accordance with the guidance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The warrants have a value close to zero at July 31, 2020 and April 30, 2020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Paycheck Protection Program Loan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on March 27, 2020, the U.S. Government passed into law the Coronavirus Aid, Relief and Economic Security Act, or the (“CARES Act”) which included the ability to secure loans under the Paycheck Protection Program (“PPP”). On May 3, 2020, after its application was submitted and approved, the Company signed a PPP loan with Santander Bank, N.A. (“Santander”) as the lender for $890,347 pursuant to the PPP under the CARES Act, as implemented by the U.S. Small Business Association (“SBA”). The PPP loan is an unsecured note with Santander as the lender and governed by a loan agreement with Santander. The interest rate is 1% and the loan is repayable over two years. The loan contains customary events of defaults relating to, among other things, payment defaults or breaches of the terms of the loan. Upon the occurrence of an event of default, the lender may require immediate repayment of all outstanding under the loan. Interest and principal payments are deferred for the first 6 months from the date of the loan. Principal and interest of approximately $49,000 are payable monthly commencing 6 months after the disbursement date and may be repaid by the Company at any time prior to maturity with no prepayment penalties. The Company received the proceeds on May 5, 2020.</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SBA allows loan forgiveness for eligible costs incurred and paid which include (a) payroll costs, (b) interest on any real or personal property mortgage prior to February 15, 2020, (c) rent on any lease in force prior to February 15, 2020, and (d) utility payments for which service began before February 15, 2020. As of July 31, 2020, the Company has utilized all of the loan proceeds. While the Company currently believes that the use of the loan proceeds will meet the conditions for forgiveness of the loan and is in the process of preparing the SBA’s forgiveness application, no assurance can be provided that the Company will obtain forgiveness of the loan, in whole or in part.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2020, the Paycheck Protection Program Flexibility Act (“PPPFA”) was signed into law. Among other changes, the PPPFA (a) reduced the amount of the loan required to be spent on payroll costs from 75% to 60%, (b) extended the covered period to 24 weeks from 8 weeks, (c) extended the repayment term of the PPP loan from 2 years to 5 years, and (d) increased the deferred payment date from 6 months to 10 months. For the loans disbursed before June 5, 2020, the PPPFA provides the option to opt for 24 weeks for spending the loan instead of 8 weeks. The Company opted for 24 weeks to spend the loan.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accruing interest expense until the loan is forgiven or repaid. If the loan were not forgiven by the SBA and the Company decided to repay the loan over 2 years, the interest expense for this period would be approximately $7,000.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undesignated preferred stock with a par value of $0.001 per share. As of July 31, 2020, no shares of preferred stock had been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2019, the Company entered into the 2019 ATM Facility with AGP, under which the Company may issue and sell to or through A.G.P./Alliance Global Partners, acting as agent and/or principal, shares of the Company’s common stock having an aggregate offering price of up to $25 million. Through July 31, 2020, under the 2019 ATM Facility the Company had sold and issued an aggregate of 5,913,362 shares of its common stock with an aggregate market value of $5.0 million at an average price of $0.85 per share and paid AGP a sales commission of approximately $162,448 related to those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prefunded warrants to purchase up to 3,385,680 shares of common stock and common warrants to purchase up to 4,927,680 shares of common stock in an underwritten public offering. The net proceeds to the Company from the offering were approximately $15.7 million, after deducting underwriter’s fees and offering expenses payable by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24, 2019, the Company entered into a new common stock purchase agreement with Aspire Capital which provided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could issue within the 19.99% limit was 1,219,010 shares including the shares issued as a commitment fee. In consideration for entering into the agreement, the Company issued to Aspire Capital 194,805 shares of common stock as a commitment fee. Shareholder approval was needed for sale of common stock over the 19.99% limit of the outstanding common stock on the date of the agreement. At the 2019 annual meeting of stockholders, held on December 20, 2019, the Company’s stockholders approved an additional 5,400,000 shares to be issued pursuant to the common stock purchase agreement. Through July 31, 2020, the Company has sold an aggregate of 6,424,205 shares of common stock with an aggregate market value of $4.0 million at an average price of $0.63 per share pursuant to this common stock purchase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Treasury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July 31, 2020 and 2019, no shares of common stock were purchased by the Company from employees to pay taxes related to the vesting of restricted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2015, upon approval by the Company’s stockholders, the Company’s 2015 Omnibus Incentive Plan (the “2015 Plan”) became effective. A total of 732,036 shares are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July 31, 2020, the Company has 168,842 shares available for future issuance under the 2015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w:t>
      </w:r>
    </w:p>
    <w:p>
      <w:pPr>
        <w:jc w:val="both"/>
        <w:ind w:firstLine="8"/>
        <w:spacing w:after="0" w:line="253"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July 31, 2020, there were 11,487 shares available for grant under the 2018 Inducement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is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is based on the Company’s historical volatility over the expected life of the stock option granted. There were no shares granted in the three months ended July 31, 2020 or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of 2020, the Company issued 81,334 performance-based stock options to two of its executives. The awards can vest over 2 years if there is positive total shareholder return (e.g. share price increase) as measured to the 5-day (January 11-15, 2021) and (January 10-14, 2022) share price Volume Weighted Average Price (“ VWAP”). The Company determined these awards contain a market- based condition and estimated the fair value using the Monte Carlo simulation model. There were 81,334 shares unvested and outstanding as of July 31,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300" w:type="dxa"/>
            <w:vAlign w:val="bottom"/>
          </w:tcPr>
          <w:p>
            <w:pPr>
              <w:spacing w:after="0"/>
              <w:rPr>
                <w:sz w:val="18"/>
                <w:szCs w:val="18"/>
                <w:color w:val="auto"/>
              </w:rPr>
            </w:pP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2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300" w:type="dxa"/>
            <w:vAlign w:val="bottom"/>
          </w:tcPr>
          <w:p>
            <w:pPr>
              <w:spacing w:after="0"/>
              <w:rPr>
                <w:sz w:val="19"/>
                <w:szCs w:val="19"/>
                <w:color w:val="auto"/>
              </w:rPr>
            </w:pP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2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21"/>
                <w:szCs w:val="21"/>
                <w:color w:val="auto"/>
              </w:rPr>
            </w:pP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2020</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555,475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1,086.00</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31, 2020</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w:t>
            </w:r>
          </w:p>
        </w:tc>
        <w:tc>
          <w:tcPr>
            <w:tcW w:w="18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July 31, 2020</w:t>
            </w:r>
          </w:p>
        </w:tc>
        <w:tc>
          <w:tcPr>
            <w:tcW w:w="1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19.51</w:t>
            </w:r>
          </w:p>
        </w:tc>
        <w:tc>
          <w:tcPr>
            <w:tcW w:w="1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62,441</w:t>
            </w: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July 31, 2020, the total intrinsic value of both outstanding and exercisable options was zero. As of July 31, 2020, approximately 493,000 additional options were unvested, which had no intrinsic value and a weighted average remaining contractual term of 9.5 years. There was approximately $99,000 and $89,000 of total recognized compensation cost related to stock options during each of the three months ended July 31, 2020 and 2019, respectively. As of July 31, 2020, there was approximately $233,000 of total unrecognized compensation cost related to non-vested stock options granted under the plans. This cost is expected to be recognized over a weighted-average period of 0.8 years. The Company typically issues newly authorized but unissued shares to satisfy option exercises under these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non-vested restricted stock is generally recorded based on its market value on the date of grant and recognized ratably over the associated service and performance period. During the three months ended July 31, 2020, the Company granted no shares subject to service-based vesting requirements.</w:t>
      </w:r>
    </w:p>
    <w:p>
      <w:pPr>
        <w:sectPr>
          <w:pgSz w:w="11900" w:h="16838" w:orient="portrait"/>
          <w:cols w:equalWidth="0" w:num="1">
            <w:col w:w="11240"/>
          </w:cols>
          <w:pgMar w:left="320" w:top="688"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 and unvested at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 and unvested at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30"/>
        </w:trPr>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 Price per</w:t>
            </w:r>
          </w:p>
        </w:tc>
      </w:tr>
      <w:tr>
        <w:trPr>
          <w:trHeight w:val="245"/>
        </w:trPr>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414"/>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00" w:space="60"/>
            <w:col w:w="4880"/>
          </w:cols>
          <w:pgMar w:left="320" w:top="688"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approximately $5,000 and $3,000 of total recognized compensation cost related to restricted stock for the three months ended July 31, 2020 and 2019, respectively. As of July 31, 2020, there is $5,000 unrecognized compensation cost remaining related to unvested restricted stock granted under our plans. This cost is expected to be recognized over a weighted-average period of 0.3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2019, the Company granted 51,547 shares, subject to service-based vesting requirements, to an employee that were outside the Company stock incentive plans. There was approximately $12,000 and zero of total recognized compensation cost related to this award for the three months ended July 31, 2020 and 2019, respectively. As of July 31, 2020, there is $18,000 unrecognized compensation cost remaining related to this award. This cost is expected to be recognized over a weighted-average period of 0.4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82"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that the Company has the ability to access at the measurement date.</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that are unobservable for the asset or 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values of these financial instruments approximate their fair values and are viewed as Level 1 items. The Company’s warrant liabilities represent the only asset or liability classified financial instrument that is measured at fair value on a recurring basis.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warrant liabilities (refer to Note 8) is based on the Black-Scholes option pricing model which is based on Level 3 unobservable inputs for which there is little or no market data, requiring the Company to develop its own assumptions. The assumptions used by the Company are the quoted price of the Company’s common stock in an active market, risk-free interest rate, volatility and expected life, and assumes no dividends.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 The fair value on a recurring basis as of July 31, 2020 and April 30, 2020 was near zero.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the fair value using the Black-Scholes option pricing model with the following assumptions: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1.0 - 1.4</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2.0 - 2.4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Unrealized gains of approximately zero and $6,000 for the three months ended July 31, 2020 and 2019, respectively, were included within “Gain due to change in fair value of warrant liabilities” in the Consolidated Statements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Besides the unrealized gain in fair value, there was no other activity to the balances in warrant liabilities during the three months ended July 31, 2020 and 2019,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hierarchy levels during each of the three months ended July 31, 2020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Litigation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August 28, 2018, counsel for Mr. Dunleavy filed a demand for arbitration, captioned </w:t>
      </w:r>
      <w:r>
        <w:rPr>
          <w:rFonts w:ascii="Times New Roman" w:cs="Times New Roman" w:eastAsia="Times New Roman" w:hAnsi="Times New Roman"/>
          <w:sz w:val="18"/>
          <w:szCs w:val="18"/>
          <w:i w:val="1"/>
          <w:iCs w:val="1"/>
          <w:color w:val="auto"/>
        </w:rPr>
        <w:t>Charles F. Dunleavy v. Ocean Power Technologies, Inc.,</w:t>
      </w:r>
      <w:r>
        <w:rPr>
          <w:rFonts w:ascii="Times New Roman" w:cs="Times New Roman" w:eastAsia="Times New Roman" w:hAnsi="Times New Roman"/>
          <w:sz w:val="18"/>
          <w:szCs w:val="18"/>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On April 5, 2019, a three-person arbitration panel scheduled the discovery process to run from April 12, 2019 until November 9, 2019, set a pre-hearing case management conference for October 14, 2019, and set the hearing for December 9-13, 2019 in Princeton, New Jersey. On September 30, 2019, the parties completed the factual discovery process and the Company identified its expert witnesses. On October 14, 2019, the parties participated in a pre-hearing case management conference with arbitration panel and altered slightly the dates for the hearing. The hearing was conducted in Princeton, New Jersey between December 9-11, 2019, and between December 16-18, 2019, and on December 18, 2019 the panel decided to continue the hearing for at least another day. The final day of hearing occurred in Princeton, New Jersey on July 15, 2020. Post-hearing briefs are scheduled to be filed on September 22, 2020, after which the arbitration panel will make its decision although there is no schedule for their decision. As of July 31, 2020, the Company has not accrued any provision related to this matter since it is not probable and cannot reasonably estimate the loss contingency.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Delisting Notification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 2020,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August 31, 2020, in which to regain compliance with the minimum bid price rule. To regain compliance, the closing bid price of the Company’s common stock must meet or exceed $1.00 per share for a minimum of ten consecutive business days during this grace period. On April 20, 2020, the Company received a written notice from Nasdaq indicating that, as a result of the tolling of the bid price requirements due to COVID-19, the period within which the Company has to regain compliance was extended from August 31, 2020 to November 13, 2020. On August 21, 2020, the Company received notification from Nasdaq that, as a result of the closing bid price of the Company’s common stock being over $1.00 for 10 consecutive trading days, the Company has regained compliance with Listing Rule 5550(a)(2) to maintain the listing of its common stock on Nasdaq and Nasdaq considers the matter closed.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underwent an income tax audit in Spain for the period from 2011 to 2014, when our Spanish branch was closed. In connection with the tax audit, the Spanish tax inspector challenged the Company’s recognition of grant funds received in 2011 to 2014 from the European Commission in connection with the Company’s Waveport project. On July 30, 2018, the inspector concluded that although there was no tax owed in light of losses reported, the Company’s Spanish branch owed penalties for failure to properly account for the income associated with the funding grant. On August 30, 2018, the Company filed an administrative appeal of the penalty and its underlying conclusions. During the three months ended July 31, 2020, the Company received notice from the Spanish Central Economic and Administrative Tribunal that it agreed with the inspector and ruled that the Company owes the full amount of the penalty in the amount of €279,869.81. The Company is appealing the decision of the Tribunal tax assessment to the National High Court. Per the Company’s accounting policy, the Company recorded the additional penalty of $154,000 to Selling, general and administrative costs in the Statement of Operations. As of July 31, 2020 and April 30, 2020, the Company has reserved $331,000 and $177,000, respectively, for the penalty in Accrued expenses in the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2011 to 2014, when our Spanish branch was closed. At July 31, 2020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Operating Segments and Geographic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unit that bills the customers. During each of the three months ended July 31, 2020 and 2019, the Company’s primary business operations were in North America.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2020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2020 refers to the year ended April 30,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 Regarding COVID-19</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in March 2020, the Company put in place a number of protective measures. These measures included the canceling of all commercial air travel and all other non-critical travel, requesting that employees limit non-essential personal travel, eliminating all but essential third-party access to our facilities, enhancing our facility janitorial and sanitary procedures, encouraging employees to work from home to the extent their job function enables them to do so, encouraging the use of virtual employee meetings, and providing staggered shifts and social distancing measures for those employees associated with manufacturing operations. As of June 2020, the Company returned to work although individuals can work from home if necessary.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COVID-19 pandemic has presented substantial health and economic risks, uncertainties and challenges to our business, the global economy and financial markets. It is not currently possible to predict how long the pandemic will last or the time it will take for economies to return to prior levels. The extent to which COVID-19 impacts our business, operations, financial results and financial condition, and those of our suppliers and customers will depend on future developments which are highly uncertain and cannot be predicted with certainty or clarity, including the duration and continuing severity of the outbreak and additional government actions to contain COVID-19. The volatility caused in the stock markets by the pandemic may make it difficult for the Company to raise capital. In March 2020, one of the Company’s customers cancelled a portion of their contract due to the outbreak of COVID-19 and instead extended an existing lease. In April 2020, the Company declared force majeure and delayed the deployment of its PB3 PowerBouy® in Chile from April, 2020 to September, 2020 due to travel restrictions imposed by the U.S. and Chile. For additional information on various uncertainties and risks posed by the COVID-19 pandemic, see Part II, Item 1A “Risk Factors” of this report.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on March 27, 2020, the U.S. Government passed into law the Coronavirus Aid, Relief and Economic Security Act, or the (“CARES Act”). On May 3, 2020, the Company signed a Paycheck Protection Program (“PPP”) loan with Santander Bank, N.A. (“Santander”) as the lender for $890,347 in support through the Small Business Association (“SBA”) under the PPP Loan. The PPP Loan is unsecured and evidenced by a note in favor of Santander as the lender and governed by a Loan Agreement with Santander. The interest rate is 1% and the loan is repayable over two years. The loan contains customary events of defaults relating to, among other things, payment defaults or breaches of the terms of the loan. Upon the occurrence of an event of default, the lender may require immediate repayment of all outstanding under the loan. Interest and principal payments are deferred for the first 6 months from the date of the loan. Principal and interest are payable monthly commencing 6 months after the disbursement date and may be repaid by the Company at any time prior to maturity with no prepayment penalties. The Company received the proceeds on May 5, 2020.</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SBA allows loan forgiveness for eligible costs incurred and paid which include a) payroll costs, b) interest on any real or personal property mortgage prior to February 15, 2020, c) rent on any lease in force prior to February 15, 2020, and d) utility payments for which service began before February 15, 2020. As of July 31, 2020, the Company has utilized all of the loan proceeds. While the Company currently believes that the use of the loan proceeds will meet the conditions for forgiveness of the loan and is in the process of preparing the SBA’s forgiveness application, no assurance can be provided that the Company will obtain forgiveness of the loan, in whole or in part.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2020, the Paycheck Protection Program Flexibility Act (“PPPFA”) was signed into law. Among other changes, the PPPFA (a) reduced the amount of the loan required to be spent on payroll costs from 75% to 60%, (b) extended the covered period to 24 weeks from 8 weeks, (c) extended the repayment term of PPP loan from 2 years to 5 years, and (d) increased the deferred payment date from 6 months to 10 months. For the loans disbursed before June 5, 2020, the PPPFA provides the option to opt for 24 weeks for spending the loan instead of 8 weeks. The Company has opted for 24 weeks to spend the loan.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are a marine power solutions provider. We control the design, manufacture, sales, installation, operations and maintenance of our products while working closely with partners that provide payloads, integration services, and marine installation capabilities. We believe our solutions provide distributed offshore power which is persistent and reliable power along with communications for remote surface and subsea applications. Our mission and purpose is to utilize our proprietary, state-of-the-art technologies to reduce the global carbon footprint by providing renewable solutions for reliable electrical power and, in so doing, drive demand for our products and services.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continue to develop and commercialize our proprietary systems that generate electricity by harnessing the renewable energy of ocean waves for our PB3 PowerBuoy®, and solar power for our newest product, the hybrid PowerBuoy. The PB3 PowerBuoy® uses proprietary technologies that convert the kinetic energy created by the heaving motion of ocean waves into electricity. Based on feedback from our current customers, discussions with potential future customers in the offshore oil and gas, defense and security, science and research, and communications, as well as government applications in fishery protection, together with our market research and publicly available data, we believe that numerous markets have a direct need for our solutions. While our recent projects have been in the oil and gas industry, we believe there is an increasing need for our products and solutions in areas such as fishery protection, offshore windfarm support, marine surveillance, and ocean-based science and research applications.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and communications, either by supplying electric power to payloads that are integrated directly with our product or located in its vicinity, such as on the seabed and in the water column. We believe we are the leader in offshore autonomous ocean wave power conversion technology which provides renewable power for offshore operations that were previously difficult to decarbonize.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achievements during fiscal 2020 and the first three months of fiscal 2021 included the Company’s first commercial sale of a PB3 to Enel Green Power (“EGP”). We continued work on our Eni S.p.A. (“Eni”) project and completed work for Premier Oil (“PMO”), U.S. Navy Small Business Innovation Research (“U.S. SBIR”), and a leading oil &amp; gas operator. During the fiscal year, the Company continued development of the hybrid and its subsea battery solutions. The Company also signed a memorandum of understanding with Modus Seabed Intervention Ltd. (“Modus”) to develop and deliver innovative solutions including a combined AUV charging station which will be able to utilize the PowerBuoy® system for topside charging and communications. In June, 2020, the Company signed a memorandum of understanding with Mackay Marine (a division of Mackay Communications) to develop a Marine Surveillance Solution.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We were incorporated in New Jersey in 1984, began business operations in 1994, and were re-incorporated in Delaware in 2007. We currently have five wholly-owned subsidiaries: Ocean Power Technologies Ltd., organized under the laws of the United Kingdom, Reedsport OPT Wave Park LLC, organized under the laws of Oregon, and Oregon Wave Energy Partners I, LLC, organized under the laws of Delaware, Ocean Power Technologies (Australasia) Pty Ltd (“OPTA”), organized under the laws of Australia. OPTA owns 100% of Victorian Wave Partners Pty. Ltd. (“VWP”), which is also organized under the laws of Australia.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PB3 PowerBuoy</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PB3 generates electricity by harnessing the renewable energy of ocean waves. In addition to our PB3, we continue to develop our PowerBuoy® product line, including the hybrid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as well as our surface surveillance solution and the subsea battery.</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PB3 features a unique onboard power take-off (“PTO”) system, which incorporates both energy storage and energy management and control systems. The PB3 generates a nominal name-plated capacity rating of up to a nominal 3 kilowatts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to meet specific application requirements. We believe there is a substantial addressable market for the current capabilities of our PB3, which we believe could be utilized in a variety of applications.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PB3 is designed to generate power for use independent of the power grid in remote offshore locations. The hull consists of a main spar structure loosely moored to the seabed and surrounded by a floating annular-structure that can freely move up and down in response to the passage of the waves. The PTO system includes a mechanical actuating system, an electric generator, a power electronics system, our control system, and our ESS which are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 The operation of the PB3 is controlled by our customized, proprietary control system.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using wave energy for electricity generation has the following potential benefits, compared to existing incumbent solutions.</w:t>
      </w:r>
    </w:p>
    <w:p>
      <w:pPr>
        <w:spacing w:after="0" w:line="223" w:lineRule="exact"/>
        <w:rPr>
          <w:sz w:val="20"/>
          <w:szCs w:val="20"/>
          <w:color w:val="auto"/>
        </w:rPr>
      </w:pPr>
    </w:p>
    <w:p>
      <w:pPr>
        <w:jc w:val="both"/>
        <w:ind w:left="660" w:hanging="652"/>
        <w:spacing w:after="0" w:line="267"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Scalability within a small site area. </w:t>
      </w:r>
      <w:r>
        <w:rPr>
          <w:rFonts w:ascii="Times New Roman" w:cs="Times New Roman" w:eastAsia="Times New Roman" w:hAnsi="Times New Roman"/>
          <w:sz w:val="18"/>
          <w:szCs w:val="18"/>
          <w:color w:val="auto"/>
        </w:rPr>
        <w:t>Due to the dense energy in ocean waves, we believe that the electricity may be aggregated to supply electricity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larger payloads as a result of multiple PB3 which are placed in an array, occupying a relatively small area. We believe the array of a larger number of PB3 could offer end users a variety of advantages in availability, reliability and scalability.</w:t>
      </w:r>
    </w:p>
    <w:p>
      <w:pPr>
        <w:spacing w:after="0" w:line="173" w:lineRule="exact"/>
        <w:rPr>
          <w:rFonts w:ascii="Times New Roman" w:cs="Times New Roman" w:eastAsia="Times New Roman" w:hAnsi="Times New Roman"/>
          <w:sz w:val="18"/>
          <w:szCs w:val="18"/>
          <w:i w:val="1"/>
          <w:iCs w:val="1"/>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Predictability. </w:t>
      </w:r>
      <w:r>
        <w:rPr>
          <w:rFonts w:ascii="Times New Roman" w:cs="Times New Roman" w:eastAsia="Times New Roman" w:hAnsi="Times New Roman"/>
          <w:sz w:val="18"/>
          <w:szCs w:val="18"/>
          <w:color w:val="auto"/>
        </w:rPr>
        <w:t>The generation of power from wave energy can be forecasted several days in advance. Available wave energy can be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high degree of accuracy based on satellite images and meteorological data, even when the wave field is hundreds of miles away and days from reaching a PB3. Therefore, we believe end-users relying on PB3 for power may be able to proactively plan their logistics, payload scheduling and other operational activities based on such data,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left="660" w:hanging="652"/>
        <w:spacing w:after="0" w:line="267"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Constant source of energy. </w:t>
      </w:r>
      <w:r>
        <w:rPr>
          <w:rFonts w:ascii="Times New Roman" w:cs="Times New Roman" w:eastAsia="Times New Roman" w:hAnsi="Times New Roman"/>
          <w:sz w:val="18"/>
          <w:szCs w:val="18"/>
          <w:color w:val="auto"/>
        </w:rPr>
        <w:t>The annual occurrence of waves at certain specific sites can be relatively constant and defined with relatively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accuracy. Based on our studies and analyses of various sites of interest, we believe that we will be able to deploy our PB3 in locations where the waves could produce usable electricity for the majority of the year.</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that numerous markets have a direct need for our PB3 including offshore oil and gas, defense and security, science and research, and communications, as well as government applications in fishery protection. Depending on payload power requirements, sensor types and other considerations, we have found that our PB3 could satisfy several application requirements within these markets. We believe that the PB3 consistently generates sufficient power to meet the requirements of many potential customer applications within our target markets, and that the hybrid could provide ample power in geographies where wave conditions may not be sufficient to allow the PB3 to generate sufficient power on its own for load center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hybrid PowerBuoy®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created a hybrid PowerBuoy® that is a solar powered and liquid-fueled surface buoy, compared to the wave power generating PB3. The hybrid is powered primarily by solar panels with a liquid-fueled Stirling engine to provide back-up power and is capable of providing reliable power in remote offshore locations, regardless of ocean wave conditions. We believe this product is complementary to the PB3 by providing the Company the opportunity to address a broader spectrum of customer deployment needs, including low-wave environments, with the potential for greater product integration within each customer project. It is primarily intended for shorter term deployment applications such as electric remotely operated vehicle (“eROV” or “ROV”) and AUV inspections and short-term maintenance, topside surveillance and communications, and subsea equipment and controls. The hybrid is anticipated to be quickly deployable and cost-effective solution. The design has a high payload capacity for communications and surveillance, with the capability of being tethered to subsea payloads such as batteries, or with a conventional anchor mooring system. The hybrid generates power from both an array of solar panels and an efficient, clean burning 1kW Stirling engine fueled by liquid propane (or biofuel for Generation 2). This energy is stored in onboard batteries which power the aforementioned subsea and topside payloads. The Company has designed the hybrid with a Stirling engine system to outperform traditional diesel buoys, which we believe have more frequent service and refueling intervals and higher carbon intensities. We believe the hybrid will be able to operate over a broader range of temperature and ocean wave conditions than existing diesel buoys.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towable, boat-shaped hull design of the hybrid is appropriate for deployment around the world. Power is generated independent of wave activity, making it a solution for providing power through extreme weather and in heaving seas, or in calm, low wave environments and is complimentary to the PB3.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with the PB3, the control system uses sensors and an onboard computer to continuously monitor the hybrid subsystems. We believe that this ability to optimize and manage the electric power output of the hybrid is a significant advantage of our technology. In the event of extended cloudy periods, the control system automatically switches electricity generation from the solar panels to the backup engine. However, the load center (either the on-board payload or one in the vicinity of the hybrid may continue to receive power from the on-board energy storage system (“ESS”). When more suitable solar power generation conditions return, the control system automatically stops the backup up engine and ESS replenishment recommences by way of solar electricity generation.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hybrid is designed for use with a single point umbilical and mooring but can be adapted for a 3-point mooring installation for use as a temporary replacement for PB3 installations during planned maintenance or repairs.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hybrid can be transported over land to the deployment port using conventional transportation methods. Once at port, the hybrid can be lifted into the water or onboard a vessel using a readily available crane of appropriate capacity. The hybrid may then be towed to site using a standard vessel (if the location is within an appropriate distance from the port), or the hybrid may be carried aboard a vessel to its offshore location and craned into the water at site. The hybrid is then attached to the single point mooring system, which is installed during a separate operation, after which a brief commissioning process places the hybrid into operation.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hybrid is configured with a nominal 30 kilowatt-hours of battery energy storage and approximately 1 megawatt-hour of stored energy in the propane system. While the batteries are primarily charged through solar power generation, the propane powered Stirling engine system on the hybrid can be considered reserve energy storage, with propane having a much higher energy storage density than lithium-ion batteries. It can be utilized when needed based on load demand and will provide approximately 1 megawatt-hour of stored energy capacity. We believe that this amount of stored energy offers an attractive local, autonomous energy solution for clients in a range of industries, including but not limited to oil and gas and marine observation, particularly for shorter term deployments.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Subsea Battery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developed a subsea battery that is complementary to both of our PowerBuoy® products and can be deployed together with our PowerBuoys® or on its own. It offers customers the option of placing additional modular and expandable energy storage on the seabed near existing or to be installed subsea equipment. Our lithium ion subsea batteries supply power that can enable subsea equipment, sensors, communications and AUV and eROV recharge. Our PowerBuoys® are complimentary to the subsea batteries by providing a means for recharging during longer term deployments, or the batteries can be used independently for shorter term deployments. Ideal for many remote offshore customer applications, these subsea batteries are anticipated to be high performance, cost-efficient, and quickly deployable.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 kilowatt-hours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battery is then connected to the other components on the seabed with the use of ROVs or divers.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growing demand for electrification of subsea infrastructure, and an increased switch to autonomous and renewable solution, offers multiple opportunities for deploying subsea battery powered solutions over the next few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seek new strategic relationships, and further develop our existing partnerships, with other companies that have developed or are developing in-ocean applications requiring, and services supporting a persistent source of power that is also capable of real time data collection, processing and communication, to address potential customer needs.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percentage of our revenues derived from customers whose revenues accounted for at least 10% of our consolidated revenues for at least one of the periods indicated:</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34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1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1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EGP</w:t>
            </w:r>
          </w:p>
        </w:tc>
        <w:tc>
          <w:tcPr>
            <w:tcW w:w="1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U.S. Navy</w:t>
            </w:r>
          </w:p>
        </w:tc>
        <w:tc>
          <w:tcPr>
            <w:tcW w:w="1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achieve success in commercializing our products, we must expand our customer base and obtain commercial contracts to lease or sell our products, solutions and related services to customers. Our potential customer base for our products and solutions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Eni exercised their option from the March 2018 contract to extend their lease of the PB3 for an additional 18 months. The initial provision in March 2018 agreement provided for a minimum 24-month contract that included an 18-month PB3 lease and associated project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7" w:name="page28"/>
    <w:bookmarkEnd w:id="27"/>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we entered into two contracts with subsidiaries of EGP which include the sale of a PB3 PowerBuoy® and the development and supply of a turn-key integrated Open Sea Lab that will be the Company’s first deployment off the coast of Chile. In April 2020, the Company declared force majeure and delayed the deployment of its PB3 PowerBouy® in Chile from April, 2020 to September, 2020 due to travel restrictions imposed by the U.S. and Chile in response to COVID-19 pandemic. The contract is a result of a detailed feasibility study of the PowerBuoy® as an offshore autonomous platform hosting oceanographic sensor systems conducted in September 2018.</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we entered into an agreement with a leading oil and gas operator to conduct a detailed feasibility study of using the Company’s technology to monitor subsea wells.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we entered into a contract with PMO for the lease of a PB3 to be deployed in one of PMO’s offshore fields in the North Sea. In March 2020, after the several months at sea the PB3 was decommissioned and returned to New Jersey for evaluation and refurbishment to prepare for another deployment.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we signed a memorandum of understanding with Mackay Marine, a division of Mackay Communications, Inc., to further optimize our Marine Surveillance System payload for both the PB3 and hybrid PowerBuoy®. Mackay Marine manufacturers and supplies a wide variety of technically advanced equipment for commercial, military, and personal marine applications.</w:t>
      </w:r>
    </w:p>
    <w:p>
      <w:pPr>
        <w:spacing w:after="0" w:line="179"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 February 2020, we signed a letter of intent with Taiwan-based BAP Precision, Inc. (“BAP”) to provide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joint surveillance solutions for government agency contract pursuits for policing territorial waters.</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we signed a memorandum of understanding with Modus Seabed Intervention Ltd. (“Modus”). for the purpose of developing and delivering commercial market solutions that offer a step-change in innovation and market value against conventional methodologies, specifically through development and marketing of a combined Hybrid Autonomous Underwater Vehicle (HAUV) charging station which will be able to utilize the PowerBuoy® system for topside charging and communications.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we signed a memorandum of understanding with Acteon Field Life Service Ltd. (“Acteon”) to develop, explore and exploit mutual opportunities in the global oil and gas and renewable markets.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2019, we entered into a Joint System Solution Development and Marketing Agreement with Saab Seaeye Ltd. (“Saab”). The agreement anticipates a preliminary focus on AUV and eROV charging and communications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2015, we have brought the PB3 from initial concept to a full-scale design. We have performed multiple prototype iterations. During this time, we have conducted a number of in-ocean tests in combination with our facility-based accelerated life testing to prepare for low rate initial production. In 2019, we completed the design of our hybrid PowerBuoy®. In December 2017, we relocated our production and corporate headquarters to a larger facility. This facility allows for expansion of our manufacturing capabilities and a move toward higher volume production of our solutions.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2020, we have continued progress in marketing our PB3. We have made progress in transitioning from R&amp;D to a commercialization focus with SELL, BUILD, SHIP as our motto and we intend to build on our success by implementing processes and solutions that cover the entire life cycle, from demand generation to close of contract, and from channel strategies to customer care.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majority of the Company’s opportunities with potential customers have been for projects in Western Europe, including the North Sea, as well as North America and Asia. Nearly two-thirds of these opportunities have progressed past the initial feasibility and non-disclosure agreement stage to more detailed, confidential discussions around specific customer applications. Many of these discussions occur at the executive, decision-making level, as well as the implementation level.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Many proposal requests are for projects where one of our PowerBuoys® products, either the PB3, the hybrid, or our subsea battery solution is part of a larger solution demonstration, and typically include the potential lease or sale of one or more PowerBuoys®, as well as required services and maintenance support. A majority of hybrid inquiries are for shorter term deployments and in calmer waters. Historically, demonstration projects have been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our company and capabilities and may include negotiation of standard terms and conditions. Many proposals contain provisions which would mandate the sale or lease of our PowerBuoy® product upon successful conclusion of the demonstration project.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this is an accurate depiction of the overall sales cycle for new technology in each of our target markets, including our PowerBuoy® products. Cycle times for each step of the sales cycle will vary depending on several customer factors, including, but not limited to, technical evaluation, project priorities, project funding approval process, and alignment of new technology integration with the customer’s broader operational strategy. We believe that potential demand, vis-à-vis specific application proposal requests, is indicative of significant progress in our commercialization strategy. We believe in the potential for growth as a result of our positioning for higher volume production of our products and solutions and their initial indications of demand for our PowerBuoy® products in multiple customer applications.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commercialize our products and solutions for use in remote offshore power and real-time data communications applications, and in order to achieve this goal, we are pursuing the following business objectives:</w:t>
      </w:r>
    </w:p>
    <w:p>
      <w:pPr>
        <w:spacing w:after="0" w:line="160" w:lineRule="exact"/>
        <w:rPr>
          <w:sz w:val="20"/>
          <w:szCs w:val="20"/>
          <w:color w:val="auto"/>
        </w:rPr>
      </w:pPr>
    </w:p>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Integrated turn-key solutions sales or leases incorporating our products and services. </w:t>
      </w:r>
      <w:r>
        <w:rPr>
          <w:rFonts w:ascii="Times New Roman" w:cs="Times New Roman" w:eastAsia="Times New Roman" w:hAnsi="Times New Roman"/>
          <w:sz w:val="18"/>
          <w:szCs w:val="18"/>
          <w:color w:val="auto"/>
        </w:rPr>
        <w:t>We believe our PB3, hybrid PowerBuoys® and our subsea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battery solutions are well suited to enable many unmanned, autonomous (non-grid connected) offshore solutions, such as topside and subsea surveillance and communications, subsea equipment monitoring, early warning systems platform and subsea power and buffering, and weather and climate data collection. We have investigated and realized market demand for some of these solutions leveraging both PowerBuoy® and subsea battery sales and leases within our selected markets, and we intend to sell and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life-cycle. We also intend to pursue turn-key projects where we take on a prime contractor role to capture broader revenue opportunities while ensuring that solutions effectively address customer needs. We continue to increase our commercial capabilities through new hires in sales and application support, and through engagement of expert market consultants in various geographies.</w:t>
      </w:r>
    </w:p>
    <w:p>
      <w:pPr>
        <w:spacing w:after="0" w:line="185"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Expand customer system solution offerings through new complimentary products that enable shorter and more cost-efficient deployments.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the design and construction of the hybrid PowerBuoy® in 2020. This product builds on our existing expertise in offshore power systems. The hybrid PowerBuoy® is a solar powered buoy with a liquid-fueled Stirling engine as backup. The hybrid is to be highly complementary to the PB3 PowerBuoy® by providing the Company the opportunity to address a broader spectrum of customer deployment needs, including low-wave environments, with the potential for greater system integration within each customer project. The hybrid is primarily intended for shorter term deployment applications such as eROV and AUV inspections and short-term maintenance, topside surveillance and communications, and subsea equipment and controls. The Company has also developed a subsea battery system that is complimentary to the Company’s PowerBuoy® products. The subsea battery system offers the possibility of creating a sea floor energy storage solution for remote offshore operations. These subsea battery systems contain lithium ion batteries, which provide high power density to supply power to subsea equipment, sensors, communications, and recharging of AUVs and eROV. Ideal for many remote offshore customer applications, these subsea battery systems are anticipated to be high performance, cost-efficient, and quickly deployable.</w:t>
      </w:r>
    </w:p>
    <w:p>
      <w:pPr>
        <w:spacing w:after="0" w:line="19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Concentrate sales and marketing efforts in specific geographic markets. </w:t>
      </w:r>
      <w:r>
        <w:rPr>
          <w:rFonts w:ascii="Times New Roman" w:cs="Times New Roman" w:eastAsia="Times New Roman" w:hAnsi="Times New Roman"/>
          <w:sz w:val="18"/>
          <w:szCs w:val="18"/>
          <w:color w:val="auto"/>
        </w:rPr>
        <w:t>We are currently focusing our marketing efforts on parts of North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 America, Europe, Asia and Western Africa. We believe that each of these areas has demand for our solutions, sizable end market opportunities, political and economic stability, and high levels of industrialization and economic development.</w:t>
      </w:r>
    </w:p>
    <w:p>
      <w:pPr>
        <w:spacing w:after="0" w:line="173"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Expand our relationships in key market areas through strategic partnerships and collaborations. </w:t>
      </w:r>
      <w:r>
        <w:rPr>
          <w:rFonts w:ascii="Times New Roman" w:cs="Times New Roman" w:eastAsia="Times New Roman" w:hAnsi="Times New Roman"/>
          <w:sz w:val="18"/>
          <w:szCs w:val="18"/>
          <w:color w:val="auto"/>
        </w:rPr>
        <w:t>We believe that strategic partners are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commercializing a new product.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 We have formed such a relationship with several well-known groups, including Mackay, BAP, Modus, Saab and Acteon. We continue to seek other opportunities to collaborate with application experts from within our selected markets.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Outsourcing of fabrication, deployment and service support</w:t>
      </w:r>
      <w:r>
        <w:rPr>
          <w:rFonts w:ascii="Times New Roman" w:cs="Times New Roman" w:eastAsia="Times New Roman" w:hAnsi="Times New Roman"/>
          <w:sz w:val="18"/>
          <w:szCs w:val="18"/>
          <w:color w:val="auto"/>
        </w:rPr>
        <w:t>. We outsource all fabrication, anchoring, mooring, cabling supply, and in most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to ensure a cost-effective product by leveraging a larger more established supply base. We also continue to seek strategic partnerships with regard to servicing of our products and solutions.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reduction and PowerBuoy® solution development. </w:t>
      </w:r>
      <w:r>
        <w:rPr>
          <w:rFonts w:ascii="Times New Roman" w:cs="Times New Roman" w:eastAsia="Times New Roman" w:hAnsi="Times New Roman"/>
          <w:sz w:val="18"/>
          <w:szCs w:val="18"/>
          <w:color w:val="auto"/>
        </w:rPr>
        <w:t>Our engineering efforts are mainly focused on addressing customer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PowerBuoy® sales; reducing costs associated with production, installation and product life-cycle costs; and improving the energy output, reliability, maintenance interval and expected operating life of our products and solutions. We continue to optimize manufacturability of our designs with a focus on cost competitiveness, and we believe we will be able to address new applications by developing new payloads and solutions that address customer needs.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2019, the Company entered into the 2019 ATM Facility with AGP under which the Company may issue and sell to or through AGP, acting as agent and/or principal, shares of the Company’s common stock having an aggregate offering price of up to $25 million. ThroughJuly 31, 2020, under the 2019 ATM Facility, the Company sold and issued 5,913,362 shares of its common stock with an aggregate market value of $5.0 million at an average price of $0.85 per share and paid AGP a sales commission of approximately $162,448 related to those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24, 2019, the Company entered into a new common stock purchase agreement with Aspire Capital which provided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could issue within the 19.99% limit is 1,219,010 shares including shares issued as a commitment fee. In consideration for entering into the agreement, the Company issued to Aspire Capital 194,805 shares of our common stock as a commitment fee. Shareholder approval was needed for sale of common stock over the 19.99% limit of the outstanding common stock on the date of the agreement. At the 2019 annual meeting of stockholders, held on December 20, 2019, the Company’s stockholders approved an additional 5,400,000 shares to be issued pursuant to the common stock purchase agreement. Through July 31, 2020, the Company has sold 6,424,205 shares of common stock with an aggregate market value of $4.0 million at an average price of $0.63 per share pursuant to this common stock purchase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2020, the Company’s backlog was $0.8 million. As of April 30, 2020, backlog was $0.9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The Company has experienced substantial and recurring losses from operations, which losses have caused an accumulated deficit of $223.5 million at July 31, 2020. Based on the Company’s cash, cash equivalents and restricted cash balances as of July 31, 2020, the Company believes that it will be able to finance its capital requirements and operations into the quarter ending July 31, 2021. Among other things, the Company is currently evaluating a variety of different financing alternatives and we expect to continue to fund our business with sales of our securities and through generating revenue with customers.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filed with our Annual Report on Form 10-K for the year ended April 30, 2020,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2020. There were no material changes in our critical accounting estimates or accounting policies during the three months ended July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 of operations and some of the factors that affect our operating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each of the three-month periods ended July 31, 2020 and 2019, all of the Company’s contracts were classified as firm fixed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breakdown of our revenues by customer for the three months ended July 31, 2020 and 2019.</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4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gridSpan w:val="4"/>
          </w:tcPr>
          <w:p>
            <w:pPr>
              <w:jc w:val="right"/>
              <w:ind w:right="636"/>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242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EGP</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U.S. Navy</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focus our sales and marketing efforts on parts of North and South America, Europe and Asia. The following table shows the percentage of our revenues by geographical location of our customers for the three months ended July 31, 2020 and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tbl>
      <w:tblPr>
        <w:tblLayout w:type="fixed"/>
        <w:tblInd w:w="170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1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incurred material, labor and manufacturing overhead expenses, such as engineering expense, equipment depreciation and maintenance and facility related expenses, and includes the cost of equipment to customize the products supplied by third-party suppliers. Cost of revenues also includes product system delivery and deployment expenses and may include anticipated losses at completion on certain contracts.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generate a gross profit will depend on the nature of future contracts, our success at generating revenues through sales or leases of our products, the nature of our contracts generating revenues to fund our product development efforts, and our ability to manage costs incurred on fixed price commercial contracts.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money market fund and interest expense paid on certain obligations to third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cash accounts that are denominated in British pounds sterling, Euros and Australian dollars. These foreign-denominated accounts had a balance of $0.3 million as of July 31, 2020 and $0.7 million as of July 31, 2019, compared to our total cash, cash equivalents and restricted cash balances of $12.0 million as of July 31, 2020 and $13.5 million as of July 31, 2019. These foreign currency balances are translated each month and to our functional currency, the US dollar, and any resulting gain or loss is recognized in our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2020 compared to the three months ended July 31, 2019</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July 31, 2020 and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59"/>
        </w:trPr>
        <w:tc>
          <w:tcPr>
            <w:tcW w:w="5400" w:type="dxa"/>
            <w:vAlign w:val="bottom"/>
          </w:tcPr>
          <w:p>
            <w:pPr>
              <w:spacing w:after="0"/>
              <w:rPr>
                <w:sz w:val="22"/>
                <w:szCs w:val="22"/>
                <w:color w:val="auto"/>
              </w:rPr>
            </w:pPr>
          </w:p>
        </w:tc>
        <w:tc>
          <w:tcPr>
            <w:tcW w:w="31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5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2020 period to</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2019 period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c>
          <w:tcPr>
            <w:tcW w:w="5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169</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334</w:t>
            </w:r>
          </w:p>
        </w:tc>
        <w:tc>
          <w:tcPr>
            <w:tcW w:w="1120" w:type="dxa"/>
            <w:vAlign w:val="bottom"/>
          </w:tcPr>
          <w:p>
            <w:pPr>
              <w:spacing w:after="0"/>
              <w:rPr>
                <w:sz w:val="20"/>
                <w:szCs w:val="20"/>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48"/>
        </w:trPr>
        <w:tc>
          <w:tcPr>
            <w:tcW w:w="540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1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jc w:val="right"/>
              <w:ind w:right="181"/>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gridSpan w:val="2"/>
            <w:shd w:val="clear" w:color="auto" w:fill="CCEEFF"/>
          </w:tcPr>
          <w:p>
            <w:pPr>
              <w:jc w:val="right"/>
              <w:ind w:right="260"/>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400" w:type="dxa"/>
            <w:vAlign w:val="bottom"/>
            <w:vMerge w:val="continue"/>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41"/>
              <w:spacing w:after="0" w:line="68" w:lineRule="exact"/>
              <w:rPr>
                <w:sz w:val="20"/>
                <w:szCs w:val="20"/>
                <w:color w:val="auto"/>
              </w:rPr>
            </w:pPr>
            <w:r>
              <w:rPr>
                <w:rFonts w:ascii="Times New Roman" w:cs="Times New Roman" w:eastAsia="Times New Roman" w:hAnsi="Times New Roman"/>
                <w:sz w:val="7"/>
                <w:szCs w:val="7"/>
                <w:color w:val="auto"/>
              </w:rPr>
              <w:t>(165</w:t>
            </w:r>
          </w:p>
        </w:tc>
        <w:tc>
          <w:tcPr>
            <w:tcW w:w="1120" w:type="dxa"/>
            <w:vAlign w:val="bottom"/>
            <w:shd w:val="clear" w:color="auto" w:fill="CCEEFF"/>
          </w:tcPr>
          <w:p>
            <w:pPr>
              <w:spacing w:after="0"/>
              <w:rPr>
                <w:sz w:val="7"/>
                <w:szCs w:val="7"/>
                <w:color w:val="auto"/>
              </w:rPr>
            </w:pPr>
          </w:p>
        </w:tc>
        <w:tc>
          <w:tcPr>
            <w:tcW w:w="880" w:type="dxa"/>
            <w:vAlign w:val="bottom"/>
            <w:gridSpan w:val="3"/>
            <w:shd w:val="clear" w:color="auto" w:fill="CCEEFF"/>
          </w:tcPr>
          <w:p>
            <w:pPr>
              <w:jc w:val="right"/>
              <w:ind w:right="320"/>
              <w:spacing w:after="0" w:line="68" w:lineRule="exact"/>
              <w:rPr>
                <w:sz w:val="20"/>
                <w:szCs w:val="20"/>
                <w:color w:val="auto"/>
              </w:rPr>
            </w:pPr>
            <w:r>
              <w:rPr>
                <w:rFonts w:ascii="Times New Roman" w:cs="Times New Roman" w:eastAsia="Times New Roman" w:hAnsi="Times New Roman"/>
                <w:sz w:val="7"/>
                <w:szCs w:val="7"/>
                <w:color w:val="auto"/>
              </w:rPr>
              <w:t>(165</w:t>
            </w:r>
          </w:p>
        </w:tc>
        <w:tc>
          <w:tcPr>
            <w:tcW w:w="16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 costs</w:t>
            </w:r>
          </w:p>
        </w:tc>
        <w:tc>
          <w:tcPr>
            <w:tcW w:w="1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1,252</w:t>
            </w: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12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1,987</w:t>
            </w:r>
          </w:p>
        </w:tc>
        <w:tc>
          <w:tcPr>
            <w:tcW w:w="1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30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5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11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(3,404)</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(3,060)</w:t>
            </w:r>
          </w:p>
        </w:tc>
        <w:tc>
          <w:tcPr>
            <w:tcW w:w="32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1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32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CCEEFF"/>
            </w:tcBorders>
            <w:gridSpan w:val="2"/>
          </w:tcPr>
          <w:p>
            <w:pPr>
              <w:jc w:val="right"/>
              <w:ind w:right="20"/>
              <w:spacing w:after="0" w:line="216" w:lineRule="exact"/>
              <w:rPr>
                <w:sz w:val="20"/>
                <w:szCs w:val="20"/>
                <w:color w:val="auto"/>
              </w:rPr>
            </w:pPr>
            <w:r>
              <w:rPr>
                <w:rFonts w:ascii="Times New Roman" w:cs="Times New Roman" w:eastAsia="Times New Roman" w:hAnsi="Times New Roman"/>
                <w:sz w:val="14"/>
                <w:szCs w:val="14"/>
                <w:color w:val="auto"/>
              </w:rPr>
              <w:t>12</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were $0.2 million in the three months ended July 31, 2020, essentially flat as compared to the three months ended July 31, 2019. Revenue for the three months ended July 31, 2020 was primarily derived from the EGP project while revenue for the same period in the prior year was primarily derived from projects with Premier Oil and U.S. Navy.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were $0.3 million in the three months ended July 31, 2020, essentially flat compared to the three months ended July 31,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Engineering and product development costs for the three months ended July 31, 2020 and 2019 were $1.3 million and $1.2 million, respectively. The increase of approximately $0.1 million is the result of higher spending on new product development in the current year period mostly offset by lower spending on buoy builds as compared to the same period in fiscal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for the three months ended July 31, 2020 and 2019 were $2.0 million and $1.7 million, respectively. The increase compared to the same period in fiscal 2020 is due mainly to higher employee related costs of $0.2 million and an increase in the estimated penalty payment of $0.2 million relating to the Spanish tax audit.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due to the change in fair value of warrant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during the three months ended July 31, 2020 was zero versus an unrealized gain of $6,000 for the three months ended July 31,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net during the three months ended July 31, 2020 was $11,000, compared to $42,000 during the three months ended July 31, 2019. The decrease of $31,000 is due to a lower interest rate earned on investments in the three months ended July 31, 2020 as compared to the three months ended July 31,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gain during the three months ended July 31, 2020 was $8,000 compared to a foreign exchange loss of $13,000 during the three months ended July 31, 2019. The difference was attributable primarily to the relative change in value of the British pound sterling, Euro and Australian dollar compared to the US dollar during the two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$3.4 million and $3.0 million for the three months ended July 31, 2020 and 2019, respectively. Refer to “Liquidity Outlook”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2020, net cash flows used in operating activities was $2.7 million, consisting primarily of a net loss of $3.4 million offset by net outflows from fluctuations in working capital and other assets and liabilities of $0.4 million and impact of non-cash charges of $0.3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July 31, 2020 was zero, a decrease of $28,000 compared to net cash used by investing activities during the three months ended July 31, 2019. The decrease in net cash used in investing activities was due to lower spending on the purchase of computers, equipment and furniture.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July 31, 2020 was approximately $3.8 million compared to net cash used by financing activities during the three months ended July 31, 2019 of $19,000. The increase in net cash provided by financing activities during the three months ended July 31, 2020 is primarily due to more proceeds from capital raises of $2.9 million and $0.9 million received from the PPP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exchange rates on cash and cash equivalents was an increase of $32,000 in the three months ended July 31, 2020 and a decrease of $20,000 in the three months ended for July 31, 2019. The effect of exchange rates on cash and cash equivalents results primarily from gains or losses on consolidation of foreign subsidiaries and foreign denominated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We have experienced substantial and recurring losses from operations, which have contributed to an accumulated deficit of $223.5 million at July 31, 2020. As of July 31, 2020, we had approximately $12.0 million in cash, cash equivalents and restricted cash on hand. The Company generated revenues of $0.2 million and $0.2 million during the three months ended July 31, 2020 and 2019, respectively. Based on the Company’s cash, cash equivalents and restricted cash balances as of July 31, 2020, the Company believes that it will be able to finance its capital requirements and operations into the quarter ended July 31, 2021. Among other things, the Company is currently evaluating a variety of different financing alternatives and we expect to continue to fund our business with sales of our securities and through generating revenue with customers. These conditions raise substantial doubt about our ability to continue as a going concern.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of our products and to expand our sales, marketing and manufacturing programs associated with the continued commercialization of the PowerBuoys®. Our future capital requirements will depend on a number of factors, including but not limited to:</w:t>
      </w:r>
    </w:p>
    <w:p>
      <w:pPr>
        <w:spacing w:after="0" w:line="176"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pandemic on our business, operations, custoemrs, suppliers and manufacturers;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and achieve and sustain profitability;</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commercially viable products;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market new products, such as subsea battery solutions;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successful in our efforts to commercialize our products or the timetable upon which commercialization can be achieved, if at all;</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and solutions;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power output, survivability and reliability of our products;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strategic partners may not be successful and we may not be successful in establishing additional relationships;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and our products;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through our current equity facilities;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$14.0 million in fiscal 2021 including expected savings from cost reduction initiatives and engineering and product development spending of more than $6.9 million. We may choose to reduce our operating expenses through personnel reductions, and reductions in our research and development and other operating costs during the remainder of fiscal year 2021,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evaluated the effectiveness of the design and operation of our disclosure controls and procedures as of July 31, 2020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July 31, 2020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July 31, 2020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jc w:val="both"/>
        <w:ind w:left="40" w:right="100"/>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76"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18"/>
          <w:szCs w:val="18"/>
          <w:color w:val="auto"/>
        </w:rPr>
        <w:t>For information on matters in dispute, see Note 15 to the Consolidated Financial Statements in our Annual Report on Form10-K for the year ended April 30, 2020, and Note 15 to the Consolidated Financial Statements under Part I, Item 1 of this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2020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June 29,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auditors have raised substantial doubts as to our ability to continue as 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$223.5 million as of July 31, 2020. As of July 31, 2020, the Company had approximately $12.0 million in cash, cash equivalents and restricted cash on hand. The Company generated revenues of $0.2 million and $0.2 million during the three months ended July 31, 2020 and 2019, respectively. Based on the Company’s cash, cash equivalents and restricted cash balances as of July 31, 2020, the Company believes that it will be able to finance its capital requirements and operations into the quarter ending July 31, 2021.</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experience operating losses and currently have only two revenue producing contracts. During fiscal 2020, our net burn rate (cash used in operations less cash generated by operations) including engineering and product development spending was approximately $1.0 million per month.</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$14.0 million in fiscal 2021 including expected savings from cost reduction initiatives and engineering and product development spending of more than $6.9 million. However, we may choose to reduce our operating expenses through personnel reductions, and reductions in our research and development and other operating costs during fiscal year 2021,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$3.4 million during the three months ended July 31, 2020 and $3.0 million in fiscal 2020. As of July 31, 2020, we had an accumulated deficit of $223.5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continually improve existing products, design and sell new products and invest in research and development in order to compete effectively.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7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improvements are not completed on a timely basis;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are not introduced on a timely basis or do not achieve sufficient market penetration;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budget overruns or delays in R&amp;D efforts; 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experience reliability or quality problems, or otherwise do not meet customer preferences or requirements.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scale and scope of the recent COVID-19 outbreak, the resulting pandemic, and the impact on the financial markets is unknown and could adversely affect the Company’s business, financial condition and results of operation at least for the near term.</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beginning of January 2020, the COVID-19 outbreak has caused significant disruption in the financial markets both globally and in the U.S. As the U.S. faces the COVID-19 pandemic, we are following the recommendations of government and health authorities to minimize exposure risk for our employees. The rapid spread of COVID-19 globally also has resulted in increased travel restrictions and disruption and shutdown of certain businesses in the U.S. and abroad, including disruptions to our own business. We are closely monitoring this global health crisis and will reassess its strategy and operational activities on a regular, ongoing basis as the situation evolves.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changes in work protocols, as well as related pandemic fears, quarantines and market downturns, we may experience impacts from changes in customer behavior. Our business is dependent upon the willingness and ability of our customers to conduct transactions, as well as the ability of customers to meet existing payment or other obligations. The spread of COVID-19 has caused severe disruptions in the worldwide economy, which has in turn disrupted the business, activities, and operations of our business and operations, as well as that of our customers. For example, our employees have been unable to travel to Chile to perform final testing and assembly of our PB3 PowerBuoy® for EGP. In April 2020, the Company declared force majeure and delayed the deployment of its PB3 PowerBouy® in Chile from April, 2020 to September, 2020 due to travel restrictions imposed by the U.S. and Chile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COVID-19 were to continue to affect a significant amount of our workforce, we may experience delays or the inability to produce and deliver solutions to our customers on a timely basis. In addition, one or more of our customers, service providers or suppliers may experience financial distress, file for bankruptcy protection, go out of business, or suffer disruptions in their business due to the COVID-19 outbreak. As with EGP, travel restrictions due to COVID-19 may also prevent our employees from completing customer work. The global scale and scope of COVID-19 is unknown and the duration of the business disruption and related financial impact cannot be reasonably estimated at this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extent to which the coronavirus impacts our results will ultimately depend on future developments, which are highly uncertain, and will include emerging information concerning the severity of COVID-19 and the actions taken by governments and private businesses to attempt to contain COVID-19. However, we believe the coronavirus has and will continue to adversely affect our business, financial condition and results of operations at least for the near term.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2019, we issued to Aspire Capital 194,805 shares of common stock as a commitment fee pursuant to the terms of a common stock purchase agreement dated October 24, 2019. As of July 31, 2020, we have sold 6,424,205 shares of common stock with an aggregate market value of $4.0 million at an average price of $0.63 per share pursuant to this agreement with Aspire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share repurchases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312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Approximate</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Dollar</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Total Number of</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Value of Shares</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Shares Purchased</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that May Yet Be</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Average Price</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as Part of Publicly</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Purchased Under</w:t>
            </w:r>
          </w:p>
        </w:tc>
      </w:tr>
      <w:tr>
        <w:trPr>
          <w:trHeight w:val="241"/>
        </w:trPr>
        <w:tc>
          <w:tcPr>
            <w:tcW w:w="40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Shares Purchased</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Paid per Share</w:t>
            </w:r>
          </w:p>
        </w:tc>
        <w:tc>
          <w:tcPr>
            <w:tcW w:w="1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Announced Plans</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Plan</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 May 31</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June 1 - June 30</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 INDEX</w:t>
      </w:r>
    </w:p>
    <w:p>
      <w:pPr>
        <w:spacing w:after="0" w:line="22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43">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44">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spacing w:after="0"/>
        <w:tabs>
          <w:tab w:leader="none" w:pos="6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 xml:space="preserve">* </w:t>
      </w:r>
      <w:hyperlink w:anchor="page45">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6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 xml:space="preserve">* </w:t>
      </w:r>
      <w:hyperlink w:anchor="page46">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780" w:hanging="772"/>
        <w:spacing w:after="0" w:line="276" w:lineRule="auto"/>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Ocean Power Technologies, Inc.’s Quarterly Report on Form 10-Q for the quarter ended July 31, 2020, formatted in eXtensible Business Reporting Language (XBRL): (i) Consolidated Balance Sheets – July 31, 2020 (unaudited) and April 30, 2019,</w:t>
      </w:r>
    </w:p>
    <w:p>
      <w:pPr>
        <w:jc w:val="both"/>
        <w:ind w:left="780" w:hanging="3"/>
        <w:spacing w:after="0" w:line="250" w:lineRule="auto"/>
        <w:tabs>
          <w:tab w:leader="none" w:pos="10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(unaudited) – three months ended July 31, 2020 and 2019, (iii) Consolidated Statements of Comprehensive Loss (unaudited) – three months ended July 31, 2020 and 2019, (iv) Consolidated Statement of Stockholders’ Equity (unaudited)</w:t>
      </w:r>
    </w:p>
    <w:p>
      <w:pPr>
        <w:ind w:left="7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three months ended July 31, 2020 and 2019 (v) Consolidated Statements of Cash Flows (unaudited) –three months ended July 31, 2020 and 2019, (vi) Notes to Consolidated Financial Statements.**</w:t>
      </w:r>
    </w:p>
    <w:p>
      <w:pPr>
        <w:spacing w:after="0" w:line="181" w:lineRule="exact"/>
        <w:rPr>
          <w:sz w:val="20"/>
          <w:szCs w:val="20"/>
          <w:color w:val="auto"/>
        </w:rPr>
      </w:pPr>
    </w:p>
    <w:p>
      <w:pPr>
        <w:jc w:val="both"/>
        <w:ind w:left="780" w:hanging="3"/>
        <w:spacing w:after="0" w:line="266" w:lineRule="auto"/>
        <w:tabs>
          <w:tab w:leader="none" w:pos="9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both"/>
        <w:ind w:left="780" w:hanging="3"/>
        <w:spacing w:after="0" w:line="266" w:lineRule="auto"/>
        <w:tabs>
          <w:tab w:leader="none" w:pos="10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Ocean Power Technologies,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September 14, 2020</w:t>
      </w:r>
      <w:r>
        <w:rPr>
          <w:sz w:val="20"/>
          <w:szCs w:val="20"/>
          <w:color w:val="auto"/>
        </w:rPr>
        <w:tab/>
      </w:r>
      <w:r>
        <w:rPr>
          <w:rFonts w:ascii="Times New Roman" w:cs="Times New Roman" w:eastAsia="Times New Roman" w:hAnsi="Times New Roman"/>
          <w:sz w:val="17"/>
          <w:szCs w:val="17"/>
          <w:i w:val="1"/>
          <w:iCs w:val="1"/>
          <w:color w:val="auto"/>
        </w:rPr>
        <w:t>/s/ George H. Kirby III</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September 14, 2020</w:t>
      </w:r>
      <w:r>
        <w:rPr>
          <w:sz w:val="20"/>
          <w:szCs w:val="20"/>
          <w:color w:val="auto"/>
        </w:rPr>
        <w:tab/>
      </w:r>
      <w:r>
        <w:rPr>
          <w:rFonts w:ascii="Times New Roman" w:cs="Times New Roman" w:eastAsia="Times New Roman" w:hAnsi="Times New Roman"/>
          <w:sz w:val="17"/>
          <w:szCs w:val="17"/>
          <w:i w:val="1"/>
          <w:iCs w:val="1"/>
          <w:color w:val="auto"/>
        </w:rPr>
        <w:t>/s/ Matthew T. Shafer</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14, 2020</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14, 2020</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2020,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499"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14, 2020</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2020,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499"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14, 2020</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2"/>
    </w:lvl>
  </w:abstractNum>
  <w:abstractNum w:abstractNumId="5">
    <w:nsid w:val="519B500D"/>
    <w:multiLevelType w:val="hybridMultilevel"/>
    <w:lvl w:ilvl="0">
      <w:lvlJc w:val="left"/>
      <w:lvlText w:val="%1)"/>
      <w:numFmt w:val="lowerLetter"/>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01"/>
    </w:lvl>
    <w:lvl w:ilvl="1">
      <w:lvlJc w:val="left"/>
      <w:lvlText w:val="(%2)"/>
      <w:numFmt w:val="lowerRoman"/>
      <w:start w:val="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2020-09-14T15:08:23Z</dcterms:created>
  <dcterms:modified xsi:type="dcterms:W3CDTF">2020-09-14T15:08:23Z</dcterms:modified>
</cp:coreProperties>
</file>