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175260</wp:posOffset>
            </wp:positionV>
            <wp:extent cx="509206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92065" cy="20955"/>
                    </a:xfrm>
                    <a:prstGeom prst="rect">
                      <a:avLst/>
                    </a:prstGeom>
                    <a:noFill/>
                  </pic:spPr>
                </pic:pic>
              </a:graphicData>
            </a:graphic>
          </wp:anchor>
        </w:drawing>
        <w:drawing>
          <wp:anchor simplePos="0" relativeHeight="251657728" behindDoc="1" locked="0" layoutInCell="0" allowOverlap="1">
            <wp:simplePos x="0" y="0"/>
            <wp:positionH relativeFrom="column">
              <wp:posOffset>175260</wp:posOffset>
            </wp:positionH>
            <wp:positionV relativeFrom="paragraph">
              <wp:posOffset>203835</wp:posOffset>
            </wp:positionV>
            <wp:extent cx="50920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92065" cy="698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167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1" w:lineRule="exact"/>
        <w:rPr>
          <w:sz w:val="20"/>
          <w:szCs w:val="20"/>
          <w:color w:val="auto"/>
        </w:rPr>
      </w:pPr>
    </w:p>
    <w:p>
      <w:pPr>
        <w:jc w:val="center"/>
        <w:ind w:right="1679"/>
        <w:spacing w:after="0"/>
        <w:rPr>
          <w:sz w:val="20"/>
          <w:szCs w:val="20"/>
          <w:color w:val="auto"/>
        </w:rPr>
      </w:pPr>
      <w:r>
        <w:rPr>
          <w:rFonts w:ascii="Arial" w:cs="Arial" w:eastAsia="Arial" w:hAnsi="Arial"/>
          <w:sz w:val="18"/>
          <w:szCs w:val="18"/>
          <w:b w:val="1"/>
          <w:bCs w:val="1"/>
          <w:color w:val="auto"/>
        </w:rPr>
        <w:t>Washington, D.C. 20549</w:t>
      </w:r>
    </w:p>
    <w:p>
      <w:pPr>
        <w:spacing w:after="0" w:line="118" w:lineRule="exact"/>
        <w:rPr>
          <w:sz w:val="20"/>
          <w:szCs w:val="20"/>
          <w:color w:val="auto"/>
        </w:rPr>
      </w:pPr>
    </w:p>
    <w:p>
      <w:pPr>
        <w:ind w:left="3660"/>
        <w:spacing w:after="0"/>
        <w:rPr>
          <w:sz w:val="20"/>
          <w:szCs w:val="20"/>
          <w:color w:val="auto"/>
        </w:rPr>
      </w:pPr>
      <w:r>
        <w:rPr>
          <w:rFonts w:ascii="Arial" w:cs="Arial" w:eastAsia="Arial" w:hAnsi="Arial"/>
          <w:sz w:val="27"/>
          <w:szCs w:val="27"/>
          <w:b w:val="1"/>
          <w:bCs w:val="1"/>
          <w:color w:val="auto"/>
        </w:rPr>
        <w:t>Form 10-Q</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(Mark One)</w:t>
      </w:r>
    </w:p>
    <w:p>
      <w:pPr>
        <w:spacing w:after="0" w:line="172" w:lineRule="exact"/>
        <w:rPr>
          <w:sz w:val="20"/>
          <w:szCs w:val="20"/>
          <w:color w:val="auto"/>
        </w:rPr>
      </w:pPr>
    </w:p>
    <w:p>
      <w:pPr>
        <w:ind w:left="1240" w:right="2119" w:hanging="758"/>
        <w:spacing w:after="0" w:line="260" w:lineRule="auto"/>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6" w:lineRule="exact"/>
        <w:rPr>
          <w:sz w:val="20"/>
          <w:szCs w:val="20"/>
          <w:color w:val="auto"/>
        </w:rPr>
      </w:pPr>
    </w:p>
    <w:p>
      <w:pPr>
        <w:ind w:left="1240"/>
        <w:spacing w:after="0"/>
        <w:rPr>
          <w:sz w:val="20"/>
          <w:szCs w:val="20"/>
          <w:color w:val="auto"/>
        </w:rPr>
      </w:pPr>
      <w:r>
        <w:rPr>
          <w:rFonts w:ascii="Arial" w:cs="Arial" w:eastAsia="Arial" w:hAnsi="Arial"/>
          <w:sz w:val="15"/>
          <w:szCs w:val="15"/>
          <w:b w:val="1"/>
          <w:bCs w:val="1"/>
          <w:color w:val="auto"/>
        </w:rPr>
        <w:t>For the Quarterly Period Ended July 31, 2011</w:t>
      </w:r>
    </w:p>
    <w:p>
      <w:pPr>
        <w:spacing w:after="0" w:line="162"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Or</w:t>
      </w:r>
    </w:p>
    <w:p>
      <w:pPr>
        <w:spacing w:after="0" w:line="176" w:lineRule="exact"/>
        <w:rPr>
          <w:sz w:val="20"/>
          <w:szCs w:val="20"/>
          <w:color w:val="auto"/>
        </w:rPr>
      </w:pPr>
    </w:p>
    <w:p>
      <w:pPr>
        <w:ind w:left="1240" w:right="2119" w:hanging="724"/>
        <w:spacing w:after="0" w:line="260"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6" w:lineRule="exact"/>
        <w:rPr>
          <w:sz w:val="20"/>
          <w:szCs w:val="20"/>
          <w:color w:val="auto"/>
        </w:rPr>
      </w:pPr>
    </w:p>
    <w:p>
      <w:pPr>
        <w:ind w:left="1240"/>
        <w:spacing w:after="0"/>
        <w:tabs>
          <w:tab w:leader="none" w:pos="404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2084070</wp:posOffset>
            </wp:positionH>
            <wp:positionV relativeFrom="paragraph">
              <wp:posOffset>-7620</wp:posOffset>
            </wp:positionV>
            <wp:extent cx="10680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8070" cy="6985"/>
                    </a:xfrm>
                    <a:prstGeom prst="rect">
                      <a:avLst/>
                    </a:prstGeom>
                    <a:noFill/>
                  </pic:spPr>
                </pic:pic>
              </a:graphicData>
            </a:graphic>
          </wp:anchor>
        </w:drawing>
      </w:r>
    </w:p>
    <w:p>
      <w:pPr>
        <w:spacing w:after="0" w:line="131" w:lineRule="exact"/>
        <w:rPr>
          <w:sz w:val="20"/>
          <w:szCs w:val="20"/>
          <w:color w:val="auto"/>
        </w:rPr>
      </w:pPr>
    </w:p>
    <w:p>
      <w:pPr>
        <w:jc w:val="center"/>
        <w:ind w:right="1679"/>
        <w:spacing w:after="0"/>
        <w:rPr>
          <w:sz w:val="20"/>
          <w:szCs w:val="20"/>
          <w:color w:val="auto"/>
        </w:rPr>
      </w:pPr>
      <w:r>
        <w:rPr>
          <w:rFonts w:ascii="Arial" w:cs="Arial" w:eastAsia="Arial" w:hAnsi="Arial"/>
          <w:sz w:val="15"/>
          <w:szCs w:val="15"/>
          <w:b w:val="1"/>
          <w:bCs w:val="1"/>
          <w:color w:val="auto"/>
        </w:rPr>
        <w:t>Commission file number: 001-33417</w:t>
      </w:r>
    </w:p>
    <w:p>
      <w:pPr>
        <w:spacing w:after="0" w:line="142" w:lineRule="exact"/>
        <w:rPr>
          <w:sz w:val="20"/>
          <w:szCs w:val="20"/>
          <w:color w:val="auto"/>
        </w:rPr>
      </w:pPr>
    </w:p>
    <w:p>
      <w:pPr>
        <w:jc w:val="center"/>
        <w:ind w:right="1679"/>
        <w:spacing w:after="0"/>
        <w:rPr>
          <w:sz w:val="20"/>
          <w:szCs w:val="20"/>
          <w:color w:val="auto"/>
        </w:rPr>
      </w:pPr>
      <w:r>
        <w:rPr>
          <w:rFonts w:ascii="Arial" w:cs="Arial" w:eastAsia="Arial" w:hAnsi="Arial"/>
          <w:sz w:val="36"/>
          <w:szCs w:val="36"/>
          <w:b w:val="1"/>
          <w:bCs w:val="1"/>
          <w:color w:val="auto"/>
        </w:rPr>
        <w:t>OCEAN POWER TECHNOLOGIES, INC.</w:t>
      </w:r>
    </w:p>
    <w:p>
      <w:pPr>
        <w:spacing w:after="0" w:line="34" w:lineRule="exact"/>
        <w:rPr>
          <w:sz w:val="20"/>
          <w:szCs w:val="20"/>
          <w:color w:val="auto"/>
        </w:rPr>
      </w:pPr>
    </w:p>
    <w:p>
      <w:pPr>
        <w:ind w:left="2680"/>
        <w:spacing w:after="0"/>
        <w:rPr>
          <w:sz w:val="20"/>
          <w:szCs w:val="20"/>
          <w:color w:val="auto"/>
        </w:rPr>
      </w:pPr>
      <w:r>
        <w:rPr>
          <w:rFonts w:ascii="Arial" w:cs="Arial" w:eastAsia="Arial" w:hAnsi="Arial"/>
          <w:sz w:val="15"/>
          <w:szCs w:val="15"/>
          <w:i w:val="1"/>
          <w:iCs w:val="1"/>
          <w:color w:val="auto"/>
        </w:rPr>
        <w:t>(Exact Name of Registrant as Specified in Its Charter)</w:t>
      </w:r>
    </w:p>
    <w:p>
      <w:pPr>
        <w:sectPr>
          <w:pgSz w:w="11900" w:h="16838" w:orient="portrait"/>
          <w:cols w:equalWidth="0" w:num="1">
            <w:col w:w="10239"/>
          </w:cols>
          <w:pgMar w:left="220" w:top="125" w:right="1440" w:bottom="1440" w:gutter="0" w:footer="0" w:header="0"/>
        </w:sectPr>
      </w:pPr>
    </w:p>
    <w:p>
      <w:pPr>
        <w:spacing w:after="0" w:line="168"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0"/>
          <w:szCs w:val="20"/>
          <w:color w:val="auto"/>
        </w:rPr>
      </w:pPr>
    </w:p>
    <w:p>
      <w:pPr>
        <w:jc w:val="center"/>
        <w:ind w:right="120"/>
        <w:spacing w:after="0"/>
        <w:rPr>
          <w:sz w:val="20"/>
          <w:szCs w:val="20"/>
          <w:color w:val="auto"/>
        </w:rPr>
      </w:pPr>
      <w:r>
        <w:rPr>
          <w:rFonts w:ascii="Arial" w:cs="Arial" w:eastAsia="Arial" w:hAnsi="Arial"/>
          <w:sz w:val="14"/>
          <w:szCs w:val="14"/>
          <w:i w:val="1"/>
          <w:i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2839"/>
        <w:spacing w:after="0"/>
        <w:rPr>
          <w:sz w:val="20"/>
          <w:szCs w:val="20"/>
          <w:color w:val="auto"/>
        </w:rPr>
      </w:pPr>
      <w:r>
        <w:rPr>
          <w:rFonts w:ascii="Arial" w:cs="Arial" w:eastAsia="Arial" w:hAnsi="Arial"/>
          <w:sz w:val="15"/>
          <w:szCs w:val="15"/>
          <w:b w:val="1"/>
          <w:bCs w:val="1"/>
          <w:color w:val="auto"/>
        </w:rPr>
        <w:t>22-2535818</w:t>
      </w:r>
    </w:p>
    <w:p>
      <w:pPr>
        <w:spacing w:after="0" w:line="20" w:lineRule="exact"/>
        <w:rPr>
          <w:sz w:val="20"/>
          <w:szCs w:val="20"/>
          <w:color w:val="auto"/>
        </w:rPr>
      </w:pPr>
    </w:p>
    <w:p>
      <w:pPr>
        <w:jc w:val="center"/>
        <w:ind w:right="2839"/>
        <w:spacing w:after="0"/>
        <w:rPr>
          <w:sz w:val="20"/>
          <w:szCs w:val="20"/>
          <w:color w:val="auto"/>
        </w:rPr>
      </w:pPr>
      <w:r>
        <w:rPr>
          <w:rFonts w:ascii="Arial" w:cs="Arial" w:eastAsia="Arial" w:hAnsi="Arial"/>
          <w:sz w:val="13"/>
          <w:szCs w:val="13"/>
          <w:i w:val="1"/>
          <w:iCs w:val="1"/>
          <w:color w:val="auto"/>
        </w:rPr>
        <w:t>(I.R.S. Employer Identification No.)</w:t>
      </w:r>
    </w:p>
    <w:p>
      <w:pPr>
        <w:spacing w:after="0" w:line="159" w:lineRule="exact"/>
        <w:rPr>
          <w:sz w:val="20"/>
          <w:szCs w:val="20"/>
          <w:color w:val="auto"/>
        </w:rPr>
      </w:pPr>
    </w:p>
    <w:p>
      <w:pPr>
        <w:sectPr>
          <w:pgSz w:w="11900" w:h="16838" w:orient="portrait"/>
          <w:cols w:equalWidth="0" w:num="2">
            <w:col w:w="4560" w:space="720"/>
            <w:col w:w="4959"/>
          </w:cols>
          <w:pgMar w:left="220" w:top="125" w:right="1440" w:bottom="1440" w:gutter="0" w:footer="0" w:header="0"/>
          <w:type w:val="continuous"/>
        </w:sectPr>
      </w:pPr>
    </w:p>
    <w:p>
      <w:pPr>
        <w:jc w:val="center"/>
        <w:ind w:right="1679"/>
        <w:spacing w:after="0"/>
        <w:rPr>
          <w:sz w:val="20"/>
          <w:szCs w:val="20"/>
          <w:color w:val="auto"/>
        </w:rPr>
      </w:pPr>
      <w:r>
        <w:rPr>
          <w:rFonts w:ascii="Arial" w:cs="Arial" w:eastAsia="Arial" w:hAnsi="Arial"/>
          <w:sz w:val="15"/>
          <w:szCs w:val="15"/>
          <w:b w:val="1"/>
          <w:bCs w:val="1"/>
          <w:color w:val="auto"/>
        </w:rPr>
        <w:t>1590 REED ROAD, PENNINGTON, NJ 08534</w:t>
      </w:r>
    </w:p>
    <w:p>
      <w:pPr>
        <w:spacing w:after="0" w:line="20" w:lineRule="exact"/>
        <w:rPr>
          <w:sz w:val="20"/>
          <w:szCs w:val="20"/>
          <w:color w:val="auto"/>
        </w:rPr>
      </w:pPr>
    </w:p>
    <w:p>
      <w:pPr>
        <w:jc w:val="center"/>
        <w:ind w:right="1679"/>
        <w:spacing w:after="0"/>
        <w:rPr>
          <w:sz w:val="20"/>
          <w:szCs w:val="20"/>
          <w:color w:val="auto"/>
        </w:rPr>
      </w:pPr>
      <w:r>
        <w:rPr>
          <w:rFonts w:ascii="Arial" w:cs="Arial" w:eastAsia="Arial" w:hAnsi="Arial"/>
          <w:sz w:val="15"/>
          <w:szCs w:val="15"/>
          <w:i w:val="1"/>
          <w:iCs w:val="1"/>
          <w:color w:val="auto"/>
        </w:rPr>
        <w:t>(Address of Principal Executive Offices, Including Zip Code)</w:t>
      </w:r>
    </w:p>
    <w:p>
      <w:pPr>
        <w:spacing w:after="0" w:line="136" w:lineRule="exact"/>
        <w:rPr>
          <w:sz w:val="20"/>
          <w:szCs w:val="20"/>
          <w:color w:val="auto"/>
        </w:rPr>
      </w:pPr>
    </w:p>
    <w:p>
      <w:pPr>
        <w:jc w:val="center"/>
        <w:ind w:right="1679"/>
        <w:spacing w:after="0"/>
        <w:rPr>
          <w:sz w:val="20"/>
          <w:szCs w:val="20"/>
          <w:color w:val="auto"/>
        </w:rPr>
      </w:pPr>
      <w:r>
        <w:rPr>
          <w:rFonts w:ascii="Arial" w:cs="Arial" w:eastAsia="Arial" w:hAnsi="Arial"/>
          <w:sz w:val="15"/>
          <w:szCs w:val="15"/>
          <w:b w:val="1"/>
          <w:bCs w:val="1"/>
          <w:color w:val="auto"/>
        </w:rPr>
        <w:t>(609) 730-0400</w:t>
      </w:r>
    </w:p>
    <w:p>
      <w:pPr>
        <w:spacing w:after="0" w:line="20" w:lineRule="exact"/>
        <w:rPr>
          <w:sz w:val="20"/>
          <w:szCs w:val="20"/>
          <w:color w:val="auto"/>
        </w:rPr>
      </w:pPr>
    </w:p>
    <w:p>
      <w:pPr>
        <w:jc w:val="center"/>
        <w:ind w:right="1679"/>
        <w:spacing w:after="0"/>
        <w:rPr>
          <w:sz w:val="20"/>
          <w:szCs w:val="20"/>
          <w:color w:val="auto"/>
        </w:rPr>
      </w:pPr>
      <w:r>
        <w:rPr>
          <w:rFonts w:ascii="Arial" w:cs="Arial" w:eastAsia="Arial" w:hAnsi="Arial"/>
          <w:sz w:val="15"/>
          <w:szCs w:val="15"/>
          <w:i w:val="1"/>
          <w:iCs w:val="1"/>
          <w:color w:val="auto"/>
        </w:rPr>
        <w:t>(Registrant’s Telephone Number, Including Area Code)</w:t>
      </w:r>
    </w:p>
    <w:p>
      <w:pPr>
        <w:spacing w:after="0" w:line="152" w:lineRule="exact"/>
        <w:rPr>
          <w:sz w:val="20"/>
          <w:szCs w:val="20"/>
          <w:color w:val="auto"/>
        </w:rPr>
      </w:pPr>
    </w:p>
    <w:p>
      <w:pPr>
        <w:ind w:left="280" w:right="1999"/>
        <w:spacing w:after="0" w:line="187"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119" w:lineRule="exact"/>
        <w:rPr>
          <w:sz w:val="20"/>
          <w:szCs w:val="20"/>
          <w:color w:val="auto"/>
        </w:rPr>
      </w:pPr>
    </w:p>
    <w:p>
      <w:pPr>
        <w:ind w:left="280" w:right="1979"/>
        <w:spacing w:after="0" w:line="187"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19" w:lineRule="exact"/>
        <w:rPr>
          <w:sz w:val="20"/>
          <w:szCs w:val="20"/>
          <w:color w:val="auto"/>
        </w:rPr>
      </w:pPr>
    </w:p>
    <w:p>
      <w:pPr>
        <w:ind w:left="280" w:right="2039"/>
        <w:spacing w:after="0" w:line="25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239"/>
          </w:cols>
          <w:pgMar w:left="220" w:top="125" w:right="1440" w:bottom="1440" w:gutter="0" w:footer="0" w:header="0"/>
          <w:type w:val="continuous"/>
        </w:sectPr>
      </w:pPr>
    </w:p>
    <w:p>
      <w:pPr>
        <w:spacing w:after="0" w:line="15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Large accelerated filer o</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Non-accelerated filer 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335" w:lineRule="exact"/>
        <w:rPr>
          <w:sz w:val="20"/>
          <w:szCs w:val="20"/>
          <w:color w:val="auto"/>
        </w:rPr>
      </w:pPr>
    </w:p>
    <w:p>
      <w:pPr>
        <w:sectPr>
          <w:pgSz w:w="11900" w:h="16838" w:orient="portrait"/>
          <w:cols w:equalWidth="0" w:num="4">
            <w:col w:w="1720" w:space="360"/>
            <w:col w:w="1160" w:space="340"/>
            <w:col w:w="2760" w:space="200"/>
            <w:col w:w="3699"/>
          </w:cols>
          <w:pgMar w:left="220" w:top="125" w:right="1440" w:bottom="1440" w:gutter="0" w:footer="0" w:header="0"/>
          <w:type w:val="continuous"/>
        </w:sectPr>
      </w:pPr>
    </w:p>
    <w:p>
      <w:pPr>
        <w:ind w:left="280" w:right="2459"/>
        <w:spacing w:after="0" w:line="26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August 31, 2011, the number of outstanding shares of common stock of the registrant was 10,394,720.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106680</wp:posOffset>
            </wp:positionV>
            <wp:extent cx="5092065" cy="28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92065"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662940</wp:posOffset>
            </wp:positionV>
            <wp:extent cx="7276465"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125" w:right="1440" w:bottom="1440" w:gutter="0" w:footer="0" w:header="0"/>
          <w:type w:val="continuous"/>
        </w:sectPr>
      </w:pPr>
    </w:p>
    <w:bookmarkStart w:id="2" w:name="page3"/>
    <w:bookmarkEnd w:id="2"/>
    <w:p>
      <w:pPr>
        <w:jc w:val="center"/>
        <w:ind w:right="1939"/>
        <w:spacing w:after="0"/>
        <w:rPr>
          <w:sz w:val="20"/>
          <w:szCs w:val="20"/>
          <w:color w:val="auto"/>
        </w:rPr>
      </w:pPr>
      <w:r>
        <w:rPr>
          <w:rFonts w:ascii="Arial" w:cs="Arial" w:eastAsia="Arial" w:hAnsi="Arial"/>
          <w:sz w:val="15"/>
          <w:szCs w:val="15"/>
          <w:b w:val="1"/>
          <w:bCs w:val="1"/>
          <w:color w:val="auto"/>
        </w:rPr>
        <w:t>OCEAN POWER TECHNOLOGIES, INC.</w:t>
      </w:r>
    </w:p>
    <w:p>
      <w:pPr>
        <w:spacing w:after="0" w:line="20" w:lineRule="exact"/>
        <w:rPr>
          <w:sz w:val="20"/>
          <w:szCs w:val="20"/>
          <w:color w:val="auto"/>
        </w:rPr>
      </w:pPr>
    </w:p>
    <w:p>
      <w:pPr>
        <w:jc w:val="center"/>
        <w:ind w:right="1939"/>
        <w:spacing w:after="0"/>
        <w:rPr>
          <w:sz w:val="20"/>
          <w:szCs w:val="20"/>
          <w:color w:val="auto"/>
        </w:rPr>
      </w:pPr>
      <w:r>
        <w:rPr>
          <w:rFonts w:ascii="Arial" w:cs="Arial" w:eastAsia="Arial" w:hAnsi="Arial"/>
          <w:sz w:val="15"/>
          <w:szCs w:val="15"/>
          <w:b w:val="1"/>
          <w:bCs w:val="1"/>
          <w:color w:val="auto"/>
        </w:rPr>
        <w:t>INDEX TO FORM 10-Q</w:t>
      </w:r>
    </w:p>
    <w:p>
      <w:pPr>
        <w:spacing w:after="0" w:line="6" w:lineRule="exact"/>
        <w:rPr>
          <w:sz w:val="20"/>
          <w:szCs w:val="20"/>
          <w:color w:val="auto"/>
        </w:rPr>
      </w:pPr>
    </w:p>
    <w:p>
      <w:pPr>
        <w:jc w:val="center"/>
        <w:ind w:right="1939"/>
        <w:spacing w:after="0"/>
        <w:rPr>
          <w:sz w:val="20"/>
          <w:szCs w:val="20"/>
          <w:color w:val="auto"/>
        </w:rPr>
      </w:pPr>
      <w:r>
        <w:rPr>
          <w:rFonts w:ascii="Arial" w:cs="Arial" w:eastAsia="Arial" w:hAnsi="Arial"/>
          <w:sz w:val="15"/>
          <w:szCs w:val="15"/>
          <w:b w:val="1"/>
          <w:bCs w:val="1"/>
          <w:color w:val="auto"/>
        </w:rPr>
        <w:t>FOR THE THREE MONTHS ENDED July 31, 2011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jc w:val="right"/>
              <w:ind w:right="166"/>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193"/>
        </w:trPr>
        <w:tc>
          <w:tcPr>
            <w:tcW w:w="2680" w:type="dxa"/>
            <w:vAlign w:val="bottom"/>
            <w:gridSpan w:val="13"/>
            <w:vMerge w:val="restart"/>
          </w:tcPr>
          <w:p>
            <w:pPr>
              <w:spacing w:after="0"/>
              <w:rPr>
                <w:rFonts w:ascii="Arial" w:cs="Arial" w:eastAsia="Arial" w:hAnsi="Arial"/>
                <w:sz w:val="15"/>
                <w:szCs w:val="15"/>
                <w:b w:val="1"/>
                <w:bCs w:val="1"/>
                <w:color w:val="0000EE"/>
              </w:rPr>
            </w:pPr>
            <w:hyperlink w:anchor="page5">
              <w:r>
                <w:rPr>
                  <w:rFonts w:ascii="Arial" w:cs="Arial" w:eastAsia="Arial" w:hAnsi="Arial"/>
                  <w:sz w:val="15"/>
                  <w:szCs w:val="15"/>
                  <w:b w:val="1"/>
                  <w:bCs w:val="1"/>
                  <w:color w:val="0000EE"/>
                </w:rPr>
                <w:t>PART I — FINANCIAL INFORMATION</w:t>
              </w:r>
            </w:hyperlink>
          </w:p>
        </w:tc>
        <w:tc>
          <w:tcPr>
            <w:tcW w:w="4460" w:type="dxa"/>
            <w:vAlign w:val="bottom"/>
            <w:gridSpan w:val="9"/>
            <w:vMerge w:val="restart"/>
          </w:tcPr>
          <w:p>
            <w:pPr>
              <w:spacing w:after="0"/>
              <w:rPr>
                <w:sz w:val="16"/>
                <w:szCs w:val="16"/>
                <w:color w:val="auto"/>
              </w:rPr>
            </w:pP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Number</w:t>
            </w:r>
          </w:p>
        </w:tc>
        <w:tc>
          <w:tcPr>
            <w:tcW w:w="0" w:type="dxa"/>
            <w:vAlign w:val="bottom"/>
          </w:tcPr>
          <w:p>
            <w:pPr>
              <w:spacing w:after="0"/>
              <w:rPr>
                <w:sz w:val="1"/>
                <w:szCs w:val="1"/>
                <w:color w:val="auto"/>
              </w:rPr>
            </w:pPr>
          </w:p>
        </w:tc>
      </w:tr>
      <w:tr>
        <w:trPr>
          <w:trHeight w:val="141"/>
        </w:trPr>
        <w:tc>
          <w:tcPr>
            <w:tcW w:w="2680" w:type="dxa"/>
            <w:vAlign w:val="bottom"/>
            <w:tcBorders>
              <w:bottom w:val="single" w:sz="8" w:color="0000EE"/>
            </w:tcBorders>
            <w:gridSpan w:val="13"/>
            <w:vMerge w:val="continue"/>
          </w:tcPr>
          <w:p>
            <w:pPr>
              <w:spacing w:after="0"/>
              <w:rPr>
                <w:sz w:val="11"/>
                <w:szCs w:val="11"/>
                <w:color w:val="auto"/>
              </w:rPr>
            </w:pPr>
          </w:p>
        </w:tc>
        <w:tc>
          <w:tcPr>
            <w:tcW w:w="4460" w:type="dxa"/>
            <w:vAlign w:val="bottom"/>
            <w:gridSpan w:val="9"/>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6"/>
        </w:trPr>
        <w:tc>
          <w:tcPr>
            <w:tcW w:w="160" w:type="dxa"/>
            <w:vAlign w:val="bottom"/>
          </w:tcPr>
          <w:p>
            <w:pPr>
              <w:spacing w:after="0"/>
              <w:rPr>
                <w:sz w:val="24"/>
                <w:szCs w:val="24"/>
                <w:color w:val="auto"/>
              </w:rPr>
            </w:pPr>
          </w:p>
        </w:tc>
        <w:tc>
          <w:tcPr>
            <w:tcW w:w="6980" w:type="dxa"/>
            <w:vAlign w:val="bottom"/>
            <w:gridSpan w:val="21"/>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Item 1. Financial Statements (unaudited):</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0" w:type="dxa"/>
            <w:vAlign w:val="bottom"/>
            <w:gridSpan w:val="20"/>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Consolidated Balance Sheets as of July 31, 2011 and April 30, 2011</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5"/>
                <w:szCs w:val="15"/>
                <w:color w:val="0000EE"/>
                <w:w w:val="88"/>
              </w:rPr>
            </w:pPr>
            <w:hyperlink w:anchor="page6">
              <w:r>
                <w:rPr>
                  <w:rFonts w:ascii="Arial" w:cs="Arial" w:eastAsia="Arial" w:hAnsi="Arial"/>
                  <w:sz w:val="15"/>
                  <w:szCs w:val="15"/>
                  <w:color w:val="0000EE"/>
                  <w:w w:val="88"/>
                </w:rPr>
                <w:t>Consolidated Statements of Operations for the Three Months Ended July 31, 2011 and 2010</w:t>
              </w:r>
            </w:hyperlink>
          </w:p>
        </w:tc>
        <w:tc>
          <w:tcPr>
            <w:tcW w:w="134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36"/>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00" w:type="dxa"/>
            <w:vAlign w:val="bottom"/>
            <w:tcBorders>
              <w:bottom w:val="single" w:sz="8" w:color="0000EE"/>
            </w:tcBorders>
            <w:gridSpan w:val="17"/>
          </w:tcPr>
          <w:p>
            <w:pPr>
              <w:spacing w:after="0"/>
              <w:rPr>
                <w:rFonts w:ascii="Arial" w:cs="Arial" w:eastAsia="Arial" w:hAnsi="Arial"/>
                <w:sz w:val="15"/>
                <w:szCs w:val="15"/>
                <w:color w:val="0000EE"/>
                <w:w w:val="88"/>
              </w:rPr>
            </w:pPr>
            <w:hyperlink w:anchor="page7">
              <w:r>
                <w:rPr>
                  <w:rFonts w:ascii="Arial" w:cs="Arial" w:eastAsia="Arial" w:hAnsi="Arial"/>
                  <w:sz w:val="15"/>
                  <w:szCs w:val="15"/>
                  <w:color w:val="0000EE"/>
                  <w:w w:val="88"/>
                </w:rPr>
                <w:t>Consolidated Statements of Cash Flows for the Three Months Ended July 31, 2011 and 2010</w:t>
              </w:r>
            </w:hyperlink>
          </w:p>
        </w:tc>
        <w:tc>
          <w:tcPr>
            <w:tcW w:w="130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336"/>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80" w:type="dxa"/>
            <w:vAlign w:val="bottom"/>
            <w:tcBorders>
              <w:bottom w:val="single" w:sz="8" w:color="0000EE"/>
            </w:tcBorders>
            <w:gridSpan w:val="19"/>
          </w:tcPr>
          <w:p>
            <w:pPr>
              <w:spacing w:after="0"/>
              <w:rPr>
                <w:rFonts w:ascii="Arial" w:cs="Arial" w:eastAsia="Arial" w:hAnsi="Arial"/>
                <w:sz w:val="15"/>
                <w:szCs w:val="15"/>
                <w:color w:val="0000EE"/>
                <w:w w:val="89"/>
              </w:rPr>
            </w:pPr>
            <w:hyperlink w:anchor="page8">
              <w:r>
                <w:rPr>
                  <w:rFonts w:ascii="Arial" w:cs="Arial" w:eastAsia="Arial" w:hAnsi="Arial"/>
                  <w:sz w:val="15"/>
                  <w:szCs w:val="15"/>
                  <w:color w:val="0000EE"/>
                  <w:w w:val="89"/>
                </w:rPr>
                <w:t>Consolidated Statements of Stockholders’ Equity and Comprehensive Loss for the Three Months Ended</w:t>
              </w:r>
            </w:hyperlink>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40" w:type="dxa"/>
            <w:vAlign w:val="bottom"/>
            <w:gridSpan w:val="19"/>
          </w:tcPr>
          <w:p>
            <w:pPr>
              <w:spacing w:after="0" w:line="159" w:lineRule="exact"/>
              <w:rPr>
                <w:rFonts w:ascii="Arial" w:cs="Arial" w:eastAsia="Arial" w:hAnsi="Arial"/>
                <w:sz w:val="15"/>
                <w:szCs w:val="15"/>
                <w:color w:val="0000EE"/>
              </w:rPr>
            </w:pPr>
            <w:hyperlink w:anchor="page8">
              <w:r>
                <w:rPr>
                  <w:rFonts w:ascii="Arial" w:cs="Arial" w:eastAsia="Arial" w:hAnsi="Arial"/>
                  <w:sz w:val="15"/>
                  <w:szCs w:val="15"/>
                  <w:color w:val="0000EE"/>
                </w:rPr>
                <w:t>July 31, 2011 and 2010</w:t>
              </w:r>
            </w:hyperlink>
          </w:p>
        </w:tc>
        <w:tc>
          <w:tcPr>
            <w:tcW w:w="800" w:type="dxa"/>
            <w:vAlign w:val="bottom"/>
          </w:tcPr>
          <w:p>
            <w:pPr>
              <w:jc w:val="right"/>
              <w:spacing w:after="0" w:line="159"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0" w:type="dxa"/>
            <w:vAlign w:val="bottom"/>
            <w:gridSpan w:val="20"/>
          </w:tcPr>
          <w:p>
            <w:pPr>
              <w:spacing w:after="0"/>
              <w:rPr>
                <w:rFonts w:ascii="Arial" w:cs="Arial" w:eastAsia="Arial" w:hAnsi="Arial"/>
                <w:sz w:val="15"/>
                <w:szCs w:val="15"/>
                <w:color w:val="0000EE"/>
              </w:rPr>
            </w:pPr>
            <w:hyperlink w:anchor="page9">
              <w:r>
                <w:rPr>
                  <w:rFonts w:ascii="Arial" w:cs="Arial" w:eastAsia="Arial" w:hAnsi="Arial"/>
                  <w:sz w:val="15"/>
                  <w:szCs w:val="15"/>
                  <w:color w:val="0000EE"/>
                </w:rPr>
                <w:t>Notes to Consolidated Financial Statements</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60" w:type="dxa"/>
            <w:vAlign w:val="bottom"/>
          </w:tcPr>
          <w:p>
            <w:pPr>
              <w:spacing w:after="0"/>
              <w:rPr>
                <w:sz w:val="24"/>
                <w:szCs w:val="24"/>
                <w:color w:val="auto"/>
              </w:rPr>
            </w:pPr>
          </w:p>
        </w:tc>
        <w:tc>
          <w:tcPr>
            <w:tcW w:w="6980" w:type="dxa"/>
            <w:vAlign w:val="bottom"/>
            <w:gridSpan w:val="21"/>
          </w:tcPr>
          <w:p>
            <w:pPr>
              <w:spacing w:after="0"/>
              <w:rPr>
                <w:rFonts w:ascii="Arial" w:cs="Arial" w:eastAsia="Arial" w:hAnsi="Arial"/>
                <w:sz w:val="15"/>
                <w:szCs w:val="15"/>
                <w:color w:val="0000EE"/>
              </w:rPr>
            </w:pPr>
            <w:hyperlink w:anchor="page19">
              <w:r>
                <w:rPr>
                  <w:rFonts w:ascii="Arial" w:cs="Arial" w:eastAsia="Arial" w:hAnsi="Arial"/>
                  <w:sz w:val="15"/>
                  <w:szCs w:val="15"/>
                  <w:color w:val="0000EE"/>
                </w:rPr>
                <w:t>Item 2. 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336"/>
        </w:trPr>
        <w:tc>
          <w:tcPr>
            <w:tcW w:w="160" w:type="dxa"/>
            <w:vAlign w:val="bottom"/>
          </w:tcPr>
          <w:p>
            <w:pPr>
              <w:spacing w:after="0"/>
              <w:rPr>
                <w:sz w:val="24"/>
                <w:szCs w:val="24"/>
                <w:color w:val="auto"/>
              </w:rPr>
            </w:pPr>
          </w:p>
        </w:tc>
        <w:tc>
          <w:tcPr>
            <w:tcW w:w="4060" w:type="dxa"/>
            <w:vAlign w:val="bottom"/>
            <w:tcBorders>
              <w:top w:val="single" w:sz="8" w:color="0000EE"/>
              <w:bottom w:val="single" w:sz="8" w:color="0000EE"/>
            </w:tcBorders>
            <w:gridSpan w:val="15"/>
          </w:tcPr>
          <w:p>
            <w:pPr>
              <w:spacing w:after="0"/>
              <w:rPr>
                <w:rFonts w:ascii="Arial" w:cs="Arial" w:eastAsia="Arial" w:hAnsi="Arial"/>
                <w:sz w:val="15"/>
                <w:szCs w:val="15"/>
                <w:color w:val="0000EE"/>
                <w:w w:val="91"/>
              </w:rPr>
            </w:pPr>
            <w:hyperlink w:anchor="page28">
              <w:r>
                <w:rPr>
                  <w:rFonts w:ascii="Arial" w:cs="Arial" w:eastAsia="Arial" w:hAnsi="Arial"/>
                  <w:sz w:val="15"/>
                  <w:szCs w:val="15"/>
                  <w:color w:val="0000EE"/>
                  <w:w w:val="91"/>
                </w:rPr>
                <w:t>Item 3. Quantitative and Qualitative Disclosures About Market Risk</w:t>
              </w:r>
            </w:hyperlink>
          </w:p>
        </w:tc>
        <w:tc>
          <w:tcPr>
            <w:tcW w:w="1720" w:type="dxa"/>
            <w:vAlign w:val="bottom"/>
            <w:tcBorders>
              <w:top w:val="single" w:sz="8" w:color="0000EE"/>
            </w:tcBorders>
            <w:gridSpan w:val="4"/>
          </w:tcPr>
          <w:p>
            <w:pPr>
              <w:spacing w:after="0"/>
              <w:rPr>
                <w:sz w:val="24"/>
                <w:szCs w:val="24"/>
                <w:color w:val="auto"/>
              </w:rPr>
            </w:pPr>
          </w:p>
        </w:tc>
        <w:tc>
          <w:tcPr>
            <w:tcW w:w="120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336"/>
        </w:trPr>
        <w:tc>
          <w:tcPr>
            <w:tcW w:w="160" w:type="dxa"/>
            <w:vAlign w:val="bottom"/>
          </w:tcPr>
          <w:p>
            <w:pPr>
              <w:spacing w:after="0"/>
              <w:rPr>
                <w:sz w:val="24"/>
                <w:szCs w:val="24"/>
                <w:color w:val="auto"/>
              </w:rPr>
            </w:pPr>
          </w:p>
        </w:tc>
        <w:tc>
          <w:tcPr>
            <w:tcW w:w="6980" w:type="dxa"/>
            <w:vAlign w:val="bottom"/>
            <w:gridSpan w:val="21"/>
          </w:tcPr>
          <w:p>
            <w:pPr>
              <w:spacing w:after="0"/>
              <w:rPr>
                <w:rFonts w:ascii="Arial" w:cs="Arial" w:eastAsia="Arial" w:hAnsi="Arial"/>
                <w:sz w:val="15"/>
                <w:szCs w:val="15"/>
                <w:color w:val="0000EE"/>
              </w:rPr>
            </w:pPr>
            <w:hyperlink w:anchor="page29">
              <w:r>
                <w:rPr>
                  <w:rFonts w:ascii="Arial" w:cs="Arial" w:eastAsia="Arial" w:hAnsi="Arial"/>
                  <w:sz w:val="15"/>
                  <w:szCs w:val="15"/>
                  <w:color w:val="0000EE"/>
                </w:rPr>
                <w:t>Item 4. Controls and Procedures</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140" w:type="dxa"/>
            <w:vAlign w:val="bottom"/>
            <w:gridSpan w:val="22"/>
          </w:tcPr>
          <w:p>
            <w:pPr>
              <w:spacing w:after="0"/>
              <w:rPr>
                <w:rFonts w:ascii="Arial" w:cs="Arial" w:eastAsia="Arial" w:hAnsi="Arial"/>
                <w:sz w:val="15"/>
                <w:szCs w:val="15"/>
                <w:b w:val="1"/>
                <w:bCs w:val="1"/>
                <w:color w:val="0000EE"/>
              </w:rPr>
            </w:pPr>
            <w:hyperlink w:anchor="page29">
              <w:r>
                <w:rPr>
                  <w:rFonts w:ascii="Arial" w:cs="Arial" w:eastAsia="Arial" w:hAnsi="Arial"/>
                  <w:sz w:val="15"/>
                  <w:szCs w:val="15"/>
                  <w:b w:val="1"/>
                  <w:bCs w:val="1"/>
                  <w:color w:val="0000EE"/>
                </w:rPr>
                <w:t>PART II —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60" w:type="dxa"/>
            <w:vAlign w:val="bottom"/>
            <w:tcBorders>
              <w:top w:val="single" w:sz="8" w:color="0000EE"/>
            </w:tcBorders>
          </w:tcPr>
          <w:p>
            <w:pPr>
              <w:spacing w:after="0"/>
              <w:rPr>
                <w:sz w:val="24"/>
                <w:szCs w:val="24"/>
                <w:color w:val="auto"/>
              </w:rPr>
            </w:pPr>
          </w:p>
        </w:tc>
        <w:tc>
          <w:tcPr>
            <w:tcW w:w="2260" w:type="dxa"/>
            <w:vAlign w:val="bottom"/>
            <w:tcBorders>
              <w:top w:val="single" w:sz="8" w:color="0000EE"/>
            </w:tcBorders>
            <w:gridSpan w:val="9"/>
          </w:tcPr>
          <w:p>
            <w:pPr>
              <w:spacing w:after="0"/>
              <w:rPr>
                <w:rFonts w:ascii="Arial" w:cs="Arial" w:eastAsia="Arial" w:hAnsi="Arial"/>
                <w:sz w:val="15"/>
                <w:szCs w:val="15"/>
                <w:color w:val="0000EE"/>
              </w:rPr>
            </w:pPr>
            <w:hyperlink w:anchor="page29">
              <w:r>
                <w:rPr>
                  <w:rFonts w:ascii="Arial" w:cs="Arial" w:eastAsia="Arial" w:hAnsi="Arial"/>
                  <w:sz w:val="15"/>
                  <w:szCs w:val="15"/>
                  <w:color w:val="0000EE"/>
                </w:rPr>
                <w:t>Item 1. Legal Proceedings</w:t>
              </w:r>
            </w:hyperlink>
          </w:p>
        </w:tc>
        <w:tc>
          <w:tcPr>
            <w:tcW w:w="4720" w:type="dxa"/>
            <w:vAlign w:val="bottom"/>
            <w:gridSpan w:val="1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336"/>
        </w:trPr>
        <w:tc>
          <w:tcPr>
            <w:tcW w:w="16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rFonts w:ascii="Arial" w:cs="Arial" w:eastAsia="Arial" w:hAnsi="Arial"/>
                <w:sz w:val="15"/>
                <w:szCs w:val="15"/>
                <w:color w:val="0000EE"/>
                <w:w w:val="90"/>
              </w:rPr>
            </w:pPr>
            <w:hyperlink w:anchor="page29">
              <w:r>
                <w:rPr>
                  <w:rFonts w:ascii="Arial" w:cs="Arial" w:eastAsia="Arial" w:hAnsi="Arial"/>
                  <w:sz w:val="15"/>
                  <w:szCs w:val="15"/>
                  <w:color w:val="0000EE"/>
                  <w:w w:val="90"/>
                </w:rPr>
                <w:t>Item 1A. Risk Factors</w:t>
              </w:r>
            </w:hyperlink>
          </w:p>
        </w:tc>
        <w:tc>
          <w:tcPr>
            <w:tcW w:w="240" w:type="dxa"/>
            <w:vAlign w:val="bottom"/>
            <w:tcBorders>
              <w:top w:val="single" w:sz="8" w:color="0000EE"/>
            </w:tcBorders>
            <w:gridSpan w:val="2"/>
          </w:tcPr>
          <w:p>
            <w:pPr>
              <w:spacing w:after="0"/>
              <w:rPr>
                <w:sz w:val="24"/>
                <w:szCs w:val="24"/>
                <w:color w:val="auto"/>
              </w:rPr>
            </w:pPr>
          </w:p>
        </w:tc>
        <w:tc>
          <w:tcPr>
            <w:tcW w:w="5420" w:type="dxa"/>
            <w:vAlign w:val="bottom"/>
            <w:gridSpan w:val="1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336"/>
        </w:trPr>
        <w:tc>
          <w:tcPr>
            <w:tcW w:w="160" w:type="dxa"/>
            <w:vAlign w:val="bottom"/>
          </w:tcPr>
          <w:p>
            <w:pPr>
              <w:spacing w:after="0"/>
              <w:rPr>
                <w:sz w:val="24"/>
                <w:szCs w:val="24"/>
                <w:color w:val="auto"/>
              </w:rPr>
            </w:pPr>
          </w:p>
        </w:tc>
        <w:tc>
          <w:tcPr>
            <w:tcW w:w="6980" w:type="dxa"/>
            <w:vAlign w:val="bottom"/>
            <w:gridSpan w:val="21"/>
          </w:tcPr>
          <w:p>
            <w:pPr>
              <w:spacing w:after="0"/>
              <w:rPr>
                <w:rFonts w:ascii="Arial" w:cs="Arial" w:eastAsia="Arial" w:hAnsi="Arial"/>
                <w:sz w:val="15"/>
                <w:szCs w:val="15"/>
                <w:color w:val="0000EE"/>
              </w:rPr>
            </w:pPr>
            <w:hyperlink w:anchor="page30">
              <w:r>
                <w:rPr>
                  <w:rFonts w:ascii="Arial" w:cs="Arial" w:eastAsia="Arial" w:hAnsi="Arial"/>
                  <w:sz w:val="15"/>
                  <w:szCs w:val="15"/>
                  <w:color w:val="0000EE"/>
                </w:rPr>
                <w:t>Item 2. Unregistered Sales of Equity Securities and Use of Proceeds</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336"/>
        </w:trPr>
        <w:tc>
          <w:tcPr>
            <w:tcW w:w="16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0"/>
          </w:tcPr>
          <w:p>
            <w:pPr>
              <w:spacing w:after="0"/>
              <w:rPr>
                <w:rFonts w:ascii="Arial" w:cs="Arial" w:eastAsia="Arial" w:hAnsi="Arial"/>
                <w:sz w:val="15"/>
                <w:szCs w:val="15"/>
                <w:color w:val="0000EE"/>
                <w:w w:val="89"/>
              </w:rPr>
            </w:pPr>
            <w:hyperlink w:anchor="page30">
              <w:r>
                <w:rPr>
                  <w:rFonts w:ascii="Arial" w:cs="Arial" w:eastAsia="Arial" w:hAnsi="Arial"/>
                  <w:sz w:val="15"/>
                  <w:szCs w:val="15"/>
                  <w:color w:val="0000EE"/>
                  <w:w w:val="89"/>
                </w:rPr>
                <w:t>Item 3. Defaults Upon Senior Securities</w:t>
              </w:r>
            </w:hyperlink>
          </w:p>
        </w:tc>
        <w:tc>
          <w:tcPr>
            <w:tcW w:w="1660" w:type="dxa"/>
            <w:vAlign w:val="bottom"/>
            <w:tcBorders>
              <w:top w:val="single" w:sz="8" w:color="0000EE"/>
            </w:tcBorders>
            <w:gridSpan w:val="4"/>
          </w:tcPr>
          <w:p>
            <w:pPr>
              <w:spacing w:after="0"/>
              <w:rPr>
                <w:sz w:val="24"/>
                <w:szCs w:val="24"/>
                <w:color w:val="auto"/>
              </w:rPr>
            </w:pPr>
          </w:p>
        </w:tc>
        <w:tc>
          <w:tcPr>
            <w:tcW w:w="294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336"/>
        </w:trPr>
        <w:tc>
          <w:tcPr>
            <w:tcW w:w="160" w:type="dxa"/>
            <w:vAlign w:val="bottom"/>
          </w:tcPr>
          <w:p>
            <w:pPr>
              <w:spacing w:after="0"/>
              <w:rPr>
                <w:sz w:val="24"/>
                <w:szCs w:val="24"/>
                <w:color w:val="auto"/>
              </w:rPr>
            </w:pPr>
          </w:p>
        </w:tc>
        <w:tc>
          <w:tcPr>
            <w:tcW w:w="6980" w:type="dxa"/>
            <w:vAlign w:val="bottom"/>
            <w:gridSpan w:val="21"/>
          </w:tcPr>
          <w:p>
            <w:pPr>
              <w:spacing w:after="0"/>
              <w:rPr>
                <w:rFonts w:ascii="Arial" w:cs="Arial" w:eastAsia="Arial" w:hAnsi="Arial"/>
                <w:sz w:val="15"/>
                <w:szCs w:val="15"/>
                <w:color w:val="0000EE"/>
              </w:rPr>
            </w:pPr>
            <w:hyperlink w:anchor="page30">
              <w:r>
                <w:rPr>
                  <w:rFonts w:ascii="Arial" w:cs="Arial" w:eastAsia="Arial" w:hAnsi="Arial"/>
                  <w:sz w:val="15"/>
                  <w:szCs w:val="15"/>
                  <w:color w:val="0000EE"/>
                </w:rPr>
                <w:t>Item 5. Other Information</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336"/>
        </w:trPr>
        <w:tc>
          <w:tcPr>
            <w:tcW w:w="160" w:type="dxa"/>
            <w:vAlign w:val="bottom"/>
          </w:tcPr>
          <w:p>
            <w:pPr>
              <w:spacing w:after="0"/>
              <w:rPr>
                <w:sz w:val="24"/>
                <w:szCs w:val="24"/>
                <w:color w:val="auto"/>
              </w:rPr>
            </w:pPr>
          </w:p>
        </w:tc>
        <w:tc>
          <w:tcPr>
            <w:tcW w:w="960" w:type="dxa"/>
            <w:vAlign w:val="bottom"/>
            <w:tcBorders>
              <w:top w:val="single" w:sz="8" w:color="0000EE"/>
              <w:bottom w:val="single" w:sz="8" w:color="0000EE"/>
            </w:tcBorders>
            <w:gridSpan w:val="3"/>
          </w:tcPr>
          <w:p>
            <w:pPr>
              <w:spacing w:after="0"/>
              <w:rPr>
                <w:rFonts w:ascii="Arial" w:cs="Arial" w:eastAsia="Arial" w:hAnsi="Arial"/>
                <w:sz w:val="15"/>
                <w:szCs w:val="15"/>
                <w:color w:val="0000EE"/>
                <w:w w:val="91"/>
              </w:rPr>
            </w:pPr>
            <w:hyperlink w:anchor="page31">
              <w:r>
                <w:rPr>
                  <w:rFonts w:ascii="Arial" w:cs="Arial" w:eastAsia="Arial" w:hAnsi="Arial"/>
                  <w:sz w:val="15"/>
                  <w:szCs w:val="15"/>
                  <w:color w:val="0000EE"/>
                  <w:w w:val="91"/>
                </w:rPr>
                <w:t>Item 6. Exhibits</w:t>
              </w:r>
            </w:hyperlink>
          </w:p>
        </w:tc>
        <w:tc>
          <w:tcPr>
            <w:tcW w:w="580" w:type="dxa"/>
            <w:vAlign w:val="bottom"/>
            <w:tcBorders>
              <w:top w:val="single" w:sz="8" w:color="0000EE"/>
            </w:tcBorders>
            <w:gridSpan w:val="2"/>
          </w:tcPr>
          <w:p>
            <w:pPr>
              <w:spacing w:after="0"/>
              <w:rPr>
                <w:sz w:val="24"/>
                <w:szCs w:val="24"/>
                <w:color w:val="auto"/>
              </w:rPr>
            </w:pPr>
          </w:p>
        </w:tc>
        <w:tc>
          <w:tcPr>
            <w:tcW w:w="5440" w:type="dxa"/>
            <w:vAlign w:val="bottom"/>
            <w:gridSpan w:val="1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EX-31.1: CERTIFICATION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EX-31.2: CERTIFICATION</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EX-31.2: CERTIFICATION</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EX-32.2: CERTIFICATION</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EX-101 INSTANCE DOCUMENT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EX-101 SCHEMA DOCUMENT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EX-101 CALCULATION LINKBASE DOCUMENT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EX-101 LABELS LINKBASE DOCUMENT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EX-101 PRESENTATION LINKBASE DOCUMENT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EX-101 DEFINITION LINKBASE DOCUMENT</w:t>
      </w:r>
    </w:p>
    <w:p>
      <w:pPr>
        <w:spacing w:after="0" w:line="165" w:lineRule="exact"/>
        <w:rPr>
          <w:sz w:val="20"/>
          <w:szCs w:val="20"/>
          <w:color w:val="auto"/>
        </w:rPr>
      </w:pPr>
    </w:p>
    <w:p>
      <w:pPr>
        <w:ind w:right="2079"/>
        <w:spacing w:after="0" w:line="349" w:lineRule="auto"/>
        <w:rPr>
          <w:sz w:val="20"/>
          <w:szCs w:val="20"/>
          <w:color w:val="auto"/>
        </w:rPr>
      </w:pPr>
      <w:r>
        <w:rPr>
          <w:rFonts w:ascii="Arial" w:cs="Arial" w:eastAsia="Arial" w:hAnsi="Arial"/>
          <w:sz w:val="13"/>
          <w:szCs w:val="13"/>
          <w:color w:val="auto"/>
        </w:rPr>
        <w:t>PowerBuoy</w:t>
      </w:r>
      <w:r>
        <w:rPr>
          <w:rFonts w:ascii="Arial" w:cs="Arial" w:eastAsia="Arial" w:hAnsi="Arial"/>
          <w:sz w:val="10"/>
          <w:szCs w:val="10"/>
          <w:color w:val="auto"/>
        </w:rPr>
        <w:t>®</w:t>
      </w:r>
      <w:r>
        <w:rPr>
          <w:rFonts w:ascii="Arial" w:cs="Arial" w:eastAsia="Arial" w:hAnsi="Arial"/>
          <w:sz w:val="13"/>
          <w:szCs w:val="13"/>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477520</wp:posOffset>
            </wp:positionV>
            <wp:extent cx="7276465"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9959"/>
          </w:cols>
          <w:pgMar w:left="500" w:top="793" w:right="1440"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2580"/>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66" w:lineRule="exact"/>
        <w:rPr>
          <w:sz w:val="20"/>
          <w:szCs w:val="20"/>
          <w:color w:val="auto"/>
        </w:rPr>
      </w:pPr>
    </w:p>
    <w:p>
      <w:pPr>
        <w:ind w:left="280" w:right="2019"/>
        <w:spacing w:after="0" w:line="273" w:lineRule="auto"/>
        <w:rPr>
          <w:sz w:val="20"/>
          <w:szCs w:val="20"/>
          <w:color w:val="auto"/>
        </w:rPr>
      </w:pPr>
      <w:r>
        <w:rPr>
          <w:rFonts w:ascii="Arial" w:cs="Arial" w:eastAsia="Arial" w:hAnsi="Arial"/>
          <w:sz w:val="14"/>
          <w:szCs w:val="14"/>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15" w:lineRule="exact"/>
        <w:rPr>
          <w:sz w:val="20"/>
          <w:szCs w:val="20"/>
          <w:color w:val="auto"/>
        </w:rPr>
      </w:pPr>
    </w:p>
    <w:p>
      <w:pPr>
        <w:ind w:left="280" w:right="2059"/>
        <w:spacing w:after="0" w:line="296" w:lineRule="auto"/>
        <w:rPr>
          <w:sz w:val="20"/>
          <w:szCs w:val="20"/>
          <w:color w:val="auto"/>
        </w:rPr>
      </w:pPr>
      <w:r>
        <w:rPr>
          <w:rFonts w:ascii="Arial" w:cs="Arial" w:eastAsia="Arial" w:hAnsi="Arial"/>
          <w:sz w:val="13"/>
          <w:szCs w:val="13"/>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2011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02" w:lineRule="exact"/>
        <w:rPr>
          <w:sz w:val="20"/>
          <w:szCs w:val="20"/>
          <w:color w:val="auto"/>
        </w:rPr>
      </w:pPr>
    </w:p>
    <w:p>
      <w:pPr>
        <w:jc w:val="both"/>
        <w:ind w:left="280" w:right="1959"/>
        <w:spacing w:after="0" w:line="258" w:lineRule="auto"/>
        <w:rPr>
          <w:sz w:val="20"/>
          <w:szCs w:val="20"/>
          <w:color w:val="auto"/>
        </w:rPr>
      </w:pPr>
      <w:r>
        <w:rPr>
          <w:rFonts w:ascii="Arial" w:cs="Arial" w:eastAsia="Arial" w:hAnsi="Arial"/>
          <w:sz w:val="15"/>
          <w:szCs w:val="15"/>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200" w:lineRule="exact"/>
        <w:rPr>
          <w:sz w:val="20"/>
          <w:szCs w:val="20"/>
          <w:color w:val="auto"/>
        </w:rPr>
      </w:pPr>
    </w:p>
    <w:p>
      <w:pPr>
        <w:spacing w:after="0" w:line="257" w:lineRule="exact"/>
        <w:rPr>
          <w:sz w:val="20"/>
          <w:szCs w:val="20"/>
          <w:color w:val="auto"/>
        </w:rPr>
      </w:pPr>
    </w:p>
    <w:p>
      <w:pPr>
        <w:ind w:left="424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2"/>
        </w:trPr>
        <w:tc>
          <w:tcPr>
            <w:tcW w:w="6140" w:type="dxa"/>
            <w:vAlign w:val="bottom"/>
            <w:gridSpan w:val="3"/>
          </w:tcPr>
          <w:p>
            <w:pPr>
              <w:spacing w:after="0"/>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Table of Contents</w:t>
              </w:r>
            </w:hyperlink>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436"/>
        </w:trPr>
        <w:tc>
          <w:tcPr>
            <w:tcW w:w="2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5020" w:type="dxa"/>
            <w:vAlign w:val="bottom"/>
          </w:tcPr>
          <w:p>
            <w:pPr>
              <w:jc w:val="center"/>
              <w:ind w:left="1226"/>
              <w:spacing w:after="0"/>
              <w:rPr>
                <w:sz w:val="20"/>
                <w:szCs w:val="20"/>
                <w:color w:val="auto"/>
              </w:rPr>
            </w:pPr>
            <w:r>
              <w:rPr>
                <w:rFonts w:ascii="Arial" w:cs="Arial" w:eastAsia="Arial" w:hAnsi="Arial"/>
                <w:sz w:val="15"/>
                <w:szCs w:val="15"/>
                <w:b w:val="1"/>
                <w:bCs w:val="1"/>
                <w:color w:val="auto"/>
              </w:rPr>
              <w:t>PART I — FINANCIAL INFORMATION</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4"/>
        </w:trPr>
        <w:tc>
          <w:tcPr>
            <w:tcW w:w="6140" w:type="dxa"/>
            <w:vAlign w:val="bottom"/>
            <w:gridSpan w:val="3"/>
          </w:tcPr>
          <w:p>
            <w:pPr>
              <w:ind w:left="280"/>
              <w:spacing w:after="0"/>
              <w:rPr>
                <w:sz w:val="20"/>
                <w:szCs w:val="20"/>
                <w:color w:val="auto"/>
              </w:rPr>
            </w:pPr>
            <w:r>
              <w:rPr>
                <w:rFonts w:ascii="Arial" w:cs="Arial" w:eastAsia="Arial" w:hAnsi="Arial"/>
                <w:sz w:val="15"/>
                <w:szCs w:val="15"/>
                <w:b w:val="1"/>
                <w:bCs w:val="1"/>
                <w:color w:val="auto"/>
              </w:rPr>
              <w:t xml:space="preserve">Item 1.   </w:t>
            </w:r>
            <w:r>
              <w:rPr>
                <w:rFonts w:ascii="Arial" w:cs="Arial" w:eastAsia="Arial" w:hAnsi="Arial"/>
                <w:sz w:val="15"/>
                <w:szCs w:val="15"/>
                <w:b w:val="1"/>
                <w:bCs w:val="1"/>
                <w:i w:val="1"/>
                <w:iCs w:val="1"/>
                <w:color w:val="auto"/>
              </w:rPr>
              <w:t>FINANCIAL STATEMENTS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3"/>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20" w:type="dxa"/>
            <w:vAlign w:val="bottom"/>
          </w:tcPr>
          <w:p>
            <w:pPr>
              <w:jc w:val="center"/>
              <w:ind w:left="1246"/>
              <w:spacing w:after="0"/>
              <w:rPr>
                <w:sz w:val="20"/>
                <w:szCs w:val="20"/>
                <w:color w:val="auto"/>
              </w:rPr>
            </w:pPr>
            <w:r>
              <w:rPr>
                <w:rFonts w:ascii="Arial" w:cs="Arial" w:eastAsia="Arial" w:hAnsi="Arial"/>
                <w:sz w:val="15"/>
                <w:szCs w:val="15"/>
                <w:b w:val="1"/>
                <w:bCs w:val="1"/>
                <w:color w:val="auto"/>
                <w:w w:val="87"/>
              </w:rPr>
              <w:t>Ocean Power Technologies, Inc. and Subsidiaries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3"/>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20" w:type="dxa"/>
            <w:vAlign w:val="bottom"/>
          </w:tcPr>
          <w:p>
            <w:pPr>
              <w:jc w:val="center"/>
              <w:ind w:left="1246"/>
              <w:spacing w:after="0"/>
              <w:rPr>
                <w:sz w:val="20"/>
                <w:szCs w:val="20"/>
                <w:color w:val="auto"/>
              </w:rPr>
            </w:pPr>
            <w:r>
              <w:rPr>
                <w:rFonts w:ascii="Arial" w:cs="Arial" w:eastAsia="Arial" w:hAnsi="Arial"/>
                <w:sz w:val="15"/>
                <w:szCs w:val="15"/>
                <w:b w:val="1"/>
                <w:bCs w:val="1"/>
                <w:color w:val="auto"/>
                <w:w w:val="86"/>
              </w:rPr>
              <w:t>Consolidated Balance Sheets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6"/>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180" w:type="dxa"/>
            <w:vAlign w:val="bottom"/>
            <w:gridSpan w:val="4"/>
          </w:tcPr>
          <w:p>
            <w:pPr>
              <w:jc w:val="right"/>
              <w:ind w:right="320"/>
              <w:spacing w:after="0"/>
              <w:rPr>
                <w:sz w:val="20"/>
                <w:szCs w:val="20"/>
                <w:color w:val="auto"/>
              </w:rPr>
            </w:pPr>
            <w:r>
              <w:rPr>
                <w:rFonts w:ascii="Arial" w:cs="Arial" w:eastAsia="Arial" w:hAnsi="Arial"/>
                <w:sz w:val="15"/>
                <w:szCs w:val="15"/>
                <w:b w:val="1"/>
                <w:bCs w:val="1"/>
                <w:color w:val="auto"/>
                <w:w w:val="90"/>
              </w:rPr>
              <w:t>July 31, 2011</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90"/>
              </w:rPr>
              <w:t>April 30, 2011</w:t>
            </w:r>
          </w:p>
        </w:tc>
      </w:tr>
      <w:tr>
        <w:trPr>
          <w:trHeight w:val="170"/>
        </w:trPr>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80" w:type="dxa"/>
            <w:vAlign w:val="bottom"/>
            <w:tcBorders>
              <w:top w:val="single" w:sz="8" w:color="auto"/>
            </w:tcBorders>
            <w:gridSpan w:val="2"/>
          </w:tcPr>
          <w:p>
            <w:pPr>
              <w:jc w:val="right"/>
              <w:spacing w:after="0" w:line="170" w:lineRule="exact"/>
              <w:rPr>
                <w:sz w:val="20"/>
                <w:szCs w:val="20"/>
                <w:color w:val="auto"/>
              </w:rPr>
            </w:pPr>
            <w:r>
              <w:rPr>
                <w:rFonts w:ascii="Arial" w:cs="Arial" w:eastAsia="Arial" w:hAnsi="Arial"/>
                <w:sz w:val="15"/>
                <w:szCs w:val="15"/>
                <w:b w:val="1"/>
                <w:bCs w:val="1"/>
                <w:color w:val="auto"/>
                <w:w w:val="95"/>
              </w:rPr>
              <w:t>(Unaudited)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8"/>
        </w:trPr>
        <w:tc>
          <w:tcPr>
            <w:tcW w:w="28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20" w:type="dxa"/>
            <w:vAlign w:val="bottom"/>
            <w:shd w:val="clear" w:color="auto" w:fill="CCEEFF"/>
          </w:tcPr>
          <w:p>
            <w:pPr>
              <w:jc w:val="center"/>
              <w:ind w:right="986"/>
              <w:spacing w:after="0"/>
              <w:rPr>
                <w:sz w:val="20"/>
                <w:szCs w:val="20"/>
                <w:color w:val="auto"/>
              </w:rPr>
            </w:pPr>
            <w:r>
              <w:rPr>
                <w:rFonts w:ascii="Arial" w:cs="Arial" w:eastAsia="Arial" w:hAnsi="Arial"/>
                <w:sz w:val="15"/>
                <w:szCs w:val="15"/>
                <w:b w:val="1"/>
                <w:bCs w:val="1"/>
                <w:color w:val="auto"/>
                <w:w w:val="93"/>
              </w:rPr>
              <w:t>ASSETS</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tcPr>
          <w:p>
            <w:pPr>
              <w:spacing w:after="0"/>
              <w:rPr>
                <w:sz w:val="20"/>
                <w:szCs w:val="20"/>
                <w:color w:val="auto"/>
              </w:rPr>
            </w:pPr>
            <w:r>
              <w:rPr>
                <w:rFonts w:ascii="Arial" w:cs="Arial" w:eastAsia="Arial" w:hAnsi="Arial"/>
                <w:sz w:val="15"/>
                <w:szCs w:val="15"/>
                <w:color w:val="auto"/>
              </w:rPr>
              <w:t>Current assets:</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8,898,701</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4,376,136</w:t>
            </w:r>
          </w:p>
        </w:tc>
      </w:tr>
      <w:tr>
        <w:trPr>
          <w:trHeight w:val="178"/>
        </w:trPr>
        <w:tc>
          <w:tcPr>
            <w:tcW w:w="280" w:type="dxa"/>
            <w:vAlign w:val="bottom"/>
          </w:tcPr>
          <w:p>
            <w:pPr>
              <w:spacing w:after="0"/>
              <w:rPr>
                <w:sz w:val="15"/>
                <w:szCs w:val="15"/>
                <w:color w:val="auto"/>
              </w:rPr>
            </w:pPr>
          </w:p>
        </w:tc>
        <w:tc>
          <w:tcPr>
            <w:tcW w:w="5860" w:type="dxa"/>
            <w:vAlign w:val="bottom"/>
            <w:gridSpan w:val="2"/>
          </w:tcPr>
          <w:p>
            <w:pPr>
              <w:ind w:left="160"/>
              <w:spacing w:after="0"/>
              <w:rPr>
                <w:sz w:val="20"/>
                <w:szCs w:val="20"/>
                <w:color w:val="auto"/>
              </w:rPr>
            </w:pPr>
            <w:r>
              <w:rPr>
                <w:rFonts w:ascii="Arial" w:cs="Arial" w:eastAsia="Arial" w:hAnsi="Arial"/>
                <w:sz w:val="15"/>
                <w:szCs w:val="15"/>
                <w:color w:val="auto"/>
              </w:rPr>
              <w:t>Marketable securities</w:t>
            </w:r>
          </w:p>
        </w:tc>
        <w:tc>
          <w:tcPr>
            <w:tcW w:w="8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25,092,913</w:t>
            </w:r>
          </w:p>
        </w:tc>
        <w:tc>
          <w:tcPr>
            <w:tcW w:w="28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26,018,594</w:t>
            </w: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Accounts receivable</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982,323</w:t>
            </w: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1,285,000</w:t>
            </w:r>
          </w:p>
        </w:tc>
      </w:tr>
      <w:tr>
        <w:trPr>
          <w:trHeight w:val="178"/>
        </w:trPr>
        <w:tc>
          <w:tcPr>
            <w:tcW w:w="280" w:type="dxa"/>
            <w:vAlign w:val="bottom"/>
          </w:tcPr>
          <w:p>
            <w:pPr>
              <w:spacing w:after="0"/>
              <w:rPr>
                <w:sz w:val="15"/>
                <w:szCs w:val="15"/>
                <w:color w:val="auto"/>
              </w:rPr>
            </w:pPr>
          </w:p>
        </w:tc>
        <w:tc>
          <w:tcPr>
            <w:tcW w:w="5860" w:type="dxa"/>
            <w:vAlign w:val="bottom"/>
            <w:gridSpan w:val="2"/>
          </w:tcPr>
          <w:p>
            <w:pPr>
              <w:ind w:left="160"/>
              <w:spacing w:after="0"/>
              <w:rPr>
                <w:sz w:val="20"/>
                <w:szCs w:val="20"/>
                <w:color w:val="auto"/>
              </w:rPr>
            </w:pPr>
            <w:r>
              <w:rPr>
                <w:rFonts w:ascii="Arial" w:cs="Arial" w:eastAsia="Arial" w:hAnsi="Arial"/>
                <w:sz w:val="15"/>
                <w:szCs w:val="15"/>
                <w:color w:val="auto"/>
              </w:rPr>
              <w:t>Unbilled receivables</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1,321,853</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456,316</w:t>
            </w: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Other current assets</w:t>
            </w: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716,186</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832,142</w:t>
            </w:r>
          </w:p>
        </w:tc>
        <w:tc>
          <w:tcPr>
            <w:tcW w:w="80" w:type="dxa"/>
            <w:vAlign w:val="bottom"/>
            <w:shd w:val="clear" w:color="auto" w:fill="CCEEFF"/>
          </w:tcPr>
          <w:p>
            <w:pPr>
              <w:spacing w:after="0"/>
              <w:rPr>
                <w:sz w:val="15"/>
                <w:szCs w:val="15"/>
                <w:color w:val="auto"/>
              </w:rPr>
            </w:pPr>
          </w:p>
        </w:tc>
      </w:tr>
      <w:tr>
        <w:trPr>
          <w:trHeight w:val="180"/>
        </w:trPr>
        <w:tc>
          <w:tcPr>
            <w:tcW w:w="280" w:type="dxa"/>
            <w:vAlign w:val="bottom"/>
          </w:tcPr>
          <w:p>
            <w:pPr>
              <w:spacing w:after="0"/>
              <w:rPr>
                <w:sz w:val="15"/>
                <w:szCs w:val="15"/>
                <w:color w:val="auto"/>
              </w:rPr>
            </w:pPr>
          </w:p>
        </w:tc>
        <w:tc>
          <w:tcPr>
            <w:tcW w:w="5860" w:type="dxa"/>
            <w:vAlign w:val="bottom"/>
            <w:gridSpan w:val="2"/>
          </w:tcPr>
          <w:p>
            <w:pPr>
              <w:ind w:left="340"/>
              <w:spacing w:after="0"/>
              <w:rPr>
                <w:sz w:val="20"/>
                <w:szCs w:val="20"/>
                <w:color w:val="auto"/>
              </w:rPr>
            </w:pPr>
            <w:r>
              <w:rPr>
                <w:rFonts w:ascii="Arial" w:cs="Arial" w:eastAsia="Arial" w:hAnsi="Arial"/>
                <w:sz w:val="15"/>
                <w:szCs w:val="15"/>
                <w:color w:val="auto"/>
              </w:rPr>
              <w:t>Total current assets</w:t>
            </w:r>
          </w:p>
        </w:tc>
        <w:tc>
          <w:tcPr>
            <w:tcW w:w="8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37,011,976</w:t>
            </w:r>
          </w:p>
        </w:tc>
        <w:tc>
          <w:tcPr>
            <w:tcW w:w="28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32,968,188</w:t>
            </w:r>
          </w:p>
        </w:tc>
      </w:tr>
      <w:tr>
        <w:trPr>
          <w:trHeight w:val="179"/>
        </w:trPr>
        <w:tc>
          <w:tcPr>
            <w:tcW w:w="280" w:type="dxa"/>
            <w:vAlign w:val="bottom"/>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796,059</w:t>
            </w: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792,092</w:t>
            </w:r>
          </w:p>
        </w:tc>
      </w:tr>
      <w:tr>
        <w:trPr>
          <w:trHeight w:val="178"/>
        </w:trPr>
        <w:tc>
          <w:tcPr>
            <w:tcW w:w="280" w:type="dxa"/>
            <w:vAlign w:val="bottom"/>
          </w:tcPr>
          <w:p>
            <w:pPr>
              <w:spacing w:after="0"/>
              <w:rPr>
                <w:sz w:val="15"/>
                <w:szCs w:val="15"/>
                <w:color w:val="auto"/>
              </w:rPr>
            </w:pPr>
          </w:p>
        </w:tc>
        <w:tc>
          <w:tcPr>
            <w:tcW w:w="5860" w:type="dxa"/>
            <w:vAlign w:val="bottom"/>
            <w:gridSpan w:val="2"/>
          </w:tcPr>
          <w:p>
            <w:pPr>
              <w:spacing w:after="0"/>
              <w:rPr>
                <w:sz w:val="20"/>
                <w:szCs w:val="20"/>
                <w:color w:val="auto"/>
              </w:rPr>
            </w:pPr>
            <w:r>
              <w:rPr>
                <w:rFonts w:ascii="Arial" w:cs="Arial" w:eastAsia="Arial" w:hAnsi="Arial"/>
                <w:sz w:val="15"/>
                <w:szCs w:val="15"/>
                <w:color w:val="auto"/>
              </w:rPr>
              <w:t>Patents, net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1,247,951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1,222,368</w:t>
            </w: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Restricted cash</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1,591,189</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1,624,669</w:t>
            </w:r>
          </w:p>
        </w:tc>
      </w:tr>
      <w:tr>
        <w:trPr>
          <w:trHeight w:val="178"/>
        </w:trPr>
        <w:tc>
          <w:tcPr>
            <w:tcW w:w="280" w:type="dxa"/>
            <w:vAlign w:val="bottom"/>
          </w:tcPr>
          <w:p>
            <w:pPr>
              <w:spacing w:after="0"/>
              <w:rPr>
                <w:sz w:val="15"/>
                <w:szCs w:val="15"/>
                <w:color w:val="auto"/>
              </w:rPr>
            </w:pPr>
          </w:p>
        </w:tc>
        <w:tc>
          <w:tcPr>
            <w:tcW w:w="5860" w:type="dxa"/>
            <w:vAlign w:val="bottom"/>
            <w:gridSpan w:val="2"/>
          </w:tcPr>
          <w:p>
            <w:pPr>
              <w:spacing w:after="0"/>
              <w:rPr>
                <w:sz w:val="20"/>
                <w:szCs w:val="20"/>
                <w:color w:val="auto"/>
              </w:rPr>
            </w:pPr>
            <w:r>
              <w:rPr>
                <w:rFonts w:ascii="Arial" w:cs="Arial" w:eastAsia="Arial" w:hAnsi="Arial"/>
                <w:sz w:val="15"/>
                <w:szCs w:val="15"/>
                <w:color w:val="auto"/>
              </w:rPr>
              <w:t>Marketable securities</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7,516,214</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16,323,016</w:t>
            </w: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noncurrent assets</w:t>
            </w: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627,500</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622,245</w:t>
            </w:r>
          </w:p>
        </w:tc>
        <w:tc>
          <w:tcPr>
            <w:tcW w:w="80" w:type="dxa"/>
            <w:vAlign w:val="bottom"/>
            <w:shd w:val="clear" w:color="auto" w:fill="CCEEFF"/>
          </w:tcPr>
          <w:p>
            <w:pPr>
              <w:spacing w:after="0"/>
              <w:rPr>
                <w:sz w:val="15"/>
                <w:szCs w:val="15"/>
                <w:color w:val="auto"/>
              </w:rPr>
            </w:pPr>
          </w:p>
        </w:tc>
      </w:tr>
      <w:tr>
        <w:trPr>
          <w:trHeight w:val="180"/>
        </w:trPr>
        <w:tc>
          <w:tcPr>
            <w:tcW w:w="280" w:type="dxa"/>
            <w:vAlign w:val="bottom"/>
          </w:tcPr>
          <w:p>
            <w:pPr>
              <w:spacing w:after="0"/>
              <w:rPr>
                <w:sz w:val="15"/>
                <w:szCs w:val="15"/>
                <w:color w:val="auto"/>
              </w:rPr>
            </w:pPr>
          </w:p>
        </w:tc>
        <w:tc>
          <w:tcPr>
            <w:tcW w:w="5860" w:type="dxa"/>
            <w:vAlign w:val="bottom"/>
            <w:gridSpan w:val="2"/>
          </w:tcPr>
          <w:p>
            <w:pPr>
              <w:ind w:left="340"/>
              <w:spacing w:after="0"/>
              <w:rPr>
                <w:sz w:val="20"/>
                <w:szCs w:val="20"/>
                <w:color w:val="auto"/>
              </w:rPr>
            </w:pPr>
            <w:r>
              <w:rPr>
                <w:rFonts w:ascii="Arial" w:cs="Arial" w:eastAsia="Arial" w:hAnsi="Arial"/>
                <w:sz w:val="15"/>
                <w:szCs w:val="15"/>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48,790,889</w:t>
            </w:r>
          </w:p>
        </w:tc>
        <w:tc>
          <w:tcPr>
            <w:tcW w:w="28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53,552,578</w:t>
            </w: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280" w:type="dxa"/>
            <w:vAlign w:val="bottom"/>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20" w:type="dxa"/>
            <w:vAlign w:val="bottom"/>
            <w:shd w:val="clear" w:color="auto" w:fill="CCEEFF"/>
          </w:tcPr>
          <w:p>
            <w:pPr>
              <w:jc w:val="center"/>
              <w:ind w:right="1006"/>
              <w:spacing w:after="0" w:line="163" w:lineRule="exact"/>
              <w:rPr>
                <w:sz w:val="20"/>
                <w:szCs w:val="20"/>
                <w:color w:val="auto"/>
              </w:rPr>
            </w:pPr>
            <w:r>
              <w:rPr>
                <w:rFonts w:ascii="Arial" w:cs="Arial" w:eastAsia="Arial" w:hAnsi="Arial"/>
                <w:sz w:val="15"/>
                <w:szCs w:val="15"/>
                <w:b w:val="1"/>
                <w:bCs w:val="1"/>
                <w:color w:val="auto"/>
              </w:rPr>
              <w:t>LIABILITIES AND STOCKHOLDERS’ EQUITY</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tcPr>
          <w:p>
            <w:pPr>
              <w:spacing w:after="0"/>
              <w:rPr>
                <w:sz w:val="20"/>
                <w:szCs w:val="20"/>
                <w:color w:val="auto"/>
              </w:rPr>
            </w:pPr>
            <w:r>
              <w:rPr>
                <w:rFonts w:ascii="Arial" w:cs="Arial" w:eastAsia="Arial" w:hAnsi="Arial"/>
                <w:sz w:val="15"/>
                <w:szCs w:val="15"/>
                <w:color w:val="auto"/>
              </w:rPr>
              <w:t>Current liabilities:</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826,833</w:t>
            </w: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1,224,728</w:t>
            </w:r>
          </w:p>
        </w:tc>
      </w:tr>
      <w:tr>
        <w:trPr>
          <w:trHeight w:val="178"/>
        </w:trPr>
        <w:tc>
          <w:tcPr>
            <w:tcW w:w="280" w:type="dxa"/>
            <w:vAlign w:val="bottom"/>
          </w:tcPr>
          <w:p>
            <w:pPr>
              <w:spacing w:after="0"/>
              <w:rPr>
                <w:sz w:val="15"/>
                <w:szCs w:val="15"/>
                <w:color w:val="auto"/>
              </w:rPr>
            </w:pPr>
          </w:p>
        </w:tc>
        <w:tc>
          <w:tcPr>
            <w:tcW w:w="5860" w:type="dxa"/>
            <w:vAlign w:val="bottom"/>
            <w:gridSpan w:val="2"/>
          </w:tcPr>
          <w:p>
            <w:pPr>
              <w:ind w:left="160"/>
              <w:spacing w:after="0"/>
              <w:rPr>
                <w:sz w:val="20"/>
                <w:szCs w:val="20"/>
                <w:color w:val="auto"/>
              </w:rPr>
            </w:pPr>
            <w:r>
              <w:rPr>
                <w:rFonts w:ascii="Arial" w:cs="Arial" w:eastAsia="Arial" w:hAnsi="Arial"/>
                <w:sz w:val="15"/>
                <w:szCs w:val="15"/>
                <w:color w:val="auto"/>
              </w:rPr>
              <w:t>Accrued expenses</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3,869,988</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4,302,952</w:t>
            </w: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Unearned revenues</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1,244,562</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344,022</w:t>
            </w:r>
          </w:p>
        </w:tc>
      </w:tr>
      <w:tr>
        <w:trPr>
          <w:trHeight w:val="180"/>
        </w:trPr>
        <w:tc>
          <w:tcPr>
            <w:tcW w:w="280" w:type="dxa"/>
            <w:vAlign w:val="bottom"/>
          </w:tcPr>
          <w:p>
            <w:pPr>
              <w:spacing w:after="0"/>
              <w:rPr>
                <w:sz w:val="15"/>
                <w:szCs w:val="15"/>
                <w:color w:val="auto"/>
              </w:rPr>
            </w:pPr>
          </w:p>
        </w:tc>
        <w:tc>
          <w:tcPr>
            <w:tcW w:w="5860" w:type="dxa"/>
            <w:vAlign w:val="bottom"/>
            <w:gridSpan w:val="2"/>
          </w:tcPr>
          <w:p>
            <w:pPr>
              <w:ind w:left="160"/>
              <w:spacing w:after="0"/>
              <w:rPr>
                <w:sz w:val="20"/>
                <w:szCs w:val="20"/>
                <w:color w:val="auto"/>
              </w:rPr>
            </w:pPr>
            <w:r>
              <w:rPr>
                <w:rFonts w:ascii="Arial" w:cs="Arial" w:eastAsia="Arial" w:hAnsi="Arial"/>
                <w:sz w:val="15"/>
                <w:szCs w:val="15"/>
                <w:color w:val="auto"/>
              </w:rPr>
              <w:t>Current portion of long-term debt</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75,000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139,378</w:t>
            </w:r>
          </w:p>
        </w:tc>
        <w:tc>
          <w:tcPr>
            <w:tcW w:w="80" w:type="dxa"/>
            <w:vAlign w:val="bottom"/>
          </w:tcPr>
          <w:p>
            <w:pPr>
              <w:spacing w:after="0"/>
              <w:rPr>
                <w:sz w:val="15"/>
                <w:szCs w:val="15"/>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Total current liabilities</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6,016,383</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6,011,080</w:t>
            </w:r>
          </w:p>
        </w:tc>
      </w:tr>
      <w:tr>
        <w:trPr>
          <w:trHeight w:val="178"/>
        </w:trPr>
        <w:tc>
          <w:tcPr>
            <w:tcW w:w="280" w:type="dxa"/>
            <w:vAlign w:val="bottom"/>
          </w:tcPr>
          <w:p>
            <w:pPr>
              <w:spacing w:after="0"/>
              <w:rPr>
                <w:sz w:val="15"/>
                <w:szCs w:val="15"/>
                <w:color w:val="auto"/>
              </w:rPr>
            </w:pPr>
          </w:p>
        </w:tc>
        <w:tc>
          <w:tcPr>
            <w:tcW w:w="5860" w:type="dxa"/>
            <w:vAlign w:val="bottom"/>
            <w:gridSpan w:val="2"/>
          </w:tcPr>
          <w:p>
            <w:pPr>
              <w:spacing w:after="0"/>
              <w:rPr>
                <w:sz w:val="20"/>
                <w:szCs w:val="20"/>
                <w:color w:val="auto"/>
              </w:rPr>
            </w:pPr>
            <w:r>
              <w:rPr>
                <w:rFonts w:ascii="Arial" w:cs="Arial" w:eastAsia="Arial" w:hAnsi="Arial"/>
                <w:sz w:val="15"/>
                <w:szCs w:val="15"/>
                <w:color w:val="auto"/>
              </w:rPr>
              <w:t>Long-term debt</w:t>
            </w:r>
          </w:p>
        </w:tc>
        <w:tc>
          <w:tcPr>
            <w:tcW w:w="8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425,000</w:t>
            </w:r>
          </w:p>
        </w:tc>
        <w:tc>
          <w:tcPr>
            <w:tcW w:w="28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450,000</w:t>
            </w: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Deferred credits</w:t>
            </w: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600,000</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600,000</w:t>
            </w:r>
          </w:p>
        </w:tc>
        <w:tc>
          <w:tcPr>
            <w:tcW w:w="80" w:type="dxa"/>
            <w:vAlign w:val="bottom"/>
            <w:shd w:val="clear" w:color="auto" w:fill="CCEEFF"/>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5860" w:type="dxa"/>
            <w:vAlign w:val="bottom"/>
            <w:gridSpan w:val="2"/>
          </w:tcPr>
          <w:p>
            <w:pPr>
              <w:ind w:left="340"/>
              <w:spacing w:after="0"/>
              <w:rPr>
                <w:sz w:val="20"/>
                <w:szCs w:val="20"/>
                <w:color w:val="auto"/>
              </w:rPr>
            </w:pPr>
            <w:r>
              <w:rPr>
                <w:rFonts w:ascii="Arial" w:cs="Arial" w:eastAsia="Arial" w:hAnsi="Arial"/>
                <w:sz w:val="15"/>
                <w:szCs w:val="15"/>
                <w:color w:val="auto"/>
              </w:rPr>
              <w:t>Total liabilities</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7,041,383</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7,061,080</w:t>
            </w: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Commitments and contingencies (note 9)</w:t>
            </w: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tcPr>
          <w:p>
            <w:pPr>
              <w:spacing w:after="0"/>
              <w:rPr>
                <w:sz w:val="20"/>
                <w:szCs w:val="20"/>
                <w:color w:val="auto"/>
              </w:rPr>
            </w:pPr>
            <w:r>
              <w:rPr>
                <w:rFonts w:ascii="Arial" w:cs="Arial" w:eastAsia="Arial" w:hAnsi="Arial"/>
                <w:sz w:val="15"/>
                <w:szCs w:val="15"/>
                <w:color w:val="auto"/>
              </w:rPr>
              <w:t>Ocean Power Technologies, Inc. Stockholders’ equity:</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93"/>
              </w:rPr>
              <w:t>Preferred stock, $0.001 par value; authorized 5,000,000 shares, none issued or outstanding</w:t>
            </w:r>
          </w:p>
        </w:tc>
        <w:tc>
          <w:tcPr>
            <w:tcW w:w="8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68"/>
        </w:trPr>
        <w:tc>
          <w:tcPr>
            <w:tcW w:w="280" w:type="dxa"/>
            <w:vAlign w:val="bottom"/>
          </w:tcPr>
          <w:p>
            <w:pPr>
              <w:spacing w:after="0"/>
              <w:rPr>
                <w:sz w:val="14"/>
                <w:szCs w:val="14"/>
                <w:color w:val="auto"/>
              </w:rPr>
            </w:pPr>
          </w:p>
        </w:tc>
        <w:tc>
          <w:tcPr>
            <w:tcW w:w="5860" w:type="dxa"/>
            <w:vAlign w:val="bottom"/>
            <w:gridSpan w:val="2"/>
          </w:tcPr>
          <w:p>
            <w:pPr>
              <w:ind w:left="160"/>
              <w:spacing w:after="0" w:line="168" w:lineRule="exact"/>
              <w:rPr>
                <w:sz w:val="20"/>
                <w:szCs w:val="20"/>
                <w:color w:val="auto"/>
              </w:rPr>
            </w:pPr>
            <w:r>
              <w:rPr>
                <w:rFonts w:ascii="Arial" w:cs="Arial" w:eastAsia="Arial" w:hAnsi="Arial"/>
                <w:sz w:val="15"/>
                <w:szCs w:val="15"/>
                <w:color w:val="auto"/>
                <w:w w:val="95"/>
              </w:rPr>
              <w:t>Common stock, $0.001 par value; authorized 105,000,000 shares, issued 10,411,295 and</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280" w:type="dxa"/>
            <w:vAlign w:val="bottom"/>
          </w:tcPr>
          <w:p>
            <w:pPr>
              <w:spacing w:after="0"/>
              <w:rPr>
                <w:sz w:val="16"/>
                <w:szCs w:val="16"/>
                <w:color w:val="auto"/>
              </w:rPr>
            </w:pPr>
          </w:p>
        </w:tc>
        <w:tc>
          <w:tcPr>
            <w:tcW w:w="5860" w:type="dxa"/>
            <w:vAlign w:val="bottom"/>
            <w:gridSpan w:val="2"/>
          </w:tcPr>
          <w:p>
            <w:pPr>
              <w:ind w:left="340"/>
              <w:spacing w:after="0"/>
              <w:rPr>
                <w:sz w:val="20"/>
                <w:szCs w:val="20"/>
                <w:color w:val="auto"/>
              </w:rPr>
            </w:pPr>
            <w:r>
              <w:rPr>
                <w:rFonts w:ascii="Arial" w:cs="Arial" w:eastAsia="Arial" w:hAnsi="Arial"/>
                <w:sz w:val="15"/>
                <w:szCs w:val="15"/>
                <w:color w:val="auto"/>
              </w:rPr>
              <w:t>10,419,183 shares, respectively</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10,411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10,419</w:t>
            </w: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Treasury stock, at cost; 13,485 and 7,685 shares, respectively</w:t>
            </w:r>
          </w:p>
        </w:tc>
        <w:tc>
          <w:tcPr>
            <w:tcW w:w="8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(65,877)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(42,734)</w:t>
            </w:r>
          </w:p>
        </w:tc>
      </w:tr>
      <w:tr>
        <w:trPr>
          <w:trHeight w:val="178"/>
        </w:trPr>
        <w:tc>
          <w:tcPr>
            <w:tcW w:w="280" w:type="dxa"/>
            <w:vAlign w:val="bottom"/>
          </w:tcPr>
          <w:p>
            <w:pPr>
              <w:spacing w:after="0"/>
              <w:rPr>
                <w:sz w:val="15"/>
                <w:szCs w:val="15"/>
                <w:color w:val="auto"/>
              </w:rPr>
            </w:pPr>
          </w:p>
        </w:tc>
        <w:tc>
          <w:tcPr>
            <w:tcW w:w="5860" w:type="dxa"/>
            <w:vAlign w:val="bottom"/>
            <w:gridSpan w:val="2"/>
          </w:tcPr>
          <w:p>
            <w:pPr>
              <w:ind w:left="160"/>
              <w:spacing w:after="0"/>
              <w:rPr>
                <w:sz w:val="20"/>
                <w:szCs w:val="20"/>
                <w:color w:val="auto"/>
              </w:rPr>
            </w:pPr>
            <w:r>
              <w:rPr>
                <w:rFonts w:ascii="Arial" w:cs="Arial" w:eastAsia="Arial" w:hAnsi="Arial"/>
                <w:sz w:val="15"/>
                <w:szCs w:val="15"/>
                <w:color w:val="auto"/>
              </w:rPr>
              <w:t>Additional paid-in capital</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w w:val="93"/>
              </w:rPr>
              <w:t>157,545,820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157,174,930</w:t>
            </w: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Accumulated deficit</w:t>
            </w:r>
          </w:p>
        </w:tc>
        <w:tc>
          <w:tcPr>
            <w:tcW w:w="8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w w:val="87"/>
              </w:rPr>
              <w:t>(115,844,036)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8"/>
              </w:rPr>
              <w:t>(110,848,972)</w:t>
            </w:r>
          </w:p>
        </w:tc>
      </w:tr>
      <w:tr>
        <w:trPr>
          <w:trHeight w:val="180"/>
        </w:trPr>
        <w:tc>
          <w:tcPr>
            <w:tcW w:w="280" w:type="dxa"/>
            <w:vAlign w:val="bottom"/>
          </w:tcPr>
          <w:p>
            <w:pPr>
              <w:spacing w:after="0"/>
              <w:rPr>
                <w:sz w:val="15"/>
                <w:szCs w:val="15"/>
                <w:color w:val="auto"/>
              </w:rPr>
            </w:pPr>
          </w:p>
        </w:tc>
        <w:tc>
          <w:tcPr>
            <w:tcW w:w="5860" w:type="dxa"/>
            <w:vAlign w:val="bottom"/>
            <w:gridSpan w:val="2"/>
          </w:tcPr>
          <w:p>
            <w:pPr>
              <w:ind w:left="160"/>
              <w:spacing w:after="0"/>
              <w:rPr>
                <w:sz w:val="20"/>
                <w:szCs w:val="20"/>
                <w:color w:val="auto"/>
              </w:rPr>
            </w:pPr>
            <w:r>
              <w:rPr>
                <w:rFonts w:ascii="Arial" w:cs="Arial" w:eastAsia="Arial" w:hAnsi="Arial"/>
                <w:sz w:val="15"/>
                <w:szCs w:val="15"/>
                <w:color w:val="auto"/>
              </w:rPr>
              <w:t>Accumulated other comprehensive income</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85,835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175,907</w:t>
            </w:r>
          </w:p>
        </w:tc>
        <w:tc>
          <w:tcPr>
            <w:tcW w:w="80" w:type="dxa"/>
            <w:vAlign w:val="bottom"/>
          </w:tcPr>
          <w:p>
            <w:pPr>
              <w:spacing w:after="0"/>
              <w:rPr>
                <w:sz w:val="15"/>
                <w:szCs w:val="15"/>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Total Ocean Power Technologies, Inc. stockholders’ equity</w:t>
            </w: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41,732,153</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46,469,550</w:t>
            </w:r>
          </w:p>
        </w:tc>
        <w:tc>
          <w:tcPr>
            <w:tcW w:w="80" w:type="dxa"/>
            <w:vAlign w:val="bottom"/>
            <w:shd w:val="clear" w:color="auto" w:fill="CCEEFF"/>
          </w:tcPr>
          <w:p>
            <w:pPr>
              <w:spacing w:after="0"/>
              <w:rPr>
                <w:sz w:val="15"/>
                <w:szCs w:val="15"/>
                <w:color w:val="auto"/>
              </w:rPr>
            </w:pPr>
          </w:p>
        </w:tc>
      </w:tr>
      <w:tr>
        <w:trPr>
          <w:trHeight w:val="183"/>
        </w:trPr>
        <w:tc>
          <w:tcPr>
            <w:tcW w:w="6140" w:type="dxa"/>
            <w:vAlign w:val="bottom"/>
            <w:gridSpan w:val="3"/>
          </w:tcPr>
          <w:p>
            <w:pPr>
              <w:ind w:left="280"/>
              <w:spacing w:after="0"/>
              <w:rPr>
                <w:sz w:val="20"/>
                <w:szCs w:val="20"/>
                <w:color w:val="auto"/>
              </w:rPr>
            </w:pPr>
            <w:r>
              <w:rPr>
                <w:rFonts w:ascii="Arial" w:cs="Arial" w:eastAsia="Arial" w:hAnsi="Arial"/>
                <w:sz w:val="15"/>
                <w:szCs w:val="15"/>
                <w:color w:val="auto"/>
              </w:rPr>
              <w:t>Noncontrolling interest in Ocean Power Technologies (Australasia) Pty Ltd.</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17,353</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21,948</w:t>
            </w:r>
          </w:p>
        </w:tc>
        <w:tc>
          <w:tcPr>
            <w:tcW w:w="80" w:type="dxa"/>
            <w:vAlign w:val="bottom"/>
          </w:tcPr>
          <w:p>
            <w:pPr>
              <w:spacing w:after="0"/>
              <w:rPr>
                <w:sz w:val="15"/>
                <w:szCs w:val="15"/>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Total equity</w:t>
            </w: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41,749,506</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46,491,498</w:t>
            </w:r>
          </w:p>
        </w:tc>
        <w:tc>
          <w:tcPr>
            <w:tcW w:w="80" w:type="dxa"/>
            <w:vAlign w:val="bottom"/>
            <w:shd w:val="clear" w:color="auto" w:fill="CCEEFF"/>
          </w:tcPr>
          <w:p>
            <w:pPr>
              <w:spacing w:after="0"/>
              <w:rPr>
                <w:sz w:val="15"/>
                <w:szCs w:val="15"/>
                <w:color w:val="auto"/>
              </w:rPr>
            </w:pPr>
          </w:p>
        </w:tc>
      </w:tr>
      <w:tr>
        <w:trPr>
          <w:trHeight w:val="180"/>
        </w:trPr>
        <w:tc>
          <w:tcPr>
            <w:tcW w:w="280" w:type="dxa"/>
            <w:vAlign w:val="bottom"/>
          </w:tcPr>
          <w:p>
            <w:pPr>
              <w:spacing w:after="0"/>
              <w:rPr>
                <w:sz w:val="15"/>
                <w:szCs w:val="15"/>
                <w:color w:val="auto"/>
              </w:rPr>
            </w:pPr>
          </w:p>
        </w:tc>
        <w:tc>
          <w:tcPr>
            <w:tcW w:w="5860" w:type="dxa"/>
            <w:vAlign w:val="bottom"/>
            <w:gridSpan w:val="2"/>
          </w:tcPr>
          <w:p>
            <w:pPr>
              <w:ind w:left="340"/>
              <w:spacing w:after="0"/>
              <w:rPr>
                <w:sz w:val="20"/>
                <w:szCs w:val="20"/>
                <w:color w:val="auto"/>
              </w:rPr>
            </w:pPr>
            <w:r>
              <w:rPr>
                <w:rFonts w:ascii="Arial" w:cs="Arial" w:eastAsia="Arial" w:hAnsi="Arial"/>
                <w:sz w:val="15"/>
                <w:szCs w:val="15"/>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48,790,889</w:t>
            </w:r>
          </w:p>
        </w:tc>
        <w:tc>
          <w:tcPr>
            <w:tcW w:w="28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53,552,578</w:t>
            </w: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6"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See accompanying notes to consolidated financial statements (unaudited).</w:t>
      </w:r>
    </w:p>
    <w:p>
      <w:pPr>
        <w:spacing w:after="0" w:line="200" w:lineRule="exact"/>
        <w:rPr>
          <w:sz w:val="20"/>
          <w:szCs w:val="20"/>
          <w:color w:val="auto"/>
        </w:rPr>
      </w:pPr>
    </w:p>
    <w:p>
      <w:pPr>
        <w:spacing w:after="0" w:line="274" w:lineRule="exact"/>
        <w:rPr>
          <w:sz w:val="20"/>
          <w:szCs w:val="20"/>
          <w:color w:val="auto"/>
        </w:rPr>
      </w:pPr>
    </w:p>
    <w:p>
      <w:pPr>
        <w:ind w:left="424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5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2"/>
        </w:trPr>
        <w:tc>
          <w:tcPr>
            <w:tcW w:w="6060" w:type="dxa"/>
            <w:vAlign w:val="bottom"/>
            <w:gridSpan w:val="3"/>
          </w:tcPr>
          <w:p>
            <w:pPr>
              <w:spacing w:after="0"/>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Table of Contents</w:t>
              </w:r>
            </w:hyperlink>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6"/>
        </w:trPr>
        <w:tc>
          <w:tcPr>
            <w:tcW w:w="2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940" w:type="dxa"/>
            <w:vAlign w:val="bottom"/>
          </w:tcPr>
          <w:p>
            <w:pPr>
              <w:jc w:val="center"/>
              <w:ind w:left="1326"/>
              <w:spacing w:after="0"/>
              <w:rPr>
                <w:sz w:val="20"/>
                <w:szCs w:val="20"/>
                <w:color w:val="auto"/>
              </w:rPr>
            </w:pPr>
            <w:r>
              <w:rPr>
                <w:rFonts w:ascii="Arial" w:cs="Arial" w:eastAsia="Arial" w:hAnsi="Arial"/>
                <w:sz w:val="15"/>
                <w:szCs w:val="15"/>
                <w:b w:val="1"/>
                <w:bCs w:val="1"/>
                <w:color w:val="auto"/>
                <w:w w:val="87"/>
              </w:rPr>
              <w:t>Ocean Power Technologies, Inc. and Subsidiaries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40" w:type="dxa"/>
            <w:vAlign w:val="bottom"/>
          </w:tcPr>
          <w:p>
            <w:pPr>
              <w:jc w:val="center"/>
              <w:ind w:left="1306"/>
              <w:spacing w:after="0"/>
              <w:rPr>
                <w:sz w:val="20"/>
                <w:szCs w:val="20"/>
                <w:color w:val="auto"/>
              </w:rPr>
            </w:pPr>
            <w:r>
              <w:rPr>
                <w:rFonts w:ascii="Arial" w:cs="Arial" w:eastAsia="Arial" w:hAnsi="Arial"/>
                <w:sz w:val="15"/>
                <w:szCs w:val="15"/>
                <w:b w:val="1"/>
                <w:bCs w:val="1"/>
                <w:color w:val="auto"/>
                <w:w w:val="88"/>
              </w:rPr>
              <w:t>Consolidated Statements of Operations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940" w:type="dxa"/>
            <w:vAlign w:val="bottom"/>
          </w:tcPr>
          <w:p>
            <w:pPr>
              <w:jc w:val="center"/>
              <w:ind w:left="1306"/>
              <w:spacing w:after="0"/>
              <w:rPr>
                <w:sz w:val="20"/>
                <w:szCs w:val="20"/>
                <w:color w:val="auto"/>
              </w:rPr>
            </w:pPr>
            <w:r>
              <w:rPr>
                <w:rFonts w:ascii="Arial" w:cs="Arial" w:eastAsia="Arial" w:hAnsi="Arial"/>
                <w:sz w:val="15"/>
                <w:szCs w:val="15"/>
                <w:b w:val="1"/>
                <w:bCs w:val="1"/>
                <w:color w:val="auto"/>
                <w:w w:val="91"/>
              </w:rPr>
              <w:t>(Unaudited)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5"/>
          </w:tcPr>
          <w:p>
            <w:pPr>
              <w:ind w:left="20"/>
              <w:spacing w:after="0"/>
              <w:rPr>
                <w:sz w:val="20"/>
                <w:szCs w:val="20"/>
                <w:color w:val="auto"/>
              </w:rPr>
            </w:pPr>
            <w:r>
              <w:rPr>
                <w:rFonts w:ascii="Arial" w:cs="Arial" w:eastAsia="Arial" w:hAnsi="Arial"/>
                <w:sz w:val="15"/>
                <w:szCs w:val="15"/>
                <w:b w:val="1"/>
                <w:bCs w:val="1"/>
                <w:color w:val="auto"/>
                <w:w w:val="94"/>
              </w:rPr>
              <w:t>Three Months Ended July 31,</w:t>
            </w: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86"/>
              <w:spacing w:after="0" w:line="170" w:lineRule="exact"/>
              <w:rPr>
                <w:sz w:val="20"/>
                <w:szCs w:val="20"/>
                <w:color w:val="auto"/>
              </w:rPr>
            </w:pPr>
            <w:r>
              <w:rPr>
                <w:rFonts w:ascii="Arial" w:cs="Arial" w:eastAsia="Arial" w:hAnsi="Arial"/>
                <w:sz w:val="15"/>
                <w:szCs w:val="15"/>
                <w:b w:val="1"/>
                <w:bCs w:val="1"/>
                <w:color w:val="auto"/>
              </w:rPr>
              <w:t>2011</w:t>
            </w:r>
          </w:p>
        </w:tc>
        <w:tc>
          <w:tcPr>
            <w:tcW w:w="300" w:type="dxa"/>
            <w:vAlign w:val="bottom"/>
            <w:tcBorders>
              <w:top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66"/>
              <w:spacing w:after="0" w:line="170" w:lineRule="exact"/>
              <w:rPr>
                <w:sz w:val="20"/>
                <w:szCs w:val="20"/>
                <w:color w:val="auto"/>
              </w:rPr>
            </w:pPr>
            <w:r>
              <w:rPr>
                <w:rFonts w:ascii="Arial" w:cs="Arial" w:eastAsia="Arial" w:hAnsi="Arial"/>
                <w:sz w:val="15"/>
                <w:szCs w:val="15"/>
                <w:b w:val="1"/>
                <w:bCs w:val="1"/>
                <w:color w:val="auto"/>
              </w:rPr>
              <w:t>2010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578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Revenues</w:t>
            </w:r>
          </w:p>
        </w:tc>
        <w:tc>
          <w:tcPr>
            <w:tcW w:w="360" w:type="dxa"/>
            <w:vAlign w:val="bottom"/>
            <w:gridSpan w:val="2"/>
            <w:shd w:val="clear" w:color="auto" w:fill="CCEEFF"/>
          </w:tcPr>
          <w:p>
            <w:pPr>
              <w:ind w:left="240"/>
              <w:spacing w:after="0" w:line="169" w:lineRule="exact"/>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1,910,852</w:t>
            </w:r>
          </w:p>
        </w:tc>
        <w:tc>
          <w:tcPr>
            <w:tcW w:w="88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1,374,407</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5780" w:type="dxa"/>
            <w:vAlign w:val="bottom"/>
            <w:gridSpan w:val="2"/>
          </w:tcPr>
          <w:p>
            <w:pPr>
              <w:spacing w:after="0"/>
              <w:rPr>
                <w:sz w:val="20"/>
                <w:szCs w:val="20"/>
                <w:color w:val="auto"/>
              </w:rPr>
            </w:pPr>
            <w:r>
              <w:rPr>
                <w:rFonts w:ascii="Arial" w:cs="Arial" w:eastAsia="Arial" w:hAnsi="Arial"/>
                <w:sz w:val="15"/>
                <w:szCs w:val="15"/>
                <w:color w:val="auto"/>
              </w:rPr>
              <w:t>Cost of revenues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1,901,902</w:t>
            </w:r>
          </w:p>
        </w:tc>
        <w:tc>
          <w:tcPr>
            <w:tcW w:w="3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1,588,246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78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Gross profit (loss)</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8,950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(213,839)</w:t>
            </w:r>
          </w:p>
        </w:tc>
        <w:tc>
          <w:tcPr>
            <w:tcW w:w="0" w:type="dxa"/>
            <w:vAlign w:val="bottom"/>
          </w:tcPr>
          <w:p>
            <w:pPr>
              <w:spacing w:after="0"/>
              <w:rPr>
                <w:sz w:val="1"/>
                <w:szCs w:val="1"/>
                <w:color w:val="auto"/>
              </w:rPr>
            </w:pPr>
          </w:p>
        </w:tc>
      </w:tr>
      <w:tr>
        <w:trPr>
          <w:trHeight w:val="180"/>
        </w:trPr>
        <w:tc>
          <w:tcPr>
            <w:tcW w:w="6060" w:type="dxa"/>
            <w:vAlign w:val="bottom"/>
            <w:gridSpan w:val="3"/>
          </w:tcPr>
          <w:p>
            <w:pPr>
              <w:ind w:left="280"/>
              <w:spacing w:after="0"/>
              <w:rPr>
                <w:sz w:val="20"/>
                <w:szCs w:val="20"/>
                <w:color w:val="auto"/>
              </w:rPr>
            </w:pPr>
            <w:r>
              <w:rPr>
                <w:rFonts w:ascii="Arial" w:cs="Arial" w:eastAsia="Arial" w:hAnsi="Arial"/>
                <w:sz w:val="15"/>
                <w:szCs w:val="15"/>
                <w:color w:val="auto"/>
              </w:rPr>
              <w:t>Operating expenses:</w:t>
            </w: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7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Product development costs</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3,100,587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4,025,786</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5780" w:type="dxa"/>
            <w:vAlign w:val="bottom"/>
            <w:gridSpan w:val="2"/>
          </w:tcPr>
          <w:p>
            <w:pPr>
              <w:ind w:left="160"/>
              <w:spacing w:after="0"/>
              <w:rPr>
                <w:sz w:val="20"/>
                <w:szCs w:val="20"/>
                <w:color w:val="auto"/>
              </w:rPr>
            </w:pPr>
            <w:r>
              <w:rPr>
                <w:rFonts w:ascii="Arial" w:cs="Arial" w:eastAsia="Arial" w:hAnsi="Arial"/>
                <w:sz w:val="15"/>
                <w:szCs w:val="15"/>
                <w:color w:val="auto"/>
              </w:rPr>
              <w:t>Selling, general and administrative costs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2,019,742</w:t>
            </w:r>
          </w:p>
        </w:tc>
        <w:tc>
          <w:tcPr>
            <w:tcW w:w="3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2,028,910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78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Total operating expenses</w:t>
            </w:r>
          </w:p>
        </w:tc>
        <w:tc>
          <w:tcPr>
            <w:tcW w:w="2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5,120,329</w:t>
            </w:r>
          </w:p>
        </w:tc>
        <w:tc>
          <w:tcPr>
            <w:tcW w:w="3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6,054,696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tcPr>
          <w:p>
            <w:pPr>
              <w:ind w:left="280"/>
              <w:spacing w:after="0"/>
              <w:rPr>
                <w:sz w:val="20"/>
                <w:szCs w:val="20"/>
                <w:color w:val="auto"/>
              </w:rPr>
            </w:pPr>
            <w:r>
              <w:rPr>
                <w:rFonts w:ascii="Arial" w:cs="Arial" w:eastAsia="Arial" w:hAnsi="Arial"/>
                <w:sz w:val="15"/>
                <w:szCs w:val="15"/>
                <w:color w:val="auto"/>
              </w:rPr>
              <w:t>Operating loss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w w:val="93"/>
              </w:rPr>
              <w:t>(5,111,379)</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(6,268,535)</w:t>
            </w: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income, net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120,768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237,465</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780" w:type="dxa"/>
            <w:vAlign w:val="bottom"/>
            <w:gridSpan w:val="2"/>
          </w:tcPr>
          <w:p>
            <w:pPr>
              <w:spacing w:after="0"/>
              <w:rPr>
                <w:sz w:val="20"/>
                <w:szCs w:val="20"/>
                <w:color w:val="auto"/>
              </w:rPr>
            </w:pPr>
            <w:r>
              <w:rPr>
                <w:rFonts w:ascii="Arial" w:cs="Arial" w:eastAsia="Arial" w:hAnsi="Arial"/>
                <w:sz w:val="15"/>
                <w:szCs w:val="15"/>
                <w:color w:val="auto"/>
              </w:rPr>
              <w:t>Foreign exchange loss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(9,041)</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(239,002)</w:t>
            </w:r>
          </w:p>
        </w:tc>
        <w:tc>
          <w:tcPr>
            <w:tcW w:w="0" w:type="dxa"/>
            <w:vAlign w:val="bottom"/>
          </w:tcPr>
          <w:p>
            <w:pPr>
              <w:spacing w:after="0"/>
              <w:rPr>
                <w:sz w:val="1"/>
                <w:szCs w:val="1"/>
                <w:color w:val="auto"/>
              </w:rPr>
            </w:pPr>
          </w:p>
        </w:tc>
      </w:tr>
      <w:tr>
        <w:trPr>
          <w:trHeight w:val="22"/>
        </w:trPr>
        <w:tc>
          <w:tcPr>
            <w:tcW w:w="28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80" w:type="dxa"/>
            <w:vAlign w:val="bottom"/>
            <w:vMerge w:val="continue"/>
          </w:tcPr>
          <w:p>
            <w:pPr>
              <w:spacing w:after="0"/>
              <w:rPr>
                <w:sz w:val="15"/>
                <w:szCs w:val="15"/>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3"/>
              </w:rPr>
              <w:t>(4,999,652)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(6,270,072)</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5780" w:type="dxa"/>
            <w:vAlign w:val="bottom"/>
            <w:gridSpan w:val="2"/>
          </w:tcPr>
          <w:p>
            <w:pPr>
              <w:ind w:left="160"/>
              <w:spacing w:after="0" w:line="168" w:lineRule="exact"/>
              <w:rPr>
                <w:sz w:val="20"/>
                <w:szCs w:val="20"/>
                <w:color w:val="auto"/>
              </w:rPr>
            </w:pPr>
            <w:r>
              <w:rPr>
                <w:rFonts w:ascii="Arial" w:cs="Arial" w:eastAsia="Arial" w:hAnsi="Arial"/>
                <w:sz w:val="15"/>
                <w:szCs w:val="15"/>
                <w:color w:val="auto"/>
                <w:w w:val="98"/>
              </w:rPr>
              <w:t>Less: Net loss attributable to the noncontrolling interest in Ocean Power Technologies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5780" w:type="dxa"/>
            <w:vAlign w:val="bottom"/>
            <w:gridSpan w:val="2"/>
          </w:tcPr>
          <w:p>
            <w:pPr>
              <w:ind w:left="340"/>
              <w:spacing w:after="0"/>
              <w:rPr>
                <w:sz w:val="20"/>
                <w:szCs w:val="20"/>
                <w:color w:val="auto"/>
              </w:rPr>
            </w:pPr>
            <w:r>
              <w:rPr>
                <w:rFonts w:ascii="Arial" w:cs="Arial" w:eastAsia="Arial" w:hAnsi="Arial"/>
                <w:sz w:val="15"/>
                <w:szCs w:val="15"/>
                <w:color w:val="auto"/>
              </w:rPr>
              <w:t>(Australasia) Pty Ltd.</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4,588</w:t>
            </w:r>
          </w:p>
        </w:tc>
        <w:tc>
          <w:tcPr>
            <w:tcW w:w="3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3,479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 attributable to Ocean Power Technologies, Inc.</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3"/>
              </w:rPr>
              <w:t>(4,995,064)</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(6,266,593)</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ind w:left="280"/>
              <w:spacing w:after="0"/>
              <w:rPr>
                <w:sz w:val="20"/>
                <w:szCs w:val="20"/>
                <w:color w:val="auto"/>
              </w:rPr>
            </w:pPr>
            <w:r>
              <w:rPr>
                <w:rFonts w:ascii="Arial" w:cs="Arial" w:eastAsia="Arial" w:hAnsi="Arial"/>
                <w:sz w:val="15"/>
                <w:szCs w:val="15"/>
                <w:color w:val="auto"/>
              </w:rPr>
              <w:t>Basic and diluted net loss per share</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060" w:type="dxa"/>
            <w:vAlign w:val="bottom"/>
            <w:gridSpan w:val="3"/>
            <w:vMerge w:val="continue"/>
          </w:tcPr>
          <w:p>
            <w:pPr>
              <w:spacing w:after="0"/>
              <w:rPr>
                <w:sz w:val="14"/>
                <w:szCs w:val="14"/>
                <w:color w:val="auto"/>
              </w:rPr>
            </w:pPr>
          </w:p>
        </w:tc>
        <w:tc>
          <w:tcPr>
            <w:tcW w:w="360" w:type="dxa"/>
            <w:vAlign w:val="bottom"/>
            <w:gridSpan w:val="2"/>
          </w:tcPr>
          <w:p>
            <w:pPr>
              <w:ind w:left="240"/>
              <w:spacing w:after="0" w:line="163" w:lineRule="exact"/>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60"/>
              <w:spacing w:after="0" w:line="163" w:lineRule="exact"/>
              <w:rPr>
                <w:sz w:val="20"/>
                <w:szCs w:val="20"/>
                <w:color w:val="auto"/>
              </w:rPr>
            </w:pPr>
            <w:r>
              <w:rPr>
                <w:rFonts w:ascii="Arial" w:cs="Arial" w:eastAsia="Arial" w:hAnsi="Arial"/>
                <w:sz w:val="15"/>
                <w:szCs w:val="15"/>
                <w:color w:val="auto"/>
              </w:rPr>
              <w:t>(0.49)</w:t>
            </w:r>
          </w:p>
        </w:tc>
        <w:tc>
          <w:tcPr>
            <w:tcW w:w="880" w:type="dxa"/>
            <w:vAlign w:val="bottom"/>
            <w:gridSpan w:val="2"/>
          </w:tcPr>
          <w:p>
            <w:pPr>
              <w:jc w:val="right"/>
              <w:ind w:right="40"/>
              <w:spacing w:after="0" w:line="163" w:lineRule="exact"/>
              <w:rPr>
                <w:sz w:val="20"/>
                <w:szCs w:val="20"/>
                <w:color w:val="auto"/>
              </w:rPr>
            </w:pPr>
            <w:r>
              <w:rPr>
                <w:rFonts w:ascii="Arial" w:cs="Arial" w:eastAsia="Arial" w:hAnsi="Arial"/>
                <w:sz w:val="15"/>
                <w:szCs w:val="15"/>
                <w:color w:val="auto"/>
              </w:rPr>
              <w:t>(0.61)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0" w:type="dxa"/>
            <w:vAlign w:val="bottom"/>
          </w:tcPr>
          <w:p>
            <w:pPr>
              <w:spacing w:after="0"/>
              <w:rPr>
                <w:sz w:val="14"/>
                <w:szCs w:val="14"/>
                <w:color w:val="auto"/>
              </w:rPr>
            </w:pPr>
          </w:p>
        </w:tc>
        <w:tc>
          <w:tcPr>
            <w:tcW w:w="5780" w:type="dxa"/>
            <w:vAlign w:val="bottom"/>
            <w:gridSpan w:val="2"/>
            <w:shd w:val="clear" w:color="auto" w:fill="CCEEFF"/>
          </w:tcPr>
          <w:p>
            <w:pPr>
              <w:spacing w:after="0" w:line="163" w:lineRule="exact"/>
              <w:rPr>
                <w:sz w:val="20"/>
                <w:szCs w:val="20"/>
                <w:color w:val="auto"/>
              </w:rPr>
            </w:pPr>
            <w:r>
              <w:rPr>
                <w:rFonts w:ascii="Arial" w:cs="Arial" w:eastAsia="Arial" w:hAnsi="Arial"/>
                <w:sz w:val="15"/>
                <w:szCs w:val="15"/>
                <w:color w:val="auto"/>
              </w:rPr>
              <w:t>Weighted average shares used to compute basic and diluted net loss per share</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00"/>
              <w:spacing w:after="0" w:line="163" w:lineRule="exact"/>
              <w:rPr>
                <w:sz w:val="20"/>
                <w:szCs w:val="20"/>
                <w:color w:val="auto"/>
              </w:rPr>
            </w:pPr>
            <w:r>
              <w:rPr>
                <w:rFonts w:ascii="Arial" w:cs="Arial" w:eastAsia="Arial" w:hAnsi="Arial"/>
                <w:sz w:val="15"/>
                <w:szCs w:val="15"/>
                <w:color w:val="auto"/>
                <w:w w:val="90"/>
              </w:rPr>
              <w:t>10,268,155</w:t>
            </w:r>
          </w:p>
        </w:tc>
        <w:tc>
          <w:tcPr>
            <w:tcW w:w="880" w:type="dxa"/>
            <w:vAlign w:val="bottom"/>
            <w:gridSpan w:val="2"/>
            <w:shd w:val="clear" w:color="auto" w:fill="CCEEFF"/>
          </w:tcPr>
          <w:p>
            <w:pPr>
              <w:jc w:val="right"/>
              <w:ind w:right="80"/>
              <w:spacing w:after="0" w:line="163" w:lineRule="exact"/>
              <w:rPr>
                <w:sz w:val="20"/>
                <w:szCs w:val="20"/>
                <w:color w:val="auto"/>
              </w:rPr>
            </w:pPr>
            <w:r>
              <w:rPr>
                <w:rFonts w:ascii="Arial" w:cs="Arial" w:eastAsia="Arial" w:hAnsi="Arial"/>
                <w:sz w:val="15"/>
                <w:szCs w:val="15"/>
                <w:color w:val="auto"/>
              </w:rPr>
              <w:t>10,236,466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See accompanying notes to consolidated financial statements (unaudited).</w:t>
      </w:r>
    </w:p>
    <w:p>
      <w:pPr>
        <w:spacing w:after="0" w:line="200" w:lineRule="exact"/>
        <w:rPr>
          <w:sz w:val="20"/>
          <w:szCs w:val="20"/>
          <w:color w:val="auto"/>
        </w:rPr>
      </w:pPr>
    </w:p>
    <w:p>
      <w:pPr>
        <w:spacing w:after="0" w:line="285" w:lineRule="exact"/>
        <w:rPr>
          <w:sz w:val="20"/>
          <w:szCs w:val="20"/>
          <w:color w:val="auto"/>
        </w:rPr>
      </w:pPr>
    </w:p>
    <w:p>
      <w:pPr>
        <w:ind w:left="424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5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6140" w:type="dxa"/>
            <w:vAlign w:val="bottom"/>
            <w:gridSpan w:val="3"/>
          </w:tcPr>
          <w:p>
            <w:pPr>
              <w:spacing w:after="0"/>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Table of Contents</w:t>
              </w:r>
            </w:hyperlink>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6"/>
        </w:trPr>
        <w:tc>
          <w:tcPr>
            <w:tcW w:w="2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5020" w:type="dxa"/>
            <w:vAlign w:val="bottom"/>
          </w:tcPr>
          <w:p>
            <w:pPr>
              <w:jc w:val="center"/>
              <w:ind w:left="1246"/>
              <w:spacing w:after="0"/>
              <w:rPr>
                <w:sz w:val="20"/>
                <w:szCs w:val="20"/>
                <w:color w:val="auto"/>
              </w:rPr>
            </w:pPr>
            <w:r>
              <w:rPr>
                <w:rFonts w:ascii="Arial" w:cs="Arial" w:eastAsia="Arial" w:hAnsi="Arial"/>
                <w:sz w:val="15"/>
                <w:szCs w:val="15"/>
                <w:b w:val="1"/>
                <w:bCs w:val="1"/>
                <w:color w:val="auto"/>
                <w:w w:val="87"/>
              </w:rPr>
              <w:t>Ocean Power Technologies, Inc. and Subsidiaries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20" w:type="dxa"/>
            <w:vAlign w:val="bottom"/>
          </w:tcPr>
          <w:p>
            <w:pPr>
              <w:jc w:val="center"/>
              <w:ind w:left="1246"/>
              <w:spacing w:after="0"/>
              <w:rPr>
                <w:sz w:val="20"/>
                <w:szCs w:val="20"/>
                <w:color w:val="auto"/>
              </w:rPr>
            </w:pPr>
            <w:r>
              <w:rPr>
                <w:rFonts w:ascii="Arial" w:cs="Arial" w:eastAsia="Arial" w:hAnsi="Arial"/>
                <w:sz w:val="15"/>
                <w:szCs w:val="15"/>
                <w:b w:val="1"/>
                <w:bCs w:val="1"/>
                <w:color w:val="auto"/>
                <w:w w:val="87"/>
              </w:rPr>
              <w:t>Consolidated Statements of Cash Flows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20" w:type="dxa"/>
            <w:vAlign w:val="bottom"/>
          </w:tcPr>
          <w:p>
            <w:pPr>
              <w:jc w:val="center"/>
              <w:ind w:left="1226"/>
              <w:spacing w:after="0"/>
              <w:rPr>
                <w:sz w:val="20"/>
                <w:szCs w:val="20"/>
                <w:color w:val="auto"/>
              </w:rPr>
            </w:pPr>
            <w:r>
              <w:rPr>
                <w:rFonts w:ascii="Arial" w:cs="Arial" w:eastAsia="Arial" w:hAnsi="Arial"/>
                <w:sz w:val="15"/>
                <w:szCs w:val="15"/>
                <w:b w:val="1"/>
                <w:bCs w:val="1"/>
                <w:color w:val="auto"/>
                <w:w w:val="91"/>
              </w:rPr>
              <w:t>(Unaudited)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5"/>
          </w:tcPr>
          <w:p>
            <w:pPr>
              <w:ind w:left="20"/>
              <w:spacing w:after="0"/>
              <w:rPr>
                <w:sz w:val="20"/>
                <w:szCs w:val="20"/>
                <w:color w:val="auto"/>
              </w:rPr>
            </w:pPr>
            <w:r>
              <w:rPr>
                <w:rFonts w:ascii="Arial" w:cs="Arial" w:eastAsia="Arial" w:hAnsi="Arial"/>
                <w:sz w:val="15"/>
                <w:szCs w:val="15"/>
                <w:b w:val="1"/>
                <w:bCs w:val="1"/>
                <w:color w:val="auto"/>
                <w:w w:val="94"/>
              </w:rPr>
              <w:t>Three Months Ended July 31,</w:t>
            </w: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86"/>
              <w:spacing w:after="0" w:line="170" w:lineRule="exact"/>
              <w:rPr>
                <w:sz w:val="20"/>
                <w:szCs w:val="20"/>
                <w:color w:val="auto"/>
              </w:rPr>
            </w:pPr>
            <w:r>
              <w:rPr>
                <w:rFonts w:ascii="Arial" w:cs="Arial" w:eastAsia="Arial" w:hAnsi="Arial"/>
                <w:sz w:val="15"/>
                <w:szCs w:val="15"/>
                <w:b w:val="1"/>
                <w:bCs w:val="1"/>
                <w:color w:val="auto"/>
              </w:rPr>
              <w:t>2011</w:t>
            </w:r>
          </w:p>
        </w:tc>
        <w:tc>
          <w:tcPr>
            <w:tcW w:w="300" w:type="dxa"/>
            <w:vAlign w:val="bottom"/>
            <w:tcBorders>
              <w:top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66"/>
              <w:spacing w:after="0" w:line="170" w:lineRule="exact"/>
              <w:rPr>
                <w:sz w:val="20"/>
                <w:szCs w:val="20"/>
                <w:color w:val="auto"/>
              </w:rPr>
            </w:pPr>
            <w:r>
              <w:rPr>
                <w:rFonts w:ascii="Arial" w:cs="Arial" w:eastAsia="Arial" w:hAnsi="Arial"/>
                <w:sz w:val="15"/>
                <w:szCs w:val="15"/>
                <w:b w:val="1"/>
                <w:bCs w:val="1"/>
                <w:color w:val="auto"/>
              </w:rPr>
              <w:t>2010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0" w:type="dxa"/>
            <w:vAlign w:val="bottom"/>
            <w:vMerge w:val="restart"/>
          </w:tcPr>
          <w:p>
            <w:pPr>
              <w:spacing w:after="0"/>
              <w:rPr>
                <w:sz w:val="14"/>
                <w:szCs w:val="14"/>
                <w:color w:val="auto"/>
              </w:rPr>
            </w:pPr>
          </w:p>
        </w:tc>
        <w:tc>
          <w:tcPr>
            <w:tcW w:w="8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80" w:type="dxa"/>
            <w:vAlign w:val="bottom"/>
            <w:vMerge w:val="continue"/>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flows from operating activities: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tcPr>
          <w:p>
            <w:pPr>
              <w:ind w:left="160"/>
              <w:spacing w:after="0"/>
              <w:rPr>
                <w:sz w:val="20"/>
                <w:szCs w:val="20"/>
                <w:color w:val="auto"/>
              </w:rPr>
            </w:pPr>
            <w:r>
              <w:rPr>
                <w:rFonts w:ascii="Arial" w:cs="Arial" w:eastAsia="Arial" w:hAnsi="Arial"/>
                <w:sz w:val="15"/>
                <w:szCs w:val="15"/>
                <w:color w:val="auto"/>
              </w:rPr>
              <w:t>Net loss</w:t>
            </w:r>
          </w:p>
        </w:tc>
        <w:tc>
          <w:tcPr>
            <w:tcW w:w="2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w w:val="93"/>
              </w:rPr>
              <w:t>(4,999,652)</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(6,270,072)</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tcPr>
          <w:p>
            <w:pPr>
              <w:ind w:left="340"/>
              <w:spacing w:after="0"/>
              <w:rPr>
                <w:sz w:val="20"/>
                <w:szCs w:val="20"/>
                <w:color w:val="auto"/>
              </w:rPr>
            </w:pPr>
            <w:r>
              <w:rPr>
                <w:rFonts w:ascii="Arial" w:cs="Arial" w:eastAsia="Arial" w:hAnsi="Arial"/>
                <w:sz w:val="15"/>
                <w:szCs w:val="15"/>
                <w:color w:val="auto"/>
              </w:rPr>
              <w:t>Foreign exchange loss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9,041</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239,002</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Depreciation and amortization</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99,140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92,156</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tcPr>
          <w:p>
            <w:pPr>
              <w:ind w:left="340"/>
              <w:spacing w:after="0"/>
              <w:rPr>
                <w:sz w:val="20"/>
                <w:szCs w:val="20"/>
                <w:color w:val="auto"/>
              </w:rPr>
            </w:pPr>
            <w:r>
              <w:rPr>
                <w:rFonts w:ascii="Arial" w:cs="Arial" w:eastAsia="Arial" w:hAnsi="Arial"/>
                <w:sz w:val="15"/>
                <w:szCs w:val="15"/>
                <w:color w:val="auto"/>
              </w:rPr>
              <w:t>Loss on disposals of property, plant and equipment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356</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Treasury note premium amortization</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13,914</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30,784</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tcPr>
          <w:p>
            <w:pPr>
              <w:ind w:left="340"/>
              <w:spacing w:after="0"/>
              <w:rPr>
                <w:sz w:val="20"/>
                <w:szCs w:val="20"/>
                <w:color w:val="auto"/>
              </w:rPr>
            </w:pPr>
            <w:r>
              <w:rPr>
                <w:rFonts w:ascii="Arial" w:cs="Arial" w:eastAsia="Arial" w:hAnsi="Arial"/>
                <w:sz w:val="15"/>
                <w:szCs w:val="15"/>
                <w:color w:val="auto"/>
              </w:rPr>
              <w:t>Compensation expense related to stock option grants and restricted stock</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370,882</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410,568</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Changes in operating assets and liabilities: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tcPr>
          <w:p>
            <w:pPr>
              <w:ind w:left="500"/>
              <w:spacing w:after="0"/>
              <w:rPr>
                <w:sz w:val="20"/>
                <w:szCs w:val="20"/>
                <w:color w:val="auto"/>
              </w:rPr>
            </w:pPr>
            <w:r>
              <w:rPr>
                <w:rFonts w:ascii="Arial" w:cs="Arial" w:eastAsia="Arial" w:hAnsi="Arial"/>
                <w:sz w:val="15"/>
                <w:szCs w:val="15"/>
                <w:color w:val="auto"/>
              </w:rPr>
              <w:t>Accounts receivable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282,099</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556,320</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Unbilled receivables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(865,244)</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103,687</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tcPr>
          <w:p>
            <w:pPr>
              <w:ind w:left="500"/>
              <w:spacing w:after="0"/>
              <w:rPr>
                <w:sz w:val="20"/>
                <w:szCs w:val="20"/>
                <w:color w:val="auto"/>
              </w:rPr>
            </w:pPr>
            <w:r>
              <w:rPr>
                <w:rFonts w:ascii="Arial" w:cs="Arial" w:eastAsia="Arial" w:hAnsi="Arial"/>
                <w:sz w:val="15"/>
                <w:szCs w:val="15"/>
                <w:color w:val="auto"/>
              </w:rPr>
              <w:t>Other current assets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112,335</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(1,151,380)</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Other noncurrent assets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(17,994)</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635,565</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tcPr>
          <w:p>
            <w:pPr>
              <w:ind w:left="500"/>
              <w:spacing w:after="0"/>
              <w:rPr>
                <w:sz w:val="20"/>
                <w:szCs w:val="20"/>
                <w:color w:val="auto"/>
              </w:rPr>
            </w:pPr>
            <w:r>
              <w:rPr>
                <w:rFonts w:ascii="Arial" w:cs="Arial" w:eastAsia="Arial" w:hAnsi="Arial"/>
                <w:sz w:val="15"/>
                <w:szCs w:val="15"/>
                <w:color w:val="auto"/>
              </w:rPr>
              <w:t>Accounts payable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(397,069)</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(423,257)</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Accrued expenses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(373,541)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(637,798)</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tcPr>
          <w:p>
            <w:pPr>
              <w:ind w:left="500"/>
              <w:spacing w:after="0"/>
              <w:rPr>
                <w:sz w:val="20"/>
                <w:szCs w:val="20"/>
                <w:color w:val="auto"/>
              </w:rPr>
            </w:pPr>
            <w:r>
              <w:rPr>
                <w:rFonts w:ascii="Arial" w:cs="Arial" w:eastAsia="Arial" w:hAnsi="Arial"/>
                <w:sz w:val="15"/>
                <w:szCs w:val="15"/>
                <w:color w:val="auto"/>
              </w:rPr>
              <w:t>Unearned revenues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900,540</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490,677</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Other noncurrent liabilities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(137,438)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60" w:type="dxa"/>
            <w:vAlign w:val="bottom"/>
            <w:gridSpan w:val="2"/>
            <w:vMerge w:val="restart"/>
          </w:tcPr>
          <w:p>
            <w:pPr>
              <w:ind w:left="660"/>
              <w:spacing w:after="0"/>
              <w:rPr>
                <w:sz w:val="20"/>
                <w:szCs w:val="20"/>
                <w:color w:val="auto"/>
              </w:rPr>
            </w:pPr>
            <w:r>
              <w:rPr>
                <w:rFonts w:ascii="Arial" w:cs="Arial" w:eastAsia="Arial" w:hAnsi="Arial"/>
                <w:sz w:val="15"/>
                <w:szCs w:val="15"/>
                <w:color w:val="auto"/>
              </w:rPr>
              <w:t>Net cash used in operating activities</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5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w w:val="93"/>
              </w:rPr>
              <w:t>(4,865,193)</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(6,061,186)</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flows from investing activities:</w:t>
            </w:r>
          </w:p>
        </w:tc>
        <w:tc>
          <w:tcPr>
            <w:tcW w:w="1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tcPr>
          <w:p>
            <w:pPr>
              <w:ind w:left="160"/>
              <w:spacing w:after="0"/>
              <w:rPr>
                <w:sz w:val="20"/>
                <w:szCs w:val="20"/>
                <w:color w:val="auto"/>
              </w:rPr>
            </w:pPr>
            <w:r>
              <w:rPr>
                <w:rFonts w:ascii="Arial" w:cs="Arial" w:eastAsia="Arial" w:hAnsi="Arial"/>
                <w:sz w:val="15"/>
                <w:szCs w:val="15"/>
                <w:color w:val="auto"/>
              </w:rPr>
              <w:t>Purchases of marketable securities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(271,005)</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(6,035,907)</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Maturities of marketable securities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90"/>
              </w:rPr>
              <w:t>10,000,000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11,998,844</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tcPr>
          <w:p>
            <w:pPr>
              <w:ind w:left="160"/>
              <w:spacing w:after="0"/>
              <w:rPr>
                <w:sz w:val="20"/>
                <w:szCs w:val="20"/>
                <w:color w:val="auto"/>
              </w:rPr>
            </w:pPr>
            <w:r>
              <w:rPr>
                <w:rFonts w:ascii="Arial" w:cs="Arial" w:eastAsia="Arial" w:hAnsi="Arial"/>
                <w:sz w:val="15"/>
                <w:szCs w:val="15"/>
                <w:color w:val="auto"/>
              </w:rPr>
              <w:t>Restricted cash</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(250,000)</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Purchases of equipment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(82,658)</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(21,719)</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5860" w:type="dxa"/>
            <w:vAlign w:val="bottom"/>
            <w:gridSpan w:val="2"/>
          </w:tcPr>
          <w:p>
            <w:pPr>
              <w:ind w:left="160"/>
              <w:spacing w:after="0"/>
              <w:rPr>
                <w:sz w:val="20"/>
                <w:szCs w:val="20"/>
                <w:color w:val="auto"/>
              </w:rPr>
            </w:pPr>
            <w:r>
              <w:rPr>
                <w:rFonts w:ascii="Arial" w:cs="Arial" w:eastAsia="Arial" w:hAnsi="Arial"/>
                <w:sz w:val="15"/>
                <w:szCs w:val="15"/>
                <w:color w:val="auto"/>
              </w:rPr>
              <w:t>Payments of patent costs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(56,836)</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(80,637)</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rPr>
              <w:t>Net cash provided by investing activities</w:t>
            </w:r>
          </w:p>
        </w:tc>
        <w:tc>
          <w:tcPr>
            <w:tcW w:w="160" w:type="dxa"/>
            <w:vAlign w:val="bottom"/>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9,589,501</w:t>
            </w:r>
          </w:p>
        </w:tc>
        <w:tc>
          <w:tcPr>
            <w:tcW w:w="300" w:type="dxa"/>
            <w:vAlign w:val="bottom"/>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5,610,581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gridSpan w:val="3"/>
          </w:tcPr>
          <w:p>
            <w:pPr>
              <w:ind w:left="280"/>
              <w:spacing w:after="0"/>
              <w:rPr>
                <w:sz w:val="20"/>
                <w:szCs w:val="20"/>
                <w:color w:val="auto"/>
              </w:rPr>
            </w:pPr>
            <w:r>
              <w:rPr>
                <w:rFonts w:ascii="Arial" w:cs="Arial" w:eastAsia="Arial" w:hAnsi="Arial"/>
                <w:sz w:val="15"/>
                <w:szCs w:val="15"/>
                <w:color w:val="auto"/>
              </w:rPr>
              <w:t>Cash flows from financing activities: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Proceeds from long-term debt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250,000</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tcPr>
          <w:p>
            <w:pPr>
              <w:ind w:left="160"/>
              <w:spacing w:after="0"/>
              <w:rPr>
                <w:sz w:val="20"/>
                <w:szCs w:val="20"/>
                <w:color w:val="auto"/>
              </w:rPr>
            </w:pPr>
            <w:r>
              <w:rPr>
                <w:rFonts w:ascii="Arial" w:cs="Arial" w:eastAsia="Arial" w:hAnsi="Arial"/>
                <w:sz w:val="15"/>
                <w:szCs w:val="15"/>
                <w:color w:val="auto"/>
              </w:rPr>
              <w:t>Repayment of debt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(89,378)</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(6,008)</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Acquisition of treasury stock</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(23,143)</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60" w:type="dxa"/>
            <w:vAlign w:val="bottom"/>
            <w:gridSpan w:val="2"/>
            <w:vMerge w:val="restart"/>
          </w:tcPr>
          <w:p>
            <w:pPr>
              <w:ind w:left="660"/>
              <w:spacing w:after="0"/>
              <w:rPr>
                <w:sz w:val="20"/>
                <w:szCs w:val="20"/>
                <w:color w:val="auto"/>
              </w:rPr>
            </w:pPr>
            <w:r>
              <w:rPr>
                <w:rFonts w:ascii="Arial" w:cs="Arial" w:eastAsia="Arial" w:hAnsi="Arial"/>
                <w:sz w:val="15"/>
                <w:szCs w:val="15"/>
                <w:color w:val="auto"/>
              </w:rPr>
              <w:t>Net cash (used in) provided by financing activities</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0" w:type="dxa"/>
            <w:vAlign w:val="bottom"/>
          </w:tcPr>
          <w:p>
            <w:pPr>
              <w:spacing w:after="0"/>
              <w:rPr>
                <w:sz w:val="15"/>
                <w:szCs w:val="15"/>
                <w:color w:val="auto"/>
              </w:rPr>
            </w:pPr>
          </w:p>
        </w:tc>
        <w:tc>
          <w:tcPr>
            <w:tcW w:w="5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(112,521)</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243,992</w:t>
            </w:r>
          </w:p>
        </w:tc>
        <w:tc>
          <w:tcPr>
            <w:tcW w:w="0" w:type="dxa"/>
            <w:vAlign w:val="bottom"/>
          </w:tcPr>
          <w:p>
            <w:pPr>
              <w:spacing w:after="0"/>
              <w:rPr>
                <w:sz w:val="1"/>
                <w:szCs w:val="1"/>
                <w:color w:val="auto"/>
              </w:rPr>
            </w:pPr>
          </w:p>
        </w:tc>
      </w:tr>
      <w:tr>
        <w:trPr>
          <w:trHeight w:val="23"/>
        </w:trPr>
        <w:tc>
          <w:tcPr>
            <w:tcW w:w="28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80" w:type="dxa"/>
            <w:vAlign w:val="bottom"/>
            <w:vMerge w:val="continue"/>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(89,222)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(104,384)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860" w:type="dxa"/>
            <w:vAlign w:val="bottom"/>
            <w:gridSpan w:val="2"/>
            <w:vMerge w:val="restart"/>
          </w:tcPr>
          <w:p>
            <w:pPr>
              <w:ind w:left="660"/>
              <w:spacing w:after="0"/>
              <w:rPr>
                <w:sz w:val="20"/>
                <w:szCs w:val="20"/>
                <w:color w:val="auto"/>
              </w:rPr>
            </w:pPr>
            <w:r>
              <w:rPr>
                <w:rFonts w:ascii="Arial" w:cs="Arial" w:eastAsia="Arial" w:hAnsi="Arial"/>
                <w:sz w:val="15"/>
                <w:szCs w:val="15"/>
                <w:color w:val="auto"/>
              </w:rPr>
              <w:t>Net increase (decrease) in cash and cash equivalents</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0" w:type="dxa"/>
            <w:vAlign w:val="bottom"/>
          </w:tcPr>
          <w:p>
            <w:pPr>
              <w:spacing w:after="0"/>
              <w:rPr>
                <w:sz w:val="15"/>
                <w:szCs w:val="15"/>
                <w:color w:val="auto"/>
              </w:rPr>
            </w:pPr>
          </w:p>
        </w:tc>
        <w:tc>
          <w:tcPr>
            <w:tcW w:w="5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4,522,565</w:t>
            </w:r>
          </w:p>
        </w:tc>
        <w:tc>
          <w:tcPr>
            <w:tcW w:w="30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(310,997)</w:t>
            </w: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 beginning of period</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4,376,136</w:t>
            </w:r>
          </w:p>
        </w:tc>
        <w:tc>
          <w:tcPr>
            <w:tcW w:w="3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4,236,597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gridSpan w:val="3"/>
          </w:tcPr>
          <w:p>
            <w:pPr>
              <w:ind w:left="280"/>
              <w:spacing w:after="0"/>
              <w:rPr>
                <w:sz w:val="20"/>
                <w:szCs w:val="20"/>
                <w:color w:val="auto"/>
              </w:rPr>
            </w:pPr>
            <w:r>
              <w:rPr>
                <w:rFonts w:ascii="Arial" w:cs="Arial" w:eastAsia="Arial" w:hAnsi="Arial"/>
                <w:sz w:val="15"/>
                <w:szCs w:val="15"/>
                <w:color w:val="auto"/>
              </w:rPr>
              <w:t>Cash and cash equivalents, end of period</w:t>
            </w:r>
          </w:p>
        </w:tc>
        <w:tc>
          <w:tcPr>
            <w:tcW w:w="2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8,898,701</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3,925,600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0" w:type="dxa"/>
            <w:vAlign w:val="bottom"/>
            <w:vMerge w:val="restart"/>
          </w:tcPr>
          <w:p>
            <w:pPr>
              <w:spacing w:after="0"/>
              <w:rPr>
                <w:sz w:val="14"/>
                <w:szCs w:val="14"/>
                <w:color w:val="auto"/>
              </w:rPr>
            </w:pPr>
          </w:p>
        </w:tc>
        <w:tc>
          <w:tcPr>
            <w:tcW w:w="8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80" w:type="dxa"/>
            <w:vAlign w:val="bottom"/>
            <w:vMerge w:val="continue"/>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Supplemental disclosure of noncash investing and financing activities: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tcPr>
          <w:p>
            <w:pPr>
              <w:ind w:left="160"/>
              <w:spacing w:after="0"/>
              <w:rPr>
                <w:sz w:val="20"/>
                <w:szCs w:val="20"/>
                <w:color w:val="auto"/>
              </w:rPr>
            </w:pPr>
            <w:r>
              <w:rPr>
                <w:rFonts w:ascii="Arial" w:cs="Arial" w:eastAsia="Arial" w:hAnsi="Arial"/>
                <w:sz w:val="15"/>
                <w:szCs w:val="15"/>
                <w:color w:val="auto"/>
              </w:rPr>
              <w:t>Capitalized patent costs financed through accounts payable and accrued expenses</w:t>
            </w:r>
          </w:p>
        </w:tc>
        <w:tc>
          <w:tcPr>
            <w:tcW w:w="2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24,332</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7,832</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90"/>
              </w:rPr>
              <w:t>Capitalized purchases of equipment financed through accounts payable and accrued expenses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19,795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See accompanying notes to consolidated financial statements (unaudited).</w:t>
      </w:r>
    </w:p>
    <w:p>
      <w:pPr>
        <w:spacing w:after="0" w:line="200" w:lineRule="exact"/>
        <w:rPr>
          <w:sz w:val="20"/>
          <w:szCs w:val="20"/>
          <w:color w:val="auto"/>
        </w:rPr>
      </w:pPr>
    </w:p>
    <w:p>
      <w:pPr>
        <w:spacing w:after="0" w:line="285" w:lineRule="exact"/>
        <w:rPr>
          <w:sz w:val="20"/>
          <w:szCs w:val="20"/>
          <w:color w:val="auto"/>
        </w:rPr>
      </w:pPr>
    </w:p>
    <w:p>
      <w:pPr>
        <w:ind w:left="424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5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2"/>
        </w:trPr>
        <w:tc>
          <w:tcPr>
            <w:tcW w:w="2420" w:type="dxa"/>
            <w:vAlign w:val="bottom"/>
            <w:gridSpan w:val="2"/>
          </w:tcPr>
          <w:p>
            <w:pPr>
              <w:spacing w:after="0"/>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Table of Contents</w:t>
              </w:r>
            </w:hyperlink>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6"/>
        </w:trPr>
        <w:tc>
          <w:tcPr>
            <w:tcW w:w="112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gridSpan w:val="11"/>
          </w:tcPr>
          <w:p>
            <w:pPr>
              <w:jc w:val="center"/>
              <w:ind w:right="620"/>
              <w:spacing w:after="0"/>
              <w:rPr>
                <w:sz w:val="20"/>
                <w:szCs w:val="20"/>
                <w:color w:val="auto"/>
              </w:rPr>
            </w:pPr>
            <w:r>
              <w:rPr>
                <w:rFonts w:ascii="Arial" w:cs="Arial" w:eastAsia="Arial" w:hAnsi="Arial"/>
                <w:sz w:val="15"/>
                <w:szCs w:val="15"/>
                <w:b w:val="1"/>
                <w:bCs w:val="1"/>
                <w:color w:val="auto"/>
                <w:w w:val="87"/>
              </w:rPr>
              <w:t>Ocean Power Technologies, Inc. and Subsidiaries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gridSpan w:val="11"/>
          </w:tcPr>
          <w:p>
            <w:pPr>
              <w:jc w:val="center"/>
              <w:ind w:right="620"/>
              <w:spacing w:after="0"/>
              <w:rPr>
                <w:sz w:val="20"/>
                <w:szCs w:val="20"/>
                <w:color w:val="auto"/>
              </w:rPr>
            </w:pPr>
            <w:r>
              <w:rPr>
                <w:rFonts w:ascii="Arial" w:cs="Arial" w:eastAsia="Arial" w:hAnsi="Arial"/>
                <w:sz w:val="15"/>
                <w:szCs w:val="15"/>
                <w:b w:val="1"/>
                <w:bCs w:val="1"/>
                <w:color w:val="auto"/>
                <w:w w:val="88"/>
              </w:rPr>
              <w:t>Consolidated Statements of Stockholders’ Equity and</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gridSpan w:val="5"/>
          </w:tcPr>
          <w:p>
            <w:pPr>
              <w:jc w:val="center"/>
              <w:ind w:right="680"/>
              <w:spacing w:after="0"/>
              <w:rPr>
                <w:sz w:val="20"/>
                <w:szCs w:val="20"/>
                <w:color w:val="auto"/>
              </w:rPr>
            </w:pPr>
            <w:r>
              <w:rPr>
                <w:rFonts w:ascii="Arial" w:cs="Arial" w:eastAsia="Arial" w:hAnsi="Arial"/>
                <w:sz w:val="15"/>
                <w:szCs w:val="15"/>
                <w:b w:val="1"/>
                <w:bCs w:val="1"/>
                <w:color w:val="auto"/>
                <w:w w:val="86"/>
              </w:rPr>
              <w:t>Comprehensive Loss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jc w:val="center"/>
              <w:ind w:right="780"/>
              <w:spacing w:after="0"/>
              <w:rPr>
                <w:sz w:val="20"/>
                <w:szCs w:val="20"/>
                <w:color w:val="auto"/>
              </w:rPr>
            </w:pPr>
            <w:r>
              <w:rPr>
                <w:rFonts w:ascii="Arial" w:cs="Arial" w:eastAsia="Arial" w:hAnsi="Arial"/>
                <w:sz w:val="15"/>
                <w:szCs w:val="15"/>
                <w:b w:val="1"/>
                <w:bCs w:val="1"/>
                <w:color w:val="auto"/>
                <w:w w:val="91"/>
              </w:rPr>
              <w:t>(Unaudited)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Accumulated</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60" w:type="dxa"/>
            <w:vAlign w:val="bottom"/>
            <w:gridSpan w:val="4"/>
            <w:vMerge w:val="restart"/>
          </w:tcPr>
          <w:p>
            <w:pPr>
              <w:ind w:left="160"/>
              <w:spacing w:after="0"/>
              <w:rPr>
                <w:sz w:val="20"/>
                <w:szCs w:val="20"/>
                <w:color w:val="auto"/>
              </w:rPr>
            </w:pPr>
            <w:r>
              <w:rPr>
                <w:rFonts w:ascii="Arial" w:cs="Arial" w:eastAsia="Arial" w:hAnsi="Arial"/>
                <w:sz w:val="15"/>
                <w:szCs w:val="15"/>
                <w:b w:val="1"/>
                <w:bCs w:val="1"/>
                <w:color w:val="auto"/>
              </w:rPr>
              <w:t>Common Shares</w:t>
            </w:r>
          </w:p>
        </w:tc>
        <w:tc>
          <w:tcPr>
            <w:tcW w:w="1260" w:type="dxa"/>
            <w:vAlign w:val="bottom"/>
            <w:gridSpan w:val="5"/>
            <w:vMerge w:val="restart"/>
          </w:tcPr>
          <w:p>
            <w:pPr>
              <w:jc w:val="right"/>
              <w:ind w:right="86"/>
              <w:spacing w:after="0"/>
              <w:rPr>
                <w:sz w:val="20"/>
                <w:szCs w:val="20"/>
                <w:color w:val="auto"/>
              </w:rPr>
            </w:pPr>
            <w:r>
              <w:rPr>
                <w:rFonts w:ascii="Arial" w:cs="Arial" w:eastAsia="Arial" w:hAnsi="Arial"/>
                <w:sz w:val="15"/>
                <w:szCs w:val="15"/>
                <w:b w:val="1"/>
                <w:bCs w:val="1"/>
                <w:color w:val="auto"/>
                <w:w w:val="91"/>
              </w:rPr>
              <w:t>Treasury Shares</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w w:val="95"/>
              </w:rPr>
              <w:t>Additional</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4"/>
              </w:rPr>
              <w:t>Other</w:t>
            </w:r>
          </w:p>
        </w:tc>
        <w:tc>
          <w:tcPr>
            <w:tcW w:w="13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8"/>
              </w:rPr>
              <w:t>Total Ocean Power</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1260" w:type="dxa"/>
            <w:vAlign w:val="bottom"/>
            <w:gridSpan w:val="5"/>
            <w:vMerge w:val="continue"/>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Paid-In</w:t>
            </w:r>
          </w:p>
        </w:tc>
        <w:tc>
          <w:tcPr>
            <w:tcW w:w="11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w w:val="95"/>
              </w:rPr>
              <w:t>Accumulated</w:t>
            </w:r>
          </w:p>
        </w:tc>
        <w:tc>
          <w:tcPr>
            <w:tcW w:w="10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7"/>
              </w:rPr>
              <w:t>Comprehensive</w:t>
            </w:r>
          </w:p>
        </w:tc>
        <w:tc>
          <w:tcPr>
            <w:tcW w:w="13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5"/>
              </w:rPr>
              <w:t>Technologies, Inc,</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w w:val="88"/>
              </w:rPr>
              <w:t>Noncontrolling</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Borders>
              <w:top w:val="single" w:sz="8" w:color="auto"/>
            </w:tcBorders>
            <w:gridSpan w:val="2"/>
          </w:tcPr>
          <w:p>
            <w:pPr>
              <w:ind w:left="140"/>
              <w:spacing w:after="0" w:line="169" w:lineRule="exact"/>
              <w:rPr>
                <w:sz w:val="20"/>
                <w:szCs w:val="20"/>
                <w:color w:val="auto"/>
              </w:rPr>
            </w:pPr>
            <w:r>
              <w:rPr>
                <w:rFonts w:ascii="Arial" w:cs="Arial" w:eastAsia="Arial" w:hAnsi="Arial"/>
                <w:sz w:val="15"/>
                <w:szCs w:val="15"/>
                <w:b w:val="1"/>
                <w:bCs w:val="1"/>
                <w:color w:val="auto"/>
              </w:rPr>
              <w:t>Shares</w:t>
            </w:r>
          </w:p>
        </w:tc>
        <w:tc>
          <w:tcPr>
            <w:tcW w:w="5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88"/>
              </w:rPr>
              <w:t>Amount</w:t>
            </w:r>
          </w:p>
        </w:tc>
        <w:tc>
          <w:tcPr>
            <w:tcW w:w="100" w:type="dxa"/>
            <w:vAlign w:val="bottom"/>
          </w:tcPr>
          <w:p>
            <w:pPr>
              <w:spacing w:after="0"/>
              <w:rPr>
                <w:sz w:val="14"/>
                <w:szCs w:val="14"/>
                <w:color w:val="auto"/>
              </w:rPr>
            </w:pPr>
          </w:p>
        </w:tc>
        <w:tc>
          <w:tcPr>
            <w:tcW w:w="600" w:type="dxa"/>
            <w:vAlign w:val="bottom"/>
            <w:tcBorders>
              <w:top w:val="single" w:sz="8" w:color="auto"/>
            </w:tcBorders>
            <w:gridSpan w:val="2"/>
          </w:tcPr>
          <w:p>
            <w:pPr>
              <w:jc w:val="right"/>
              <w:ind w:right="140"/>
              <w:spacing w:after="0" w:line="169" w:lineRule="exact"/>
              <w:rPr>
                <w:sz w:val="20"/>
                <w:szCs w:val="20"/>
                <w:color w:val="auto"/>
              </w:rPr>
            </w:pPr>
            <w:r>
              <w:rPr>
                <w:rFonts w:ascii="Arial" w:cs="Arial" w:eastAsia="Arial" w:hAnsi="Arial"/>
                <w:sz w:val="15"/>
                <w:szCs w:val="15"/>
                <w:b w:val="1"/>
                <w:bCs w:val="1"/>
                <w:color w:val="auto"/>
                <w:w w:val="87"/>
              </w:rPr>
              <w:t>Shares</w:t>
            </w:r>
          </w:p>
        </w:tc>
        <w:tc>
          <w:tcPr>
            <w:tcW w:w="56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w w:val="91"/>
              </w:rPr>
              <w:t>Amount</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line="169" w:lineRule="exact"/>
              <w:rPr>
                <w:sz w:val="20"/>
                <w:szCs w:val="20"/>
                <w:color w:val="auto"/>
              </w:rPr>
            </w:pPr>
            <w:r>
              <w:rPr>
                <w:rFonts w:ascii="Arial" w:cs="Arial" w:eastAsia="Arial" w:hAnsi="Arial"/>
                <w:sz w:val="15"/>
                <w:szCs w:val="15"/>
                <w:b w:val="1"/>
                <w:bCs w:val="1"/>
                <w:color w:val="auto"/>
              </w:rPr>
              <w:t>Capital</w:t>
            </w:r>
          </w:p>
        </w:tc>
        <w:tc>
          <w:tcPr>
            <w:tcW w:w="1100" w:type="dxa"/>
            <w:vAlign w:val="bottom"/>
            <w:gridSpan w:val="2"/>
          </w:tcPr>
          <w:p>
            <w:pPr>
              <w:jc w:val="right"/>
              <w:ind w:right="400"/>
              <w:spacing w:after="0" w:line="169" w:lineRule="exact"/>
              <w:rPr>
                <w:sz w:val="20"/>
                <w:szCs w:val="20"/>
                <w:color w:val="auto"/>
              </w:rPr>
            </w:pPr>
            <w:r>
              <w:rPr>
                <w:rFonts w:ascii="Arial" w:cs="Arial" w:eastAsia="Arial" w:hAnsi="Arial"/>
                <w:sz w:val="15"/>
                <w:szCs w:val="15"/>
                <w:b w:val="1"/>
                <w:bCs w:val="1"/>
                <w:color w:val="auto"/>
              </w:rPr>
              <w:t>Deficit</w:t>
            </w:r>
          </w:p>
        </w:tc>
        <w:tc>
          <w:tcPr>
            <w:tcW w:w="1080" w:type="dxa"/>
            <w:vAlign w:val="bottom"/>
            <w:gridSpan w:val="2"/>
          </w:tcPr>
          <w:p>
            <w:pPr>
              <w:jc w:val="center"/>
              <w:ind w:right="120"/>
              <w:spacing w:after="0" w:line="169" w:lineRule="exact"/>
              <w:rPr>
                <w:sz w:val="20"/>
                <w:szCs w:val="20"/>
                <w:color w:val="auto"/>
              </w:rPr>
            </w:pPr>
            <w:r>
              <w:rPr>
                <w:rFonts w:ascii="Arial" w:cs="Arial" w:eastAsia="Arial" w:hAnsi="Arial"/>
                <w:sz w:val="15"/>
                <w:szCs w:val="15"/>
                <w:b w:val="1"/>
                <w:bCs w:val="1"/>
                <w:color w:val="auto"/>
                <w:w w:val="79"/>
              </w:rPr>
              <w:t>Loss</w:t>
            </w:r>
          </w:p>
        </w:tc>
        <w:tc>
          <w:tcPr>
            <w:tcW w:w="1380" w:type="dxa"/>
            <w:vAlign w:val="bottom"/>
            <w:gridSpan w:val="2"/>
          </w:tcPr>
          <w:p>
            <w:pPr>
              <w:jc w:val="center"/>
              <w:ind w:right="100"/>
              <w:spacing w:after="0" w:line="169" w:lineRule="exact"/>
              <w:rPr>
                <w:sz w:val="20"/>
                <w:szCs w:val="20"/>
                <w:color w:val="auto"/>
              </w:rPr>
            </w:pPr>
            <w:r>
              <w:rPr>
                <w:rFonts w:ascii="Arial" w:cs="Arial" w:eastAsia="Arial" w:hAnsi="Arial"/>
                <w:sz w:val="15"/>
                <w:szCs w:val="15"/>
                <w:b w:val="1"/>
                <w:bCs w:val="1"/>
                <w:color w:val="auto"/>
                <w:w w:val="88"/>
              </w:rPr>
              <w:t>Stockholders Equity</w:t>
            </w:r>
          </w:p>
        </w:tc>
        <w:tc>
          <w:tcPr>
            <w:tcW w:w="1060" w:type="dxa"/>
            <w:vAlign w:val="bottom"/>
            <w:gridSpan w:val="2"/>
          </w:tcPr>
          <w:p>
            <w:pPr>
              <w:jc w:val="right"/>
              <w:ind w:right="340"/>
              <w:spacing w:after="0" w:line="169" w:lineRule="exact"/>
              <w:rPr>
                <w:sz w:val="20"/>
                <w:szCs w:val="20"/>
                <w:color w:val="auto"/>
              </w:rPr>
            </w:pPr>
            <w:r>
              <w:rPr>
                <w:rFonts w:ascii="Arial" w:cs="Arial" w:eastAsia="Arial" w:hAnsi="Arial"/>
                <w:sz w:val="15"/>
                <w:szCs w:val="15"/>
                <w:b w:val="1"/>
                <w:bCs w:val="1"/>
                <w:color w:val="auto"/>
              </w:rPr>
              <w:t>Interest</w:t>
            </w:r>
          </w:p>
        </w:tc>
        <w:tc>
          <w:tcPr>
            <w:tcW w:w="900" w:type="dxa"/>
            <w:vAlign w:val="bottom"/>
            <w:gridSpan w:val="2"/>
          </w:tcPr>
          <w:p>
            <w:pPr>
              <w:jc w:val="right"/>
              <w:ind w:right="80"/>
              <w:spacing w:after="0" w:line="169" w:lineRule="exact"/>
              <w:rPr>
                <w:sz w:val="20"/>
                <w:szCs w:val="20"/>
                <w:color w:val="auto"/>
              </w:rPr>
            </w:pPr>
            <w:r>
              <w:rPr>
                <w:rFonts w:ascii="Arial" w:cs="Arial" w:eastAsia="Arial" w:hAnsi="Arial"/>
                <w:sz w:val="15"/>
                <w:szCs w:val="15"/>
                <w:b w:val="1"/>
                <w:bCs w:val="1"/>
                <w:color w:val="auto"/>
                <w:w w:val="93"/>
              </w:rPr>
              <w:t>Total Equity</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Balance, April 30, 2010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3"/>
              </w:rPr>
              <w:t>10,390,563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8"/>
              </w:rPr>
              <w:t>$ 10,391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(6,443)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1"/>
              </w:rPr>
              <w:t>155,726,672</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(90,413,098)</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(503,322)</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64,814,200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40,890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64,855,090</w:t>
            </w:r>
          </w:p>
        </w:tc>
        <w:tc>
          <w:tcPr>
            <w:tcW w:w="0" w:type="dxa"/>
            <w:vAlign w:val="bottom"/>
          </w:tcPr>
          <w:p>
            <w:pPr>
              <w:spacing w:after="0"/>
              <w:rPr>
                <w:sz w:val="1"/>
                <w:szCs w:val="1"/>
                <w:color w:val="auto"/>
              </w:rPr>
            </w:pPr>
          </w:p>
        </w:tc>
      </w:tr>
      <w:tr>
        <w:trPr>
          <w:trHeight w:val="178"/>
        </w:trPr>
        <w:tc>
          <w:tcPr>
            <w:tcW w:w="242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(6,266,593)</w:t>
            </w: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5"/>
                <w:szCs w:val="15"/>
                <w:color w:val="auto"/>
              </w:rPr>
              <w:t>(6,266,593)</w:t>
            </w: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(3,479)</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(6,270,072)</w:t>
            </w:r>
          </w:p>
        </w:tc>
        <w:tc>
          <w:tcPr>
            <w:tcW w:w="0" w:type="dxa"/>
            <w:vAlign w:val="bottom"/>
          </w:tcPr>
          <w:p>
            <w:pPr>
              <w:spacing w:after="0"/>
              <w:rPr>
                <w:sz w:val="1"/>
                <w:szCs w:val="1"/>
                <w:color w:val="auto"/>
              </w:rPr>
            </w:pPr>
          </w:p>
        </w:tc>
      </w:tr>
      <w:tr>
        <w:trPr>
          <w:trHeight w:val="178"/>
        </w:trPr>
        <w:tc>
          <w:tcPr>
            <w:tcW w:w="242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1"/>
              </w:rPr>
              <w:t>Foreign currency translation adjustment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132,920</w:t>
            </w: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132,920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(1,285)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131,635</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ind w:left="180"/>
              <w:spacing w:after="0"/>
              <w:rPr>
                <w:sz w:val="20"/>
                <w:szCs w:val="20"/>
                <w:color w:val="auto"/>
              </w:rPr>
            </w:pPr>
            <w:r>
              <w:rPr>
                <w:rFonts w:ascii="Arial" w:cs="Arial" w:eastAsia="Arial" w:hAnsi="Arial"/>
                <w:sz w:val="15"/>
                <w:szCs w:val="15"/>
                <w:color w:val="auto"/>
              </w:rPr>
              <w:t>Total comprehensive loss</w:t>
            </w: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2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5"/>
                <w:szCs w:val="15"/>
                <w:color w:val="auto"/>
              </w:rPr>
              <w:t>(6,133,673)</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(6,138,437)</w:t>
            </w:r>
          </w:p>
        </w:tc>
        <w:tc>
          <w:tcPr>
            <w:tcW w:w="0" w:type="dxa"/>
            <w:vAlign w:val="bottom"/>
          </w:tcPr>
          <w:p>
            <w:pPr>
              <w:spacing w:after="0"/>
              <w:rPr>
                <w:sz w:val="1"/>
                <w:szCs w:val="1"/>
                <w:color w:val="auto"/>
              </w:rPr>
            </w:pPr>
          </w:p>
        </w:tc>
      </w:tr>
      <w:tr>
        <w:trPr>
          <w:trHeight w:val="178"/>
        </w:trPr>
        <w:tc>
          <w:tcPr>
            <w:tcW w:w="2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Stock based compensation</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301,292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410,568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410,568</w:t>
            </w:r>
          </w:p>
        </w:tc>
        <w:tc>
          <w:tcPr>
            <w:tcW w:w="0" w:type="dxa"/>
            <w:vAlign w:val="bottom"/>
          </w:tcPr>
          <w:p>
            <w:pPr>
              <w:spacing w:after="0"/>
              <w:rPr>
                <w:sz w:val="1"/>
                <w:szCs w:val="1"/>
                <w:color w:val="auto"/>
              </w:rPr>
            </w:pPr>
          </w:p>
        </w:tc>
      </w:tr>
      <w:tr>
        <w:trPr>
          <w:trHeight w:val="168"/>
        </w:trPr>
        <w:tc>
          <w:tcPr>
            <w:tcW w:w="2420" w:type="dxa"/>
            <w:vAlign w:val="bottom"/>
            <w:gridSpan w:val="2"/>
          </w:tcPr>
          <w:p>
            <w:pPr>
              <w:spacing w:after="0" w:line="168" w:lineRule="exact"/>
              <w:rPr>
                <w:sz w:val="20"/>
                <w:szCs w:val="20"/>
                <w:color w:val="auto"/>
              </w:rPr>
            </w:pPr>
            <w:r>
              <w:rPr>
                <w:rFonts w:ascii="Arial" w:cs="Arial" w:eastAsia="Arial" w:hAnsi="Arial"/>
                <w:sz w:val="15"/>
                <w:szCs w:val="15"/>
                <w:color w:val="auto"/>
                <w:w w:val="92"/>
              </w:rPr>
              <w:t>Issuance (forfeiture) of restricted stock,</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180"/>
              <w:spacing w:after="0"/>
              <w:rPr>
                <w:sz w:val="20"/>
                <w:szCs w:val="20"/>
                <w:color w:val="auto"/>
              </w:rPr>
            </w:pPr>
            <w:r>
              <w:rPr>
                <w:rFonts w:ascii="Arial" w:cs="Arial" w:eastAsia="Arial" w:hAnsi="Arial"/>
                <w:sz w:val="15"/>
                <w:szCs w:val="15"/>
                <w:color w:val="auto"/>
              </w:rPr>
              <w:t>net</w:t>
            </w:r>
          </w:p>
        </w:tc>
        <w:tc>
          <w:tcPr>
            <w:tcW w:w="720" w:type="dxa"/>
            <w:vAlign w:val="bottom"/>
          </w:tcPr>
          <w:p>
            <w:pPr>
              <w:jc w:val="right"/>
              <w:spacing w:after="0"/>
              <w:rPr>
                <w:sz w:val="20"/>
                <w:szCs w:val="20"/>
                <w:color w:val="auto"/>
              </w:rPr>
            </w:pPr>
            <w:r>
              <w:rPr>
                <w:rFonts w:ascii="Arial" w:cs="Arial" w:eastAsia="Arial" w:hAnsi="Arial"/>
                <w:sz w:val="15"/>
                <w:szCs w:val="15"/>
                <w:color w:val="auto"/>
              </w:rPr>
              <w:t>21,000</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8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109,255</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Balance, July 31, 2010</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10,411,563</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$ 10,412</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(6,443)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1"/>
              </w:rPr>
              <w:t>156,137,219</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(96,679,691)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(370,402)</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59,091,095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36,126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59,127,221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420" w:type="dxa"/>
            <w:vAlign w:val="bottom"/>
            <w:gridSpan w:val="2"/>
          </w:tcPr>
          <w:p>
            <w:pPr>
              <w:spacing w:after="0"/>
              <w:rPr>
                <w:sz w:val="20"/>
                <w:szCs w:val="20"/>
                <w:color w:val="auto"/>
              </w:rPr>
            </w:pPr>
            <w:r>
              <w:rPr>
                <w:rFonts w:ascii="Arial" w:cs="Arial" w:eastAsia="Arial" w:hAnsi="Arial"/>
                <w:sz w:val="15"/>
                <w:szCs w:val="15"/>
                <w:color w:val="auto"/>
              </w:rPr>
              <w:t>Balance, April 30, 2011</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w w:val="93"/>
              </w:rPr>
              <w:t>10,419,183</w:t>
            </w: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w w:val="88"/>
              </w:rPr>
              <w:t>$ 10,419</w:t>
            </w: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(7,685)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w w:val="89"/>
              </w:rPr>
              <w:t>(42,734)</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w w:val="91"/>
              </w:rPr>
              <w:t>157,174,930</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(110,848,972)</w:t>
            </w:r>
          </w:p>
        </w:tc>
        <w:tc>
          <w:tcPr>
            <w:tcW w:w="980" w:type="dxa"/>
            <w:vAlign w:val="bottom"/>
          </w:tcPr>
          <w:p>
            <w:pPr>
              <w:jc w:val="right"/>
              <w:spacing w:after="0"/>
              <w:rPr>
                <w:sz w:val="20"/>
                <w:szCs w:val="20"/>
                <w:color w:val="auto"/>
              </w:rPr>
            </w:pPr>
            <w:r>
              <w:rPr>
                <w:rFonts w:ascii="Arial" w:cs="Arial" w:eastAsia="Arial" w:hAnsi="Arial"/>
                <w:sz w:val="15"/>
                <w:szCs w:val="15"/>
                <w:color w:val="auto"/>
              </w:rPr>
              <w:t>175,907</w:t>
            </w:r>
          </w:p>
        </w:tc>
        <w:tc>
          <w:tcPr>
            <w:tcW w:w="10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5"/>
                <w:szCs w:val="15"/>
                <w:color w:val="auto"/>
              </w:rPr>
              <w:t>46,469,550</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21,948</w:t>
            </w: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46,491,498</w:t>
            </w:r>
          </w:p>
        </w:tc>
        <w:tc>
          <w:tcPr>
            <w:tcW w:w="0" w:type="dxa"/>
            <w:vAlign w:val="bottom"/>
          </w:tcPr>
          <w:p>
            <w:pPr>
              <w:spacing w:after="0"/>
              <w:rPr>
                <w:sz w:val="1"/>
                <w:szCs w:val="1"/>
                <w:color w:val="auto"/>
              </w:rPr>
            </w:pPr>
          </w:p>
        </w:tc>
      </w:tr>
      <w:tr>
        <w:trPr>
          <w:trHeight w:val="178"/>
        </w:trPr>
        <w:tc>
          <w:tcPr>
            <w:tcW w:w="2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(4,995,064)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(4,995,064)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(4,999,652)</w:t>
            </w:r>
          </w:p>
        </w:tc>
        <w:tc>
          <w:tcPr>
            <w:tcW w:w="0" w:type="dxa"/>
            <w:vAlign w:val="bottom"/>
          </w:tcPr>
          <w:p>
            <w:pPr>
              <w:spacing w:after="0"/>
              <w:rPr>
                <w:sz w:val="1"/>
                <w:szCs w:val="1"/>
                <w:color w:val="auto"/>
              </w:rPr>
            </w:pPr>
          </w:p>
        </w:tc>
      </w:tr>
      <w:tr>
        <w:trPr>
          <w:trHeight w:val="178"/>
        </w:trPr>
        <w:tc>
          <w:tcPr>
            <w:tcW w:w="2420" w:type="dxa"/>
            <w:vAlign w:val="bottom"/>
            <w:gridSpan w:val="2"/>
          </w:tcPr>
          <w:p>
            <w:pPr>
              <w:spacing w:after="0"/>
              <w:rPr>
                <w:sz w:val="20"/>
                <w:szCs w:val="20"/>
                <w:color w:val="auto"/>
              </w:rPr>
            </w:pPr>
            <w:r>
              <w:rPr>
                <w:rFonts w:ascii="Arial" w:cs="Arial" w:eastAsia="Arial" w:hAnsi="Arial"/>
                <w:sz w:val="15"/>
                <w:szCs w:val="15"/>
                <w:color w:val="auto"/>
                <w:w w:val="91"/>
              </w:rPr>
              <w:t>Foreign currency translation adjustment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5"/>
                <w:szCs w:val="15"/>
                <w:color w:val="auto"/>
              </w:rPr>
              <w:t>(90,072)</w:t>
            </w:r>
          </w:p>
        </w:tc>
        <w:tc>
          <w:tcPr>
            <w:tcW w:w="1380" w:type="dxa"/>
            <w:vAlign w:val="bottom"/>
            <w:gridSpan w:val="2"/>
          </w:tcPr>
          <w:p>
            <w:pPr>
              <w:jc w:val="right"/>
              <w:ind w:right="40"/>
              <w:spacing w:after="0"/>
              <w:rPr>
                <w:sz w:val="20"/>
                <w:szCs w:val="20"/>
                <w:color w:val="auto"/>
              </w:rPr>
            </w:pPr>
            <w:r>
              <w:rPr>
                <w:rFonts w:ascii="Arial" w:cs="Arial" w:eastAsia="Arial" w:hAnsi="Arial"/>
                <w:sz w:val="15"/>
                <w:szCs w:val="15"/>
                <w:color w:val="auto"/>
              </w:rPr>
              <w:t>(90,072)</w:t>
            </w: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(7)</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(90,079)</w:t>
            </w: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Total comprehensive loss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(5,085,136)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(5,089,731)</w:t>
            </w:r>
          </w:p>
        </w:tc>
        <w:tc>
          <w:tcPr>
            <w:tcW w:w="0" w:type="dxa"/>
            <w:vAlign w:val="bottom"/>
          </w:tcPr>
          <w:p>
            <w:pPr>
              <w:spacing w:after="0"/>
              <w:rPr>
                <w:sz w:val="1"/>
                <w:szCs w:val="1"/>
                <w:color w:val="auto"/>
              </w:rPr>
            </w:pPr>
          </w:p>
        </w:tc>
      </w:tr>
      <w:tr>
        <w:trPr>
          <w:trHeight w:val="178"/>
        </w:trPr>
        <w:tc>
          <w:tcPr>
            <w:tcW w:w="2420" w:type="dxa"/>
            <w:vAlign w:val="bottom"/>
            <w:gridSpan w:val="2"/>
          </w:tcPr>
          <w:p>
            <w:pPr>
              <w:spacing w:after="0"/>
              <w:rPr>
                <w:sz w:val="20"/>
                <w:szCs w:val="20"/>
                <w:color w:val="auto"/>
              </w:rPr>
            </w:pPr>
            <w:r>
              <w:rPr>
                <w:rFonts w:ascii="Arial" w:cs="Arial" w:eastAsia="Arial" w:hAnsi="Arial"/>
                <w:sz w:val="15"/>
                <w:szCs w:val="15"/>
                <w:color w:val="auto"/>
              </w:rPr>
              <w:t>Stock based compensation</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26"/>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316,462</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5"/>
                <w:szCs w:val="15"/>
                <w:color w:val="auto"/>
              </w:rPr>
              <w:t>316,462</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316,462</w:t>
            </w:r>
          </w:p>
        </w:tc>
        <w:tc>
          <w:tcPr>
            <w:tcW w:w="0" w:type="dxa"/>
            <w:vAlign w:val="bottom"/>
          </w:tcPr>
          <w:p>
            <w:pPr>
              <w:spacing w:after="0"/>
              <w:rPr>
                <w:sz w:val="1"/>
                <w:szCs w:val="1"/>
                <w:color w:val="auto"/>
              </w:rPr>
            </w:pPr>
          </w:p>
        </w:tc>
      </w:tr>
      <w:tr>
        <w:trPr>
          <w:trHeight w:val="168"/>
        </w:trPr>
        <w:tc>
          <w:tcPr>
            <w:tcW w:w="2420" w:type="dxa"/>
            <w:vAlign w:val="bottom"/>
            <w:gridSpan w:val="2"/>
            <w:shd w:val="clear" w:color="auto" w:fill="CCEEFF"/>
          </w:tcPr>
          <w:p>
            <w:pPr>
              <w:spacing w:after="0" w:line="168" w:lineRule="exact"/>
              <w:rPr>
                <w:sz w:val="20"/>
                <w:szCs w:val="20"/>
                <w:color w:val="auto"/>
              </w:rPr>
            </w:pPr>
            <w:r>
              <w:rPr>
                <w:rFonts w:ascii="Arial" w:cs="Arial" w:eastAsia="Arial" w:hAnsi="Arial"/>
                <w:sz w:val="15"/>
                <w:szCs w:val="15"/>
                <w:color w:val="auto"/>
                <w:w w:val="92"/>
              </w:rPr>
              <w:t>Issuance (forfeiture) of restricted stock,</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net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(7,888)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54,428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54,420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54,420</w:t>
            </w:r>
          </w:p>
        </w:tc>
        <w:tc>
          <w:tcPr>
            <w:tcW w:w="0" w:type="dxa"/>
            <w:vAlign w:val="bottom"/>
          </w:tcPr>
          <w:p>
            <w:pPr>
              <w:spacing w:after="0"/>
              <w:rPr>
                <w:sz w:val="1"/>
                <w:szCs w:val="1"/>
                <w:color w:val="auto"/>
              </w:rPr>
            </w:pPr>
          </w:p>
        </w:tc>
      </w:tr>
      <w:tr>
        <w:trPr>
          <w:trHeight w:val="178"/>
        </w:trPr>
        <w:tc>
          <w:tcPr>
            <w:tcW w:w="2420" w:type="dxa"/>
            <w:vAlign w:val="bottom"/>
            <w:gridSpan w:val="2"/>
          </w:tcPr>
          <w:p>
            <w:pPr>
              <w:spacing w:after="0"/>
              <w:rPr>
                <w:sz w:val="20"/>
                <w:szCs w:val="20"/>
                <w:color w:val="auto"/>
              </w:rPr>
            </w:pPr>
            <w:r>
              <w:rPr>
                <w:rFonts w:ascii="Arial" w:cs="Arial" w:eastAsia="Arial" w:hAnsi="Arial"/>
                <w:sz w:val="15"/>
                <w:szCs w:val="15"/>
                <w:color w:val="auto"/>
              </w:rPr>
              <w:t>Acquisition of treasury stock</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(5,800)</w:t>
            </w:r>
          </w:p>
        </w:tc>
        <w:tc>
          <w:tcPr>
            <w:tcW w:w="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w w:val="89"/>
              </w:rPr>
              <w:t>(23,143)</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5"/>
                <w:szCs w:val="15"/>
                <w:color w:val="auto"/>
              </w:rPr>
              <w:t>(23,143)</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(23,143)</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Balance, July 31, 2011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3"/>
              </w:rPr>
              <w:t>10,411,295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8"/>
              </w:rPr>
              <w:t>$ 10,411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6"/>
              </w:rPr>
              <w:t xml:space="preserve">(13,485) </w:t>
            </w:r>
            <w:r>
              <w:rPr>
                <w:rFonts w:ascii="Arial" w:cs="Arial" w:eastAsia="Arial" w:hAnsi="Arial"/>
                <w:sz w:val="15"/>
                <w:szCs w:val="15"/>
                <w:u w:val="single" w:color="auto"/>
                <w:color w:val="auto"/>
                <w:w w:val="96"/>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9"/>
              </w:rPr>
              <w:t>(65,877)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1"/>
              </w:rPr>
              <w:t>157,545,820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(115,844,036)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85,835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41,732,153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17,353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41,749,506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See accompanying notes to consolidated financial statements (unaudited).</w:t>
      </w:r>
    </w:p>
    <w:p>
      <w:pPr>
        <w:spacing w:after="0" w:line="200" w:lineRule="exact"/>
        <w:rPr>
          <w:sz w:val="20"/>
          <w:szCs w:val="20"/>
          <w:color w:val="auto"/>
        </w:rPr>
      </w:pPr>
    </w:p>
    <w:p>
      <w:pPr>
        <w:spacing w:after="0" w:line="28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540"/>
          </w:cols>
          <w:pgMar w:left="220" w:top="357" w:right="13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center"/>
        <w:ind w:right="1659"/>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162" w:lineRule="exact"/>
        <w:rPr>
          <w:sz w:val="20"/>
          <w:szCs w:val="20"/>
          <w:color w:val="auto"/>
        </w:rPr>
      </w:pPr>
    </w:p>
    <w:p>
      <w:pPr>
        <w:jc w:val="center"/>
        <w:ind w:right="16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p>
    <w:p>
      <w:pPr>
        <w:jc w:val="center"/>
        <w:ind w:right="1659"/>
        <w:spacing w:after="0"/>
        <w:rPr>
          <w:sz w:val="20"/>
          <w:szCs w:val="20"/>
          <w:color w:val="auto"/>
        </w:rPr>
      </w:pPr>
      <w:r>
        <w:rPr>
          <w:rFonts w:ascii="Arial" w:cs="Arial" w:eastAsia="Arial" w:hAnsi="Arial"/>
          <w:sz w:val="15"/>
          <w:szCs w:val="15"/>
          <w:b w:val="1"/>
          <w:bCs w:val="1"/>
          <w:color w:val="auto"/>
        </w:rPr>
        <w:t>(Unaudited)</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(1) Background and Basis of Presentation</w:t>
      </w:r>
    </w:p>
    <w:p>
      <w:pPr>
        <w:spacing w:after="0" w:line="155" w:lineRule="exact"/>
        <w:rPr>
          <w:sz w:val="20"/>
          <w:szCs w:val="20"/>
          <w:color w:val="auto"/>
        </w:rPr>
      </w:pPr>
    </w:p>
    <w:p>
      <w:pPr>
        <w:ind w:left="280" w:right="1939"/>
        <w:spacing w:after="0" w:line="255" w:lineRule="auto"/>
        <w:rPr>
          <w:sz w:val="20"/>
          <w:szCs w:val="20"/>
          <w:color w:val="auto"/>
        </w:rPr>
      </w:pPr>
      <w:r>
        <w:rPr>
          <w:rFonts w:ascii="Arial" w:cs="Arial" w:eastAsia="Arial" w:hAnsi="Arial"/>
          <w:sz w:val="15"/>
          <w:szCs w:val="15"/>
          <w:color w:val="auto"/>
        </w:rPr>
        <w:t>Ocean Power Technologies, Inc. (the “Company”) was incorporated on April 19, 1984 in New Jersey, commenced commercial operations in 1994 and re-incorporated in Delaware in April 2007. The Company develops and is commercializing proprietary systems that generate electricity by harnessing the renewable energy of ocean waves. The Company markets and sells its products in the United States and internationally.</w:t>
      </w:r>
    </w:p>
    <w:p>
      <w:pPr>
        <w:spacing w:after="0" w:line="136" w:lineRule="exact"/>
        <w:rPr>
          <w:sz w:val="20"/>
          <w:szCs w:val="20"/>
          <w:color w:val="auto"/>
        </w:rPr>
      </w:pPr>
    </w:p>
    <w:p>
      <w:pPr>
        <w:ind w:left="280" w:right="1979"/>
        <w:spacing w:after="0" w:line="271" w:lineRule="auto"/>
        <w:rPr>
          <w:sz w:val="20"/>
          <w:szCs w:val="20"/>
          <w:color w:val="auto"/>
        </w:rPr>
      </w:pPr>
      <w:r>
        <w:rPr>
          <w:rFonts w:ascii="Arial" w:cs="Arial" w:eastAsia="Arial" w:hAnsi="Arial"/>
          <w:sz w:val="14"/>
          <w:szCs w:val="14"/>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2011 filed with the Securities and Exchange Commission (“SEC”) and elsewhere in this Form 10-Q.</w:t>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Consolidation</w:t>
      </w:r>
    </w:p>
    <w:p>
      <w:pPr>
        <w:spacing w:after="0" w:line="151" w:lineRule="exact"/>
        <w:rPr>
          <w:sz w:val="20"/>
          <w:szCs w:val="20"/>
          <w:color w:val="auto"/>
        </w:rPr>
      </w:pPr>
    </w:p>
    <w:p>
      <w:pPr>
        <w:ind w:left="280" w:right="1959"/>
        <w:spacing w:after="0" w:line="251" w:lineRule="auto"/>
        <w:rPr>
          <w:sz w:val="20"/>
          <w:szCs w:val="20"/>
          <w:color w:val="auto"/>
        </w:rPr>
      </w:pPr>
      <w:r>
        <w:rPr>
          <w:rFonts w:ascii="Arial" w:cs="Arial" w:eastAsia="Arial" w:hAnsi="Arial"/>
          <w:sz w:val="15"/>
          <w:szCs w:val="15"/>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July 31, 2011, there was one noncontrolling interest, consisting of 11.8% of the Company’s Australian subsidiary, Ocean Power Technologies (Australasia) Pty. Ltd.</w:t>
      </w:r>
    </w:p>
    <w:p>
      <w:pPr>
        <w:spacing w:after="0" w:line="141" w:lineRule="exact"/>
        <w:rPr>
          <w:sz w:val="20"/>
          <w:szCs w:val="20"/>
          <w:color w:val="auto"/>
        </w:rPr>
      </w:pPr>
    </w:p>
    <w:p>
      <w:pPr>
        <w:ind w:left="280" w:right="2019"/>
        <w:spacing w:after="0" w:line="286" w:lineRule="auto"/>
        <w:rPr>
          <w:sz w:val="20"/>
          <w:szCs w:val="20"/>
          <w:color w:val="auto"/>
        </w:rPr>
      </w:pPr>
      <w:r>
        <w:rPr>
          <w:rFonts w:ascii="Arial" w:cs="Arial" w:eastAsia="Arial" w:hAnsi="Arial"/>
          <w:sz w:val="14"/>
          <w:szCs w:val="14"/>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July 31, 2011, there were no such entities.</w:t>
      </w:r>
    </w:p>
    <w:p>
      <w:pPr>
        <w:spacing w:after="0" w:line="104" w:lineRule="exact"/>
        <w:rPr>
          <w:sz w:val="20"/>
          <w:szCs w:val="20"/>
          <w:color w:val="auto"/>
        </w:rPr>
      </w:pPr>
    </w:p>
    <w:p>
      <w:pPr>
        <w:ind w:left="280" w:right="1999"/>
        <w:spacing w:after="0" w:line="255" w:lineRule="auto"/>
        <w:rPr>
          <w:sz w:val="20"/>
          <w:szCs w:val="20"/>
          <w:color w:val="auto"/>
        </w:rPr>
      </w:pPr>
      <w:r>
        <w:rPr>
          <w:rFonts w:ascii="Arial" w:cs="Arial" w:eastAsia="Arial" w:hAnsi="Arial"/>
          <w:sz w:val="15"/>
          <w:szCs w:val="15"/>
          <w:color w:val="auto"/>
        </w:rPr>
        <w:t>The Company has a 10% investment in Iberdrola Energias Marinas de Cantabria, S.A. (“Iberdrola Cantabria”). Revenues from Iberdrola Cantabria for the three months ended July 31, 2011 and 2010 were $0 and $(231,000), respectively. Additionally, accounts receivable from Iberdrola Cantabria aggregated $331,000 and $341,000 as of July 31, 2011 and April 30, 2011, respectively. See Note 2(a) and Note 9.</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62" w:lineRule="exact"/>
        <w:rPr>
          <w:sz w:val="20"/>
          <w:szCs w:val="20"/>
          <w:color w:val="auto"/>
        </w:rPr>
      </w:pPr>
    </w:p>
    <w:p>
      <w:pPr>
        <w:ind w:left="280" w:right="1939"/>
        <w:spacing w:after="0" w:line="272" w:lineRule="auto"/>
        <w:rPr>
          <w:sz w:val="20"/>
          <w:szCs w:val="20"/>
          <w:color w:val="auto"/>
        </w:rPr>
      </w:pPr>
      <w:r>
        <w:rPr>
          <w:rFonts w:ascii="Arial" w:cs="Arial" w:eastAsia="Arial" w:hAnsi="Arial"/>
          <w:sz w:val="14"/>
          <w:szCs w:val="14"/>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has increased the degree of uncertainty inherent in those estimates and assumptions.</w:t>
      </w:r>
    </w:p>
    <w:p>
      <w:pPr>
        <w:spacing w:after="0" w:line="200" w:lineRule="exact"/>
        <w:rPr>
          <w:sz w:val="20"/>
          <w:szCs w:val="20"/>
          <w:color w:val="auto"/>
        </w:rPr>
      </w:pPr>
    </w:p>
    <w:p>
      <w:pPr>
        <w:spacing w:after="0" w:line="238" w:lineRule="exact"/>
        <w:rPr>
          <w:sz w:val="20"/>
          <w:szCs w:val="20"/>
          <w:color w:val="auto"/>
        </w:rPr>
      </w:pPr>
    </w:p>
    <w:p>
      <w:pPr>
        <w:ind w:left="424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center"/>
        <w:ind w:right="1659"/>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20" w:lineRule="exact"/>
        <w:rPr>
          <w:sz w:val="20"/>
          <w:szCs w:val="20"/>
          <w:color w:val="auto"/>
        </w:rPr>
      </w:pPr>
    </w:p>
    <w:p>
      <w:pPr>
        <w:jc w:val="center"/>
        <w:ind w:right="16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6" w:lineRule="exact"/>
        <w:rPr>
          <w:sz w:val="20"/>
          <w:szCs w:val="20"/>
          <w:color w:val="auto"/>
        </w:rPr>
      </w:pPr>
    </w:p>
    <w:p>
      <w:pPr>
        <w:jc w:val="center"/>
        <w:ind w:right="1659"/>
        <w:spacing w:after="0"/>
        <w:rPr>
          <w:sz w:val="20"/>
          <w:szCs w:val="20"/>
          <w:color w:val="auto"/>
        </w:rPr>
      </w:pPr>
      <w:r>
        <w:rPr>
          <w:rFonts w:ascii="Arial" w:cs="Arial" w:eastAsia="Arial" w:hAnsi="Arial"/>
          <w:sz w:val="15"/>
          <w:szCs w:val="15"/>
          <w:b w:val="1"/>
          <w:bCs w:val="1"/>
          <w:color w:val="auto"/>
        </w:rPr>
        <w:t>(Unaudited)</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(2) Summary of Significant Accounting Policies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(a) Revenue Recognition</w:t>
      </w:r>
    </w:p>
    <w:p>
      <w:pPr>
        <w:spacing w:after="0" w:line="151" w:lineRule="exact"/>
        <w:rPr>
          <w:sz w:val="20"/>
          <w:szCs w:val="20"/>
          <w:color w:val="auto"/>
        </w:rPr>
      </w:pPr>
    </w:p>
    <w:p>
      <w:pPr>
        <w:ind w:left="280" w:right="1939"/>
        <w:spacing w:after="0" w:line="270" w:lineRule="auto"/>
        <w:rPr>
          <w:sz w:val="20"/>
          <w:szCs w:val="20"/>
          <w:color w:val="auto"/>
        </w:rPr>
      </w:pPr>
      <w:r>
        <w:rPr>
          <w:rFonts w:ascii="Arial" w:cs="Arial" w:eastAsia="Arial" w:hAnsi="Arial"/>
          <w:sz w:val="14"/>
          <w:szCs w:val="14"/>
          <w:color w:val="auto"/>
        </w:rPr>
        <w:t>The Company primarily recognizes revenue under the percentage-of-completion method. The percentage of completion is determined by relating the costs incurred to date to the estimated total costs. The cumulative effects resulting from revisions of estimated total contract costs and revenues are recorded in the period in which the facts requiring revision become known. Upon anticipating a loss on a contract, the Company recognizes the full amount of the anticipated loss in the current period. Accruals related to losses on contracts in the amount of approximately $785,000 are included in accrued expenses in the accompanying consolidated balance sheets as of July 31, 2011 and April 30, 2011. Modifications to contract provisions, such as those currently being discussed in connection with the Company’s Spain construction agreement (see Note 9), as well as modifications in contract loss estimates, may require changes in accruals established for anticipated contract losses. During the three months ended July 31, 2010, the Company’s revenue was reduced by approximately $231,000 due to a change in estimated revenue to be recognized in connection with the Spain construction agreement.</w:t>
      </w:r>
    </w:p>
    <w:p>
      <w:pPr>
        <w:spacing w:after="0" w:line="127" w:lineRule="exact"/>
        <w:rPr>
          <w:sz w:val="20"/>
          <w:szCs w:val="20"/>
          <w:color w:val="auto"/>
        </w:rPr>
      </w:pPr>
    </w:p>
    <w:p>
      <w:pPr>
        <w:ind w:left="280" w:right="1999"/>
        <w:spacing w:after="0" w:line="271" w:lineRule="auto"/>
        <w:rPr>
          <w:sz w:val="20"/>
          <w:szCs w:val="20"/>
          <w:color w:val="auto"/>
        </w:rPr>
      </w:pPr>
      <w:r>
        <w:rPr>
          <w:rFonts w:ascii="Arial" w:cs="Arial" w:eastAsia="Arial" w:hAnsi="Arial"/>
          <w:sz w:val="14"/>
          <w:szCs w:val="14"/>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Because the Company has a small number of contracts, revisions to the percentage-of-completion determination or delays in meeting performance criteria or in completing projects may have a significant effect on revenue for the periods involved. Upon anticipating a loss on a contract, the Company recognizes the full amount of the anticipated loss in the current period.</w:t>
      </w:r>
    </w:p>
    <w:p>
      <w:pPr>
        <w:spacing w:after="0" w:line="116" w:lineRule="exact"/>
        <w:rPr>
          <w:sz w:val="20"/>
          <w:szCs w:val="20"/>
          <w:color w:val="auto"/>
        </w:rPr>
      </w:pPr>
    </w:p>
    <w:p>
      <w:pPr>
        <w:ind w:left="280" w:right="1959"/>
        <w:spacing w:after="0" w:line="269" w:lineRule="auto"/>
        <w:rPr>
          <w:sz w:val="20"/>
          <w:szCs w:val="20"/>
          <w:color w:val="auto"/>
        </w:rPr>
      </w:pPr>
      <w:r>
        <w:rPr>
          <w:rFonts w:ascii="Arial" w:cs="Arial" w:eastAsia="Arial" w:hAnsi="Arial"/>
          <w:sz w:val="14"/>
          <w:szCs w:val="14"/>
          <w:color w:val="auto"/>
        </w:rPr>
        <w:t>Generally the Company’s contracts are either cost plus or fixed price contracts. Under cost plus contracts, customers are billed for actual expenses incurred plus an agreed-upon fee. Revenue is typically recorded using the percentage-of-completion method based on the maximum awarded contract amount. In certain cases the Company may choose to incur costs in excess of the maximum awarded contract amount, resulting in a loss on the contract. Currently, the Company has two types of fixed price contracts, firm fixed price and cost-sharing. Under firm fixed price contracts, the Company receives an agreed-upon amount for providing products and services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The Company funds the remainder of the costs as part of its product development efforts. Revenue is typically recorded using the percentage-of-completion method based on the amount agreed upon with the customer. An amount corresponding to the revenue is recorded in cost of revenues, resulting in gross profit on these contracts of zero. The Company’s share of the costs is recorded as product development expense.</w:t>
      </w:r>
    </w:p>
    <w:p>
      <w:pPr>
        <w:spacing w:after="0" w:line="118" w:lineRule="exact"/>
        <w:rPr>
          <w:sz w:val="20"/>
          <w:szCs w:val="20"/>
          <w:color w:val="auto"/>
        </w:rPr>
      </w:pPr>
    </w:p>
    <w:p>
      <w:pPr>
        <w:ind w:left="280" w:right="2139"/>
        <w:spacing w:after="0" w:line="255" w:lineRule="auto"/>
        <w:rPr>
          <w:sz w:val="20"/>
          <w:szCs w:val="20"/>
          <w:color w:val="auto"/>
        </w:rPr>
      </w:pPr>
      <w:r>
        <w:rPr>
          <w:rFonts w:ascii="Arial" w:cs="Arial" w:eastAsia="Arial" w:hAnsi="Arial"/>
          <w:sz w:val="15"/>
          <w:szCs w:val="15"/>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(b) Cash and Cash Equivalents</w:t>
      </w:r>
    </w:p>
    <w:p>
      <w:pPr>
        <w:spacing w:after="0" w:line="151" w:lineRule="exact"/>
        <w:rPr>
          <w:sz w:val="20"/>
          <w:szCs w:val="20"/>
          <w:color w:val="auto"/>
        </w:rPr>
      </w:pPr>
    </w:p>
    <w:p>
      <w:pPr>
        <w:ind w:left="280" w:right="1959"/>
        <w:spacing w:after="0" w:line="255" w:lineRule="auto"/>
        <w:rPr>
          <w:sz w:val="20"/>
          <w:szCs w:val="20"/>
          <w:color w:val="auto"/>
        </w:rPr>
      </w:pPr>
      <w:r>
        <w:rPr>
          <w:rFonts w:ascii="Arial" w:cs="Arial" w:eastAsia="Arial" w:hAnsi="Arial"/>
          <w:sz w:val="15"/>
          <w:szCs w:val="15"/>
          <w:color w:val="auto"/>
        </w:rPr>
        <w:t>Cash equivalents consist of investments in short-term financial instruments with initial maturities of three months or less from the date of purchase. Cash and cash equivalents include the following: $2,500,000 and $273,000 of certificates of deposit with an initial term of less than three months at July 31, 2011 and April 30, 2011, respectively and $2,562,000 and $482,000 invested in money market funds as of July 31, 2011 and April 30, 2011, respectively.</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(c) Restricted Cash and Credit Facility</w:t>
      </w:r>
    </w:p>
    <w:p>
      <w:pPr>
        <w:spacing w:after="0" w:line="162" w:lineRule="exact"/>
        <w:rPr>
          <w:sz w:val="20"/>
          <w:szCs w:val="20"/>
          <w:color w:val="auto"/>
        </w:rPr>
      </w:pPr>
    </w:p>
    <w:p>
      <w:pPr>
        <w:ind w:left="280" w:right="2319"/>
        <w:spacing w:after="0" w:line="269" w:lineRule="auto"/>
        <w:rPr>
          <w:sz w:val="20"/>
          <w:szCs w:val="20"/>
          <w:color w:val="auto"/>
        </w:rPr>
      </w:pPr>
      <w:r>
        <w:rPr>
          <w:rFonts w:ascii="Arial" w:cs="Arial" w:eastAsia="Arial" w:hAnsi="Arial"/>
          <w:sz w:val="15"/>
          <w:szCs w:val="15"/>
          <w:color w:val="auto"/>
        </w:rPr>
        <w:t>The Company had $1,591,189 and $1,624,669 of restricted cash as of July 31, 2011 and April 30, 2011, respectively. The cash is restricted under the terms of two security agreements.</w:t>
      </w:r>
    </w:p>
    <w:p>
      <w:pPr>
        <w:spacing w:after="0" w:line="115" w:lineRule="exact"/>
        <w:rPr>
          <w:sz w:val="20"/>
          <w:szCs w:val="20"/>
          <w:color w:val="auto"/>
        </w:rPr>
      </w:pPr>
    </w:p>
    <w:p>
      <w:pPr>
        <w:ind w:left="280" w:right="2099"/>
        <w:spacing w:after="0" w:line="272" w:lineRule="auto"/>
        <w:rPr>
          <w:sz w:val="20"/>
          <w:szCs w:val="20"/>
          <w:color w:val="auto"/>
        </w:rPr>
      </w:pPr>
      <w:r>
        <w:rPr>
          <w:rFonts w:ascii="Arial" w:cs="Arial" w:eastAsia="Arial" w:hAnsi="Arial"/>
          <w:sz w:val="14"/>
          <w:szCs w:val="14"/>
          <w:color w:val="auto"/>
        </w:rPr>
        <w:t>One agreement is between Ocean Power Technologies, Inc. and Barclays Bank. Under this agreement, the cash is on deposit at Barclays Bank and serves as security for letters of credit that are expected to be issued by Barclays Bank on behalf of Ocean Power Technologies Ltd., one of the Company’s wholly-owned subsidiaries, under a €800,000 credit facility established by Barclays Bank for Ocean Power Technologies Ltd. The credit facility is for the issuance of letters of credit and bank guarantees, and carries a fee of 1% per annum of the amount of any such obligations issued by Barclays Bank. As of July 31, 2011 there were €266,000 in letters of credit outstanding under this agreement. The credit facility does not have an expiration date, but is cancelable at the discretion of the bank. As of July 31, 2011, approximately €720,000 is included in restricted cash.</w:t>
      </w:r>
    </w:p>
    <w:p>
      <w:pPr>
        <w:spacing w:after="0" w:line="200" w:lineRule="exact"/>
        <w:rPr>
          <w:sz w:val="20"/>
          <w:szCs w:val="20"/>
          <w:color w:val="auto"/>
        </w:rPr>
      </w:pPr>
    </w:p>
    <w:p>
      <w:pPr>
        <w:spacing w:after="0" w:line="249" w:lineRule="exact"/>
        <w:rPr>
          <w:sz w:val="20"/>
          <w:szCs w:val="20"/>
          <w:color w:val="auto"/>
        </w:rPr>
      </w:pPr>
    </w:p>
    <w:p>
      <w:pPr>
        <w:ind w:left="424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center"/>
        <w:ind w:right="1659"/>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20" w:lineRule="exact"/>
        <w:rPr>
          <w:sz w:val="20"/>
          <w:szCs w:val="20"/>
          <w:color w:val="auto"/>
        </w:rPr>
      </w:pPr>
    </w:p>
    <w:p>
      <w:pPr>
        <w:jc w:val="center"/>
        <w:ind w:right="16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6" w:lineRule="exact"/>
        <w:rPr>
          <w:sz w:val="20"/>
          <w:szCs w:val="20"/>
          <w:color w:val="auto"/>
        </w:rPr>
      </w:pPr>
    </w:p>
    <w:p>
      <w:pPr>
        <w:jc w:val="center"/>
        <w:ind w:right="1659"/>
        <w:spacing w:after="0"/>
        <w:rPr>
          <w:sz w:val="20"/>
          <w:szCs w:val="20"/>
          <w:color w:val="auto"/>
        </w:rPr>
      </w:pPr>
      <w:r>
        <w:rPr>
          <w:rFonts w:ascii="Arial" w:cs="Arial" w:eastAsia="Arial" w:hAnsi="Arial"/>
          <w:sz w:val="15"/>
          <w:szCs w:val="15"/>
          <w:b w:val="1"/>
          <w:bCs w:val="1"/>
          <w:color w:val="auto"/>
        </w:rPr>
        <w:t>(Unaudited)</w:t>
      </w:r>
    </w:p>
    <w:p>
      <w:pPr>
        <w:spacing w:after="0" w:line="152" w:lineRule="exact"/>
        <w:rPr>
          <w:sz w:val="20"/>
          <w:szCs w:val="20"/>
          <w:color w:val="auto"/>
        </w:rPr>
      </w:pPr>
    </w:p>
    <w:p>
      <w:pPr>
        <w:ind w:left="280" w:right="2039"/>
        <w:spacing w:after="0" w:line="279" w:lineRule="auto"/>
        <w:rPr>
          <w:sz w:val="20"/>
          <w:szCs w:val="20"/>
          <w:color w:val="auto"/>
        </w:rPr>
      </w:pPr>
      <w:r>
        <w:rPr>
          <w:rFonts w:ascii="Arial" w:cs="Arial" w:eastAsia="Arial" w:hAnsi="Arial"/>
          <w:sz w:val="14"/>
          <w:szCs w:val="14"/>
          <w:color w:val="auto"/>
        </w:rPr>
        <w:t>The other agreement is between Ocean Power Technologies, Inc. and the New Jersey Board of Public Utilities (“NJBPU”). The Company received a $500,000 recoverable grant award from the NJBPU. Under this agreement, the Company is required to assign to the NJBPU a certificate of deposit in an amount equal to the outstanding grant balance. The Company has assigned to the NJBPU certificates of deposit in the amount of $500,000, which are outstanding as of July 31, 2011. See Note 6.</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(d) Foreign Exchange Gains and Losses</w:t>
      </w:r>
    </w:p>
    <w:p>
      <w:pPr>
        <w:spacing w:after="0" w:line="151" w:lineRule="exact"/>
        <w:rPr>
          <w:sz w:val="20"/>
          <w:szCs w:val="20"/>
          <w:color w:val="auto"/>
        </w:rPr>
      </w:pPr>
    </w:p>
    <w:p>
      <w:pPr>
        <w:ind w:left="280" w:right="1939"/>
        <w:spacing w:after="0" w:line="272" w:lineRule="auto"/>
        <w:rPr>
          <w:sz w:val="20"/>
          <w:szCs w:val="20"/>
          <w:color w:val="auto"/>
        </w:rPr>
      </w:pPr>
      <w:r>
        <w:rPr>
          <w:rFonts w:ascii="Arial" w:cs="Arial" w:eastAsia="Arial" w:hAnsi="Arial"/>
          <w:sz w:val="14"/>
          <w:szCs w:val="14"/>
          <w:color w:val="auto"/>
        </w:rPr>
        <w:t>The Company has invested in certain certificates of deposit and has maintained cash accounts that are denominated in British pounds sterling, Euros and Australian dollars. Such certificates of deposit and cash accounts had a balance of approximately $5,214,000 and $4,793,000 as of July 31, 2011 and April 30, 2011, respectively. These amounts are included in cash, cash equivalents, restricted cash and marketable securities on the accompanying balance sheets. Such positions may result in realized and unrealized foreign exchange gains or losses from exchange rate fluctuations, which gains and losses are included in foreign exchange (loss) gain in the accompanying consolidated statements of operations. Foreign exchange (loss) was $(9,041) and $(239,002) for the three months ended July 31, 2011 and 2010, respectively.</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(e) Long-Lived Assets</w:t>
      </w:r>
    </w:p>
    <w:p>
      <w:pPr>
        <w:spacing w:after="0" w:line="151" w:lineRule="exact"/>
        <w:rPr>
          <w:sz w:val="20"/>
          <w:szCs w:val="20"/>
          <w:color w:val="auto"/>
        </w:rPr>
      </w:pPr>
    </w:p>
    <w:p>
      <w:pPr>
        <w:ind w:left="280" w:right="1979"/>
        <w:spacing w:after="0" w:line="251" w:lineRule="auto"/>
        <w:rPr>
          <w:sz w:val="20"/>
          <w:szCs w:val="20"/>
          <w:color w:val="auto"/>
        </w:rPr>
      </w:pPr>
      <w:r>
        <w:rPr>
          <w:rFonts w:ascii="Arial" w:cs="Arial" w:eastAsia="Arial" w:hAnsi="Arial"/>
          <w:sz w:val="15"/>
          <w:szCs w:val="15"/>
          <w:color w:val="auto"/>
        </w:rPr>
        <w:t>Long-lived assets, such as property and equipment and purchased intangible assets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 The Company reviewed its long-lived assets for impairment and determined there was no impairment for the three months ended July 31, 2011.</w:t>
      </w:r>
    </w:p>
    <w:p>
      <w:pPr>
        <w:spacing w:after="0" w:line="130"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(f) Concentration of Credit Risk</w:t>
      </w:r>
    </w:p>
    <w:p>
      <w:pPr>
        <w:spacing w:after="0" w:line="162" w:lineRule="exact"/>
        <w:rPr>
          <w:sz w:val="20"/>
          <w:szCs w:val="20"/>
          <w:color w:val="auto"/>
        </w:rPr>
      </w:pPr>
    </w:p>
    <w:p>
      <w:pPr>
        <w:ind w:left="280" w:right="2019"/>
        <w:spacing w:after="0" w:line="317" w:lineRule="auto"/>
        <w:rPr>
          <w:sz w:val="20"/>
          <w:szCs w:val="20"/>
          <w:color w:val="auto"/>
        </w:rPr>
      </w:pPr>
      <w:r>
        <w:rPr>
          <w:rFonts w:ascii="Arial" w:cs="Arial" w:eastAsia="Arial" w:hAnsi="Arial"/>
          <w:sz w:val="13"/>
          <w:szCs w:val="13"/>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w:t>
      </w:r>
    </w:p>
    <w:p>
      <w:pPr>
        <w:spacing w:after="0" w:line="87" w:lineRule="exact"/>
        <w:rPr>
          <w:sz w:val="20"/>
          <w:szCs w:val="20"/>
          <w:color w:val="auto"/>
        </w:rPr>
      </w:pPr>
    </w:p>
    <w:p>
      <w:pPr>
        <w:ind w:left="280" w:right="1999"/>
        <w:spacing w:after="0" w:line="269" w:lineRule="auto"/>
        <w:rPr>
          <w:sz w:val="20"/>
          <w:szCs w:val="20"/>
          <w:color w:val="auto"/>
        </w:rPr>
      </w:pPr>
      <w:r>
        <w:rPr>
          <w:rFonts w:ascii="Arial" w:cs="Arial" w:eastAsia="Arial" w:hAnsi="Arial"/>
          <w:sz w:val="15"/>
          <w:szCs w:val="15"/>
          <w:color w:val="auto"/>
        </w:rPr>
        <w:t>The table below shows the percentage of the Company’s revenues derived from customers whose revenues accounted for at least 10% of the Company’s consolidated revenues for at least one of the periods indicated:</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193"/>
        </w:trPr>
        <w:tc>
          <w:tcPr>
            <w:tcW w:w="594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Customer</w:t>
            </w:r>
          </w:p>
        </w:tc>
        <w:tc>
          <w:tcPr>
            <w:tcW w:w="2080" w:type="dxa"/>
            <w:vAlign w:val="bottom"/>
            <w:gridSpan w:val="4"/>
          </w:tcPr>
          <w:p>
            <w:pPr>
              <w:ind w:left="60"/>
              <w:spacing w:after="0"/>
              <w:rPr>
                <w:sz w:val="20"/>
                <w:szCs w:val="20"/>
                <w:color w:val="auto"/>
              </w:rPr>
            </w:pPr>
            <w:r>
              <w:rPr>
                <w:rFonts w:ascii="Arial" w:cs="Arial" w:eastAsia="Arial" w:hAnsi="Arial"/>
                <w:sz w:val="15"/>
                <w:szCs w:val="15"/>
                <w:b w:val="1"/>
                <w:bCs w:val="1"/>
                <w:color w:val="auto"/>
                <w:w w:val="96"/>
              </w:rPr>
              <w:t>Three months ended July 31,</w:t>
            </w:r>
          </w:p>
        </w:tc>
        <w:tc>
          <w:tcPr>
            <w:tcW w:w="0" w:type="dxa"/>
            <w:vAlign w:val="bottom"/>
          </w:tcPr>
          <w:p>
            <w:pPr>
              <w:spacing w:after="0"/>
              <w:rPr>
                <w:sz w:val="1"/>
                <w:szCs w:val="1"/>
                <w:color w:val="auto"/>
              </w:rPr>
            </w:pPr>
          </w:p>
        </w:tc>
      </w:tr>
      <w:tr>
        <w:trPr>
          <w:trHeight w:val="170"/>
        </w:trPr>
        <w:tc>
          <w:tcPr>
            <w:tcW w:w="5940" w:type="dxa"/>
            <w:vAlign w:val="bottom"/>
            <w:gridSpan w:val="3"/>
            <w:vMerge w:val="continue"/>
          </w:tcPr>
          <w:p>
            <w:pPr>
              <w:spacing w:after="0"/>
              <w:rPr>
                <w:sz w:val="14"/>
                <w:szCs w:val="14"/>
                <w:color w:val="auto"/>
              </w:rPr>
            </w:pPr>
          </w:p>
        </w:tc>
        <w:tc>
          <w:tcPr>
            <w:tcW w:w="780" w:type="dxa"/>
            <w:vAlign w:val="bottom"/>
            <w:tcBorders>
              <w:top w:val="single" w:sz="8" w:color="auto"/>
            </w:tcBorders>
          </w:tcPr>
          <w:p>
            <w:pPr>
              <w:ind w:left="240"/>
              <w:spacing w:after="0" w:line="170" w:lineRule="exact"/>
              <w:rPr>
                <w:sz w:val="20"/>
                <w:szCs w:val="20"/>
                <w:color w:val="auto"/>
              </w:rPr>
            </w:pPr>
            <w:r>
              <w:rPr>
                <w:rFonts w:ascii="Arial" w:cs="Arial" w:eastAsia="Arial" w:hAnsi="Arial"/>
                <w:sz w:val="15"/>
                <w:szCs w:val="15"/>
                <w:b w:val="1"/>
                <w:bCs w:val="1"/>
                <w:color w:val="auto"/>
              </w:rPr>
              <w:t>2011</w:t>
            </w:r>
          </w:p>
        </w:tc>
        <w:tc>
          <w:tcPr>
            <w:tcW w:w="3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66"/>
              <w:spacing w:after="0" w:line="170" w:lineRule="exact"/>
              <w:rPr>
                <w:sz w:val="20"/>
                <w:szCs w:val="20"/>
                <w:color w:val="auto"/>
              </w:rPr>
            </w:pPr>
            <w:r>
              <w:rPr>
                <w:rFonts w:ascii="Arial" w:cs="Arial" w:eastAsia="Arial" w:hAnsi="Arial"/>
                <w:sz w:val="15"/>
                <w:szCs w:val="15"/>
                <w:b w:val="1"/>
                <w:bCs w:val="1"/>
                <w:color w:val="auto"/>
              </w:rPr>
              <w:t>2010 (1)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US Navy</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60%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20" w:type="dxa"/>
            <w:vAlign w:val="bottom"/>
            <w:gridSpan w:val="2"/>
          </w:tcPr>
          <w:p>
            <w:pPr>
              <w:spacing w:after="0"/>
              <w:rPr>
                <w:sz w:val="20"/>
                <w:szCs w:val="20"/>
                <w:color w:val="auto"/>
              </w:rPr>
            </w:pPr>
            <w:r>
              <w:rPr>
                <w:rFonts w:ascii="Arial" w:cs="Arial" w:eastAsia="Arial" w:hAnsi="Arial"/>
                <w:sz w:val="15"/>
                <w:szCs w:val="15"/>
                <w:color w:val="auto"/>
              </w:rPr>
              <w:t>US Department of Energy</w:t>
            </w:r>
          </w:p>
        </w:tc>
        <w:tc>
          <w:tcPr>
            <w:tcW w:w="1160" w:type="dxa"/>
            <w:vAlign w:val="bottom"/>
            <w:gridSpan w:val="2"/>
          </w:tcPr>
          <w:p>
            <w:pPr>
              <w:ind w:left="640"/>
              <w:spacing w:after="0"/>
              <w:rPr>
                <w:sz w:val="20"/>
                <w:szCs w:val="20"/>
                <w:color w:val="auto"/>
              </w:rPr>
            </w:pPr>
            <w:r>
              <w:rPr>
                <w:rFonts w:ascii="Arial" w:cs="Arial" w:eastAsia="Arial" w:hAnsi="Arial"/>
                <w:sz w:val="15"/>
                <w:szCs w:val="15"/>
                <w:color w:val="auto"/>
              </w:rPr>
              <w:t>25%</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UK Government’s Technology Strategy Board</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12%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20" w:type="dxa"/>
            <w:vAlign w:val="bottom"/>
            <w:gridSpan w:val="2"/>
          </w:tcPr>
          <w:p>
            <w:pPr>
              <w:spacing w:after="0"/>
              <w:rPr>
                <w:sz w:val="20"/>
                <w:szCs w:val="20"/>
                <w:color w:val="auto"/>
              </w:rPr>
            </w:pPr>
            <w:r>
              <w:rPr>
                <w:rFonts w:ascii="Arial" w:cs="Arial" w:eastAsia="Arial" w:hAnsi="Arial"/>
                <w:sz w:val="15"/>
                <w:szCs w:val="15"/>
                <w:color w:val="auto"/>
              </w:rPr>
              <w:t>Scottish Government</w:t>
            </w:r>
          </w:p>
        </w:tc>
        <w:tc>
          <w:tcPr>
            <w:tcW w:w="116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97%</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600" w:hanging="324"/>
        <w:spacing w:after="0"/>
        <w:tabs>
          <w:tab w:leader="none" w:pos="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Total exceeds 100% due to a negative revenue adjustment made to another customer (see Note 2(a)).</w:t>
      </w:r>
    </w:p>
    <w:p>
      <w:pPr>
        <w:spacing w:after="0" w:line="151" w:lineRule="exact"/>
        <w:rPr>
          <w:sz w:val="20"/>
          <w:szCs w:val="20"/>
          <w:color w:val="auto"/>
        </w:rPr>
      </w:pPr>
    </w:p>
    <w:p>
      <w:pPr>
        <w:ind w:left="280" w:right="2419"/>
        <w:spacing w:after="0" w:line="306" w:lineRule="auto"/>
        <w:rPr>
          <w:sz w:val="20"/>
          <w:szCs w:val="20"/>
          <w:color w:val="auto"/>
        </w:rPr>
      </w:pPr>
      <w:r>
        <w:rPr>
          <w:rFonts w:ascii="Arial" w:cs="Arial" w:eastAsia="Arial" w:hAnsi="Arial"/>
          <w:sz w:val="14"/>
          <w:szCs w:val="14"/>
          <w:color w:val="auto"/>
        </w:rPr>
        <w:t>The loss of, or a significant reduction in revenues from, any of the current customers could significantly impact the Company’s financial position or results of operations. The Company does not require collateral from its customers.</w:t>
      </w:r>
    </w:p>
    <w:p>
      <w:pPr>
        <w:spacing w:after="0" w:line="200" w:lineRule="exact"/>
        <w:rPr>
          <w:sz w:val="20"/>
          <w:szCs w:val="20"/>
          <w:color w:val="auto"/>
        </w:rPr>
      </w:pP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center"/>
        <w:ind w:right="1679"/>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20" w:lineRule="exact"/>
        <w:rPr>
          <w:sz w:val="20"/>
          <w:szCs w:val="20"/>
          <w:color w:val="auto"/>
        </w:rPr>
      </w:pPr>
    </w:p>
    <w:p>
      <w:pPr>
        <w:jc w:val="center"/>
        <w:ind w:right="167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6" w:lineRule="exact"/>
        <w:rPr>
          <w:sz w:val="20"/>
          <w:szCs w:val="20"/>
          <w:color w:val="auto"/>
        </w:rPr>
      </w:pPr>
    </w:p>
    <w:p>
      <w:pPr>
        <w:jc w:val="center"/>
        <w:ind w:right="1679"/>
        <w:spacing w:after="0"/>
        <w:rPr>
          <w:sz w:val="20"/>
          <w:szCs w:val="20"/>
          <w:color w:val="auto"/>
        </w:rPr>
      </w:pPr>
      <w:r>
        <w:rPr>
          <w:rFonts w:ascii="Arial" w:cs="Arial" w:eastAsia="Arial" w:hAnsi="Arial"/>
          <w:sz w:val="15"/>
          <w:szCs w:val="15"/>
          <w:b w:val="1"/>
          <w:bCs w:val="1"/>
          <w:color w:val="auto"/>
        </w:rPr>
        <w:t>(Unaudited)</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(g) Net Loss per Common Share</w:t>
      </w:r>
    </w:p>
    <w:p>
      <w:pPr>
        <w:spacing w:after="0" w:line="151" w:lineRule="exact"/>
        <w:rPr>
          <w:sz w:val="20"/>
          <w:szCs w:val="20"/>
          <w:color w:val="auto"/>
        </w:rPr>
      </w:pPr>
    </w:p>
    <w:p>
      <w:pPr>
        <w:ind w:left="280" w:right="2059"/>
        <w:spacing w:after="0" w:line="255" w:lineRule="auto"/>
        <w:rPr>
          <w:sz w:val="20"/>
          <w:szCs w:val="20"/>
          <w:color w:val="auto"/>
        </w:rPr>
      </w:pPr>
      <w:r>
        <w:rPr>
          <w:rFonts w:ascii="Arial" w:cs="Arial" w:eastAsia="Arial" w:hAnsi="Arial"/>
          <w:sz w:val="15"/>
          <w:szCs w:val="15"/>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25" w:lineRule="exact"/>
        <w:rPr>
          <w:sz w:val="20"/>
          <w:szCs w:val="20"/>
          <w:color w:val="auto"/>
        </w:rPr>
      </w:pPr>
    </w:p>
    <w:p>
      <w:pPr>
        <w:ind w:left="280" w:right="2119"/>
        <w:spacing w:after="0" w:line="317" w:lineRule="auto"/>
        <w:rPr>
          <w:sz w:val="20"/>
          <w:szCs w:val="20"/>
          <w:color w:val="auto"/>
        </w:rPr>
      </w:pPr>
      <w:r>
        <w:rPr>
          <w:rFonts w:ascii="Arial" w:cs="Arial" w:eastAsia="Arial" w:hAnsi="Arial"/>
          <w:sz w:val="13"/>
          <w:szCs w:val="13"/>
          <w:color w:val="auto"/>
        </w:rPr>
        <w:t>In computing diluted net loss per share, options to purchase shares of common stock and non-vested restricted stock issued to employees and non-employee directors, totaling 1,560,178 for the three months ended July 31, 2011 and 1,715,520 for the three months ended July 31, 2010, were excluded from the computations as the effect would be anti-dilutive due to the Company’s losses.</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(h) Recently Issued Accounting Standards</w:t>
      </w:r>
    </w:p>
    <w:p>
      <w:pPr>
        <w:spacing w:after="0" w:line="151" w:lineRule="exact"/>
        <w:rPr>
          <w:sz w:val="20"/>
          <w:szCs w:val="20"/>
          <w:color w:val="auto"/>
        </w:rPr>
      </w:pPr>
    </w:p>
    <w:p>
      <w:pPr>
        <w:ind w:left="280" w:right="2119"/>
        <w:spacing w:after="0" w:line="275" w:lineRule="auto"/>
        <w:rPr>
          <w:sz w:val="20"/>
          <w:szCs w:val="20"/>
          <w:color w:val="auto"/>
        </w:rPr>
      </w:pPr>
      <w:r>
        <w:rPr>
          <w:rFonts w:ascii="Arial" w:cs="Arial" w:eastAsia="Arial" w:hAnsi="Arial"/>
          <w:sz w:val="14"/>
          <w:szCs w:val="14"/>
          <w:color w:val="auto"/>
        </w:rPr>
        <w:t>In May 2011, the Financial Accounting Standards Board (“FASB”) issued additional authoritative guidance related to fair value measurements and disclosures. The new guidance results in a consistent definition of fair value and common requirements for measurement of and disclosure about fair value between accounting principles generally accepted in the United States (U.S. GAAP) and International Financial Reporting Standards (IFRS). The guidance is effective for fiscal years and interim periods within those years beginning after December 15, 2011. The Company is currently assessing the impact of the guidance.</w:t>
      </w:r>
    </w:p>
    <w:p>
      <w:pPr>
        <w:spacing w:after="0" w:line="113" w:lineRule="exact"/>
        <w:rPr>
          <w:sz w:val="20"/>
          <w:szCs w:val="20"/>
          <w:color w:val="auto"/>
        </w:rPr>
      </w:pPr>
    </w:p>
    <w:p>
      <w:pPr>
        <w:ind w:left="280" w:right="2059"/>
        <w:spacing w:after="0" w:line="273" w:lineRule="auto"/>
        <w:rPr>
          <w:sz w:val="20"/>
          <w:szCs w:val="20"/>
          <w:color w:val="auto"/>
        </w:rPr>
      </w:pPr>
      <w:r>
        <w:rPr>
          <w:rFonts w:ascii="Arial" w:cs="Arial" w:eastAsia="Arial" w:hAnsi="Arial"/>
          <w:sz w:val="14"/>
          <w:szCs w:val="14"/>
          <w:color w:val="auto"/>
        </w:rPr>
        <w:t>In June 2011, the FASB issued amended guidance on the presentation of comprehensive income in financial statements. This amendment provides companies the option to present the components of net income and other comprehensive income either as one continuous statement of comprehensive income or as two separate but consecutive statements. It eliminates the option to present components of other comprehensive income as part of the statement of changes in stockholders’ equity. The provisions of this new guidance are effective for interim and annual periods beginning after December 15, 2011. The adoption of this new guidance will not impact the Company’s financial position, results of operations or cash flows.</w:t>
      </w:r>
    </w:p>
    <w:p>
      <w:pPr>
        <w:spacing w:after="0" w:line="200" w:lineRule="exact"/>
        <w:rPr>
          <w:sz w:val="20"/>
          <w:szCs w:val="20"/>
          <w:color w:val="auto"/>
        </w:rPr>
      </w:pPr>
    </w:p>
    <w:p>
      <w:pPr>
        <w:spacing w:after="0" w:line="24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center"/>
        <w:ind w:right="2880"/>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20" w:lineRule="exact"/>
        <w:rPr>
          <w:sz w:val="20"/>
          <w:szCs w:val="20"/>
          <w:color w:val="auto"/>
        </w:rPr>
      </w:pPr>
    </w:p>
    <w:p>
      <w:pPr>
        <w:jc w:val="center"/>
        <w:ind w:right="288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6" w:lineRule="exact"/>
        <w:rPr>
          <w:sz w:val="20"/>
          <w:szCs w:val="20"/>
          <w:color w:val="auto"/>
        </w:rPr>
      </w:pPr>
    </w:p>
    <w:p>
      <w:pPr>
        <w:jc w:val="center"/>
        <w:ind w:right="2880"/>
        <w:spacing w:after="0"/>
        <w:rPr>
          <w:sz w:val="20"/>
          <w:szCs w:val="20"/>
          <w:color w:val="auto"/>
        </w:rPr>
      </w:pPr>
      <w:r>
        <w:rPr>
          <w:rFonts w:ascii="Arial" w:cs="Arial" w:eastAsia="Arial" w:hAnsi="Arial"/>
          <w:sz w:val="15"/>
          <w:szCs w:val="15"/>
          <w:b w:val="1"/>
          <w:bCs w:val="1"/>
          <w:color w:val="auto"/>
        </w:rPr>
        <w:t>(Unaudited)</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(3) Marketable Securities</w:t>
      </w:r>
    </w:p>
    <w:p>
      <w:pPr>
        <w:spacing w:after="0" w:line="155" w:lineRule="exact"/>
        <w:rPr>
          <w:sz w:val="20"/>
          <w:szCs w:val="20"/>
          <w:color w:val="auto"/>
        </w:rPr>
      </w:pPr>
    </w:p>
    <w:p>
      <w:pPr>
        <w:jc w:val="both"/>
        <w:ind w:left="280" w:right="3300"/>
        <w:spacing w:after="0" w:line="269" w:lineRule="auto"/>
        <w:rPr>
          <w:sz w:val="20"/>
          <w:szCs w:val="20"/>
          <w:color w:val="auto"/>
        </w:rPr>
      </w:pPr>
      <w:r>
        <w:rPr>
          <w:rFonts w:ascii="Arial" w:cs="Arial" w:eastAsia="Arial" w:hAnsi="Arial"/>
          <w:sz w:val="15"/>
          <w:szCs w:val="15"/>
          <w:color w:val="auto"/>
        </w:rPr>
        <w:t>Marketable securities with initial maturities longer than three months but that mature within one year from the balance sheet date are classified as current assets and are summarized as follows:</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5"/>
                <w:szCs w:val="15"/>
                <w:b w:val="1"/>
                <w:bCs w:val="1"/>
                <w:color w:val="auto"/>
              </w:rPr>
              <w:t>July 31,</w:t>
            </w:r>
          </w:p>
        </w:tc>
        <w:tc>
          <w:tcPr>
            <w:tcW w:w="880" w:type="dxa"/>
            <w:vAlign w:val="bottom"/>
            <w:gridSpan w:val="2"/>
          </w:tcPr>
          <w:p>
            <w:pPr>
              <w:ind w:left="120"/>
              <w:spacing w:after="0"/>
              <w:rPr>
                <w:sz w:val="20"/>
                <w:szCs w:val="20"/>
                <w:color w:val="auto"/>
              </w:rPr>
            </w:pPr>
            <w:r>
              <w:rPr>
                <w:rFonts w:ascii="Arial" w:cs="Arial" w:eastAsia="Arial" w:hAnsi="Arial"/>
                <w:sz w:val="15"/>
                <w:szCs w:val="15"/>
                <w:b w:val="1"/>
                <w:bCs w:val="1"/>
                <w:color w:val="auto"/>
              </w:rPr>
              <w:t>April 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2011</w:t>
            </w:r>
          </w:p>
        </w:tc>
        <w:tc>
          <w:tcPr>
            <w:tcW w:w="300" w:type="dxa"/>
            <w:vAlign w:val="bottom"/>
          </w:tcPr>
          <w:p>
            <w:pPr>
              <w:spacing w:after="0"/>
              <w:rPr>
                <w:sz w:val="16"/>
                <w:szCs w:val="16"/>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2011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Certificates of deposit denominated in Australian 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773,326</w:t>
            </w:r>
          </w:p>
        </w:tc>
        <w:tc>
          <w:tcPr>
            <w:tcW w:w="3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491,895</w:t>
            </w:r>
          </w:p>
        </w:tc>
        <w:tc>
          <w:tcPr>
            <w:tcW w:w="0" w:type="dxa"/>
            <w:vAlign w:val="bottom"/>
          </w:tcPr>
          <w:p>
            <w:pPr>
              <w:spacing w:after="0"/>
              <w:rPr>
                <w:sz w:val="1"/>
                <w:szCs w:val="1"/>
                <w:color w:val="auto"/>
              </w:rPr>
            </w:pPr>
          </w:p>
        </w:tc>
      </w:tr>
      <w:tr>
        <w:trPr>
          <w:trHeight w:val="356"/>
        </w:trPr>
        <w:tc>
          <w:tcPr>
            <w:tcW w:w="6020" w:type="dxa"/>
            <w:vAlign w:val="bottom"/>
            <w:gridSpan w:val="2"/>
          </w:tcPr>
          <w:p>
            <w:pPr>
              <w:spacing w:after="0"/>
              <w:rPr>
                <w:sz w:val="20"/>
                <w:szCs w:val="20"/>
                <w:color w:val="auto"/>
              </w:rPr>
            </w:pPr>
            <w:r>
              <w:rPr>
                <w:rFonts w:ascii="Arial" w:cs="Arial" w:eastAsia="Arial" w:hAnsi="Arial"/>
                <w:sz w:val="15"/>
                <w:szCs w:val="15"/>
                <w:color w:val="auto"/>
              </w:rPr>
              <w:t>Certificate of deposit denominated in US dollars</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3,806,808</w:t>
            </w:r>
          </w:p>
        </w:tc>
        <w:tc>
          <w:tcPr>
            <w:tcW w:w="3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6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US Treasury obligations</w:t>
            </w: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20,512,779</w:t>
            </w:r>
          </w:p>
        </w:tc>
        <w:tc>
          <w:tcPr>
            <w:tcW w:w="3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25,526,699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0"/>
              </w:rPr>
              <w:t>25,092,913</w:t>
            </w:r>
          </w:p>
        </w:tc>
        <w:tc>
          <w:tcPr>
            <w:tcW w:w="3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26,018,594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left="280" w:right="3300"/>
        <w:spacing w:after="0" w:line="258" w:lineRule="auto"/>
        <w:rPr>
          <w:sz w:val="20"/>
          <w:szCs w:val="20"/>
          <w:color w:val="auto"/>
        </w:rPr>
      </w:pPr>
      <w:r>
        <w:rPr>
          <w:rFonts w:ascii="Arial" w:cs="Arial" w:eastAsia="Arial" w:hAnsi="Arial"/>
          <w:sz w:val="15"/>
          <w:szCs w:val="15"/>
          <w:color w:val="auto"/>
        </w:rPr>
        <w:t>The Company’s marketable securities that mature more than one year from the balance sheet date are classified as noncurrent assets. These marketable securities all mature in less than three years, are all classified as held-to-maturity, are carried at amortized cost and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color w:val="auto"/>
                <w:w w:val="84"/>
              </w:rPr>
              <w:t>Gross</w:t>
            </w:r>
          </w:p>
        </w:tc>
        <w:tc>
          <w:tcPr>
            <w:tcW w:w="1100" w:type="dxa"/>
            <w:vAlign w:val="bottom"/>
            <w:gridSpan w:val="2"/>
          </w:tcPr>
          <w:p>
            <w:pPr>
              <w:jc w:val="center"/>
              <w:ind w:right="300"/>
              <w:spacing w:after="0"/>
              <w:rPr>
                <w:sz w:val="20"/>
                <w:szCs w:val="20"/>
                <w:color w:val="auto"/>
              </w:rPr>
            </w:pPr>
            <w:r>
              <w:rPr>
                <w:rFonts w:ascii="Arial" w:cs="Arial" w:eastAsia="Arial" w:hAnsi="Arial"/>
                <w:sz w:val="15"/>
                <w:szCs w:val="15"/>
                <w:color w:val="auto"/>
                <w:w w:val="89"/>
              </w:rPr>
              <w:t>Gross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5"/>
                <w:szCs w:val="15"/>
                <w:color w:val="auto"/>
                <w:w w:val="91"/>
              </w:rPr>
              <w:t>Amortized</w:t>
            </w: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color w:val="auto"/>
                <w:w w:val="89"/>
              </w:rPr>
              <w:t>unrealized</w:t>
            </w:r>
          </w:p>
        </w:tc>
        <w:tc>
          <w:tcPr>
            <w:tcW w:w="1100" w:type="dxa"/>
            <w:vAlign w:val="bottom"/>
            <w:gridSpan w:val="2"/>
          </w:tcPr>
          <w:p>
            <w:pPr>
              <w:jc w:val="center"/>
              <w:ind w:right="300"/>
              <w:spacing w:after="0"/>
              <w:rPr>
                <w:sz w:val="20"/>
                <w:szCs w:val="20"/>
                <w:color w:val="auto"/>
              </w:rPr>
            </w:pPr>
            <w:r>
              <w:rPr>
                <w:rFonts w:ascii="Arial" w:cs="Arial" w:eastAsia="Arial" w:hAnsi="Arial"/>
                <w:sz w:val="15"/>
                <w:szCs w:val="15"/>
                <w:color w:val="auto"/>
                <w:w w:val="86"/>
              </w:rPr>
              <w:t>unrealized</w:t>
            </w:r>
          </w:p>
        </w:tc>
        <w:tc>
          <w:tcPr>
            <w:tcW w:w="880" w:type="dxa"/>
            <w:vAlign w:val="bottom"/>
            <w:gridSpan w:val="2"/>
          </w:tcPr>
          <w:p>
            <w:pPr>
              <w:jc w:val="center"/>
              <w:ind w:right="80"/>
              <w:spacing w:after="0"/>
              <w:rPr>
                <w:sz w:val="20"/>
                <w:szCs w:val="20"/>
                <w:color w:val="auto"/>
              </w:rPr>
            </w:pPr>
            <w:r>
              <w:rPr>
                <w:rFonts w:ascii="Arial" w:cs="Arial" w:eastAsia="Arial" w:hAnsi="Arial"/>
                <w:sz w:val="15"/>
                <w:szCs w:val="15"/>
                <w:color w:val="auto"/>
                <w:w w:val="95"/>
              </w:rPr>
              <w:t>Market</w:t>
            </w:r>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5"/>
                <w:szCs w:val="15"/>
                <w:color w:val="auto"/>
              </w:rPr>
              <w:t>cost</w:t>
            </w:r>
          </w:p>
        </w:tc>
        <w:tc>
          <w:tcPr>
            <w:tcW w:w="1120" w:type="dxa"/>
            <w:vAlign w:val="bottom"/>
            <w:gridSpan w:val="2"/>
          </w:tcPr>
          <w:p>
            <w:pPr>
              <w:jc w:val="center"/>
              <w:ind w:right="320"/>
              <w:spacing w:after="0"/>
              <w:rPr>
                <w:sz w:val="20"/>
                <w:szCs w:val="20"/>
                <w:color w:val="auto"/>
              </w:rPr>
            </w:pPr>
            <w:r>
              <w:rPr>
                <w:rFonts w:ascii="Arial" w:cs="Arial" w:eastAsia="Arial" w:hAnsi="Arial"/>
                <w:sz w:val="15"/>
                <w:szCs w:val="15"/>
                <w:color w:val="auto"/>
                <w:w w:val="89"/>
              </w:rPr>
              <w:t>gains</w:t>
            </w:r>
          </w:p>
        </w:tc>
        <w:tc>
          <w:tcPr>
            <w:tcW w:w="1100" w:type="dxa"/>
            <w:vAlign w:val="bottom"/>
            <w:gridSpan w:val="2"/>
          </w:tcPr>
          <w:p>
            <w:pPr>
              <w:jc w:val="center"/>
              <w:ind w:right="300"/>
              <w:spacing w:after="0"/>
              <w:rPr>
                <w:sz w:val="20"/>
                <w:szCs w:val="20"/>
                <w:color w:val="auto"/>
              </w:rPr>
            </w:pPr>
            <w:r>
              <w:rPr>
                <w:rFonts w:ascii="Arial" w:cs="Arial" w:eastAsia="Arial" w:hAnsi="Arial"/>
                <w:sz w:val="15"/>
                <w:szCs w:val="15"/>
                <w:color w:val="auto"/>
                <w:w w:val="84"/>
              </w:rPr>
              <w:t>losses</w:t>
            </w:r>
          </w:p>
        </w:tc>
        <w:tc>
          <w:tcPr>
            <w:tcW w:w="880" w:type="dxa"/>
            <w:vAlign w:val="bottom"/>
            <w:gridSpan w:val="2"/>
          </w:tcPr>
          <w:p>
            <w:pPr>
              <w:jc w:val="center"/>
              <w:ind w:right="80"/>
              <w:spacing w:after="0"/>
              <w:rPr>
                <w:sz w:val="20"/>
                <w:szCs w:val="20"/>
                <w:color w:val="auto"/>
              </w:rPr>
            </w:pPr>
            <w:r>
              <w:rPr>
                <w:rFonts w:ascii="Arial" w:cs="Arial" w:eastAsia="Arial" w:hAnsi="Arial"/>
                <w:sz w:val="15"/>
                <w:szCs w:val="15"/>
                <w:color w:val="auto"/>
                <w:w w:val="89"/>
              </w:rPr>
              <w:t>value</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37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July 31, 2011</w:t>
            </w: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6"/>
        </w:trPr>
        <w:tc>
          <w:tcPr>
            <w:tcW w:w="4060" w:type="dxa"/>
            <w:vAlign w:val="bottom"/>
            <w:gridSpan w:val="2"/>
          </w:tcPr>
          <w:p>
            <w:pPr>
              <w:ind w:left="280"/>
              <w:spacing w:after="0"/>
              <w:rPr>
                <w:sz w:val="20"/>
                <w:szCs w:val="20"/>
                <w:color w:val="auto"/>
              </w:rPr>
            </w:pPr>
            <w:r>
              <w:rPr>
                <w:rFonts w:ascii="Arial" w:cs="Arial" w:eastAsia="Arial" w:hAnsi="Arial"/>
                <w:sz w:val="15"/>
                <w:szCs w:val="15"/>
                <w:color w:val="auto"/>
              </w:rPr>
              <w:t>US Treasury obligations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7,516,214</w:t>
            </w:r>
          </w:p>
        </w:tc>
        <w:tc>
          <w:tcPr>
            <w:tcW w:w="34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92,716</w:t>
            </w:r>
          </w:p>
        </w:tc>
        <w:tc>
          <w:tcPr>
            <w:tcW w:w="110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7,608,930</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7,516,214</w:t>
            </w:r>
          </w:p>
        </w:tc>
        <w:tc>
          <w:tcPr>
            <w:tcW w:w="3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92,716</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7,608,930</w:t>
            </w:r>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ind w:left="280"/>
              <w:spacing w:after="0"/>
              <w:rPr>
                <w:sz w:val="20"/>
                <w:szCs w:val="20"/>
                <w:color w:val="auto"/>
              </w:rPr>
            </w:pPr>
            <w:r>
              <w:rPr>
                <w:rFonts w:ascii="Arial" w:cs="Arial" w:eastAsia="Arial" w:hAnsi="Arial"/>
                <w:sz w:val="15"/>
                <w:szCs w:val="15"/>
                <w:color w:val="auto"/>
              </w:rPr>
              <w:t>April 30, 2011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0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80" w:type="dxa"/>
            <w:vAlign w:val="bottom"/>
            <w:vMerge w:val="restart"/>
          </w:tcPr>
          <w:p>
            <w:pPr>
              <w:spacing w:after="0"/>
              <w:rPr>
                <w:sz w:val="15"/>
                <w:szCs w:val="15"/>
                <w:color w:val="auto"/>
              </w:rPr>
            </w:pPr>
          </w:p>
        </w:tc>
        <w:tc>
          <w:tcPr>
            <w:tcW w:w="3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80" w:type="dxa"/>
            <w:vAlign w:val="bottom"/>
            <w:vMerge w:val="continue"/>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5"/>
                <w:szCs w:val="15"/>
                <w:color w:val="auto"/>
              </w:rPr>
              <w:t>US Treasury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w w:val="93"/>
              </w:rPr>
              <w:t>12,516,208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164,107</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12,680,315</w:t>
            </w:r>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5"/>
                <w:szCs w:val="15"/>
                <w:color w:val="auto"/>
              </w:rPr>
              <w:t>Certificate of deposit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3,806,808</w:t>
            </w:r>
          </w:p>
        </w:tc>
        <w:tc>
          <w:tcPr>
            <w:tcW w:w="3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10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3,806,808</w:t>
            </w:r>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w w:val="93"/>
              </w:rPr>
              <w:t>16,323,016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164,107</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16,487,123</w:t>
            </w:r>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426"/>
              <w:spacing w:after="0"/>
              <w:rPr>
                <w:sz w:val="20"/>
                <w:szCs w:val="20"/>
                <w:color w:val="auto"/>
              </w:rPr>
            </w:pPr>
            <w:r>
              <w:rPr>
                <w:rFonts w:ascii="Arial" w:cs="Arial" w:eastAsia="Arial" w:hAnsi="Arial"/>
                <w:sz w:val="15"/>
                <w:szCs w:val="15"/>
                <w:color w:val="auto"/>
              </w:rPr>
              <w:t>11</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80" w:type="dxa"/>
            <w:vAlign w:val="bottom"/>
            <w:tcBorders>
              <w:bottom w:val="single" w:sz="8" w:color="808080"/>
            </w:tcBorders>
          </w:tcPr>
          <w:p>
            <w:pPr>
              <w:spacing w:after="0"/>
              <w:rPr>
                <w:sz w:val="16"/>
                <w:szCs w:val="16"/>
                <w:color w:val="auto"/>
              </w:rPr>
            </w:pPr>
          </w:p>
        </w:tc>
        <w:tc>
          <w:tcPr>
            <w:tcW w:w="378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31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2"/>
        </w:trPr>
        <w:tc>
          <w:tcPr>
            <w:tcW w:w="6200" w:type="dxa"/>
            <w:vAlign w:val="bottom"/>
            <w:gridSpan w:val="3"/>
          </w:tcPr>
          <w:p>
            <w:pPr>
              <w:spacing w:after="0"/>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Table of Contents</w:t>
              </w:r>
            </w:hyperlink>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2"/>
        </w:trPr>
        <w:tc>
          <w:tcPr>
            <w:tcW w:w="2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5080" w:type="dxa"/>
            <w:vAlign w:val="bottom"/>
          </w:tcPr>
          <w:p>
            <w:pPr>
              <w:jc w:val="center"/>
              <w:ind w:left="1186"/>
              <w:spacing w:after="0"/>
              <w:rPr>
                <w:sz w:val="20"/>
                <w:szCs w:val="20"/>
                <w:color w:val="auto"/>
              </w:rPr>
            </w:pPr>
            <w:r>
              <w:rPr>
                <w:rFonts w:ascii="Arial" w:cs="Arial" w:eastAsia="Arial" w:hAnsi="Arial"/>
                <w:sz w:val="15"/>
                <w:szCs w:val="15"/>
                <w:b w:val="1"/>
                <w:bCs w:val="1"/>
                <w:color w:val="auto"/>
                <w:w w:val="87"/>
              </w:rPr>
              <w:t>Ocean Power Technologies, Inc. and Subsidiaries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80" w:type="dxa"/>
            <w:vAlign w:val="bottom"/>
          </w:tcPr>
          <w:p>
            <w:pPr>
              <w:jc w:val="center"/>
              <w:ind w:left="1166"/>
              <w:spacing w:after="0"/>
              <w:rPr>
                <w:sz w:val="20"/>
                <w:szCs w:val="20"/>
                <w:color w:val="auto"/>
              </w:rPr>
            </w:pPr>
            <w:r>
              <w:rPr>
                <w:rFonts w:ascii="Arial" w:cs="Arial" w:eastAsia="Arial" w:hAnsi="Arial"/>
                <w:sz w:val="15"/>
                <w:szCs w:val="15"/>
                <w:b w:val="1"/>
                <w:bCs w:val="1"/>
                <w:color w:val="auto"/>
                <w:w w:val="88"/>
              </w:rPr>
              <w:t>Notes to Consolidated Financial Statements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80" w:type="dxa"/>
            <w:vAlign w:val="bottom"/>
          </w:tcPr>
          <w:p>
            <w:pPr>
              <w:jc w:val="center"/>
              <w:ind w:left="1166"/>
              <w:spacing w:after="0"/>
              <w:rPr>
                <w:sz w:val="20"/>
                <w:szCs w:val="20"/>
                <w:color w:val="auto"/>
              </w:rPr>
            </w:pPr>
            <w:r>
              <w:rPr>
                <w:rFonts w:ascii="Arial" w:cs="Arial" w:eastAsia="Arial" w:hAnsi="Arial"/>
                <w:sz w:val="15"/>
                <w:szCs w:val="15"/>
                <w:b w:val="1"/>
                <w:bCs w:val="1"/>
                <w:color w:val="auto"/>
                <w:w w:val="91"/>
              </w:rPr>
              <w:t>(Unaudited)</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6200" w:type="dxa"/>
            <w:vAlign w:val="bottom"/>
            <w:gridSpan w:val="3"/>
          </w:tcPr>
          <w:p>
            <w:pPr>
              <w:ind w:left="280"/>
              <w:spacing w:after="0"/>
              <w:rPr>
                <w:sz w:val="20"/>
                <w:szCs w:val="20"/>
                <w:color w:val="auto"/>
              </w:rPr>
            </w:pPr>
            <w:r>
              <w:rPr>
                <w:rFonts w:ascii="Arial" w:cs="Arial" w:eastAsia="Arial" w:hAnsi="Arial"/>
                <w:sz w:val="15"/>
                <w:szCs w:val="15"/>
                <w:b w:val="1"/>
                <w:bCs w:val="1"/>
                <w:color w:val="auto"/>
              </w:rPr>
              <w:t>(4) Balance Sheet Detail</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5"/>
                <w:szCs w:val="15"/>
                <w:b w:val="1"/>
                <w:bCs w:val="1"/>
                <w:color w:val="auto"/>
              </w:rPr>
              <w:t>July 31, 2011</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90"/>
              </w:rPr>
              <w:t>April 30, 2011</w:t>
            </w:r>
          </w:p>
        </w:tc>
        <w:tc>
          <w:tcPr>
            <w:tcW w:w="0" w:type="dxa"/>
            <w:vAlign w:val="bottom"/>
          </w:tcPr>
          <w:p>
            <w:pPr>
              <w:spacing w:after="0"/>
              <w:rPr>
                <w:sz w:val="1"/>
                <w:szCs w:val="1"/>
                <w:color w:val="auto"/>
              </w:rPr>
            </w:pPr>
          </w:p>
        </w:tc>
      </w:tr>
      <w:tr>
        <w:trPr>
          <w:trHeight w:val="170"/>
        </w:trPr>
        <w:tc>
          <w:tcPr>
            <w:tcW w:w="280" w:type="dxa"/>
            <w:vAlign w:val="bottom"/>
            <w:vMerge w:val="restart"/>
          </w:tcPr>
          <w:p>
            <w:pPr>
              <w:spacing w:after="0"/>
              <w:rPr>
                <w:sz w:val="14"/>
                <w:szCs w:val="14"/>
                <w:color w:val="auto"/>
              </w:rPr>
            </w:pPr>
          </w:p>
        </w:tc>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80" w:type="dxa"/>
            <w:vAlign w:val="bottom"/>
            <w:vMerge w:val="continue"/>
          </w:tcPr>
          <w:p>
            <w:pPr>
              <w:spacing w:after="0"/>
              <w:rPr>
                <w:sz w:val="15"/>
                <w:szCs w:val="15"/>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Property and Equipment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920" w:type="dxa"/>
            <w:vAlign w:val="bottom"/>
            <w:gridSpan w:val="2"/>
          </w:tcPr>
          <w:p>
            <w:pPr>
              <w:ind w:left="160"/>
              <w:spacing w:after="0"/>
              <w:rPr>
                <w:sz w:val="20"/>
                <w:szCs w:val="20"/>
                <w:color w:val="auto"/>
              </w:rPr>
            </w:pPr>
            <w:r>
              <w:rPr>
                <w:rFonts w:ascii="Arial" w:cs="Arial" w:eastAsia="Arial" w:hAnsi="Arial"/>
                <w:sz w:val="15"/>
                <w:szCs w:val="15"/>
                <w:color w:val="auto"/>
              </w:rPr>
              <w:t>Property and Equipment</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2,234,763</w:t>
            </w:r>
          </w:p>
        </w:tc>
        <w:tc>
          <w:tcPr>
            <w:tcW w:w="30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2,151,179</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Accumulated depreciation and amortization</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3"/>
              </w:rPr>
              <w:t>(1,438,704)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(1,359,087)</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796,059</w:t>
            </w:r>
          </w:p>
        </w:tc>
        <w:tc>
          <w:tcPr>
            <w:tcW w:w="3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792,092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0" w:type="dxa"/>
            <w:vAlign w:val="bottom"/>
            <w:vMerge w:val="restart"/>
          </w:tcPr>
          <w:p>
            <w:pPr>
              <w:spacing w:after="0"/>
              <w:rPr>
                <w:sz w:val="14"/>
                <w:szCs w:val="14"/>
                <w:color w:val="auto"/>
              </w:rPr>
            </w:pPr>
          </w:p>
        </w:tc>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80" w:type="dxa"/>
            <w:vAlign w:val="bottom"/>
            <w:vMerge w:val="continue"/>
          </w:tcPr>
          <w:p>
            <w:pPr>
              <w:spacing w:after="0"/>
              <w:rPr>
                <w:sz w:val="15"/>
                <w:szCs w:val="15"/>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Patents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920" w:type="dxa"/>
            <w:vAlign w:val="bottom"/>
            <w:gridSpan w:val="2"/>
          </w:tcPr>
          <w:p>
            <w:pPr>
              <w:ind w:left="160"/>
              <w:spacing w:after="0"/>
              <w:rPr>
                <w:sz w:val="20"/>
                <w:szCs w:val="20"/>
                <w:color w:val="auto"/>
              </w:rPr>
            </w:pPr>
            <w:r>
              <w:rPr>
                <w:rFonts w:ascii="Arial" w:cs="Arial" w:eastAsia="Arial" w:hAnsi="Arial"/>
                <w:sz w:val="15"/>
                <w:szCs w:val="15"/>
                <w:color w:val="auto"/>
              </w:rPr>
              <w:t>Patents</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1,595,723</w:t>
            </w:r>
          </w:p>
        </w:tc>
        <w:tc>
          <w:tcPr>
            <w:tcW w:w="30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1,556,277</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Accumulated amortization</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(347,772)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(333,909)</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1,247,951</w:t>
            </w:r>
          </w:p>
        </w:tc>
        <w:tc>
          <w:tcPr>
            <w:tcW w:w="3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1,222,368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0" w:type="dxa"/>
            <w:vAlign w:val="bottom"/>
            <w:vMerge w:val="restart"/>
          </w:tcPr>
          <w:p>
            <w:pPr>
              <w:spacing w:after="0"/>
              <w:rPr>
                <w:sz w:val="14"/>
                <w:szCs w:val="14"/>
                <w:color w:val="auto"/>
              </w:rPr>
            </w:pPr>
          </w:p>
        </w:tc>
        <w:tc>
          <w:tcPr>
            <w:tcW w:w="8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80" w:type="dxa"/>
            <w:vAlign w:val="bottom"/>
            <w:vMerge w:val="continue"/>
          </w:tcPr>
          <w:p>
            <w:pPr>
              <w:spacing w:after="0"/>
              <w:rPr>
                <w:sz w:val="15"/>
                <w:szCs w:val="15"/>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Accrued Expenses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920" w:type="dxa"/>
            <w:vAlign w:val="bottom"/>
            <w:gridSpan w:val="2"/>
          </w:tcPr>
          <w:p>
            <w:pPr>
              <w:ind w:left="160"/>
              <w:spacing w:after="0"/>
              <w:rPr>
                <w:sz w:val="20"/>
                <w:szCs w:val="20"/>
                <w:color w:val="auto"/>
              </w:rPr>
            </w:pPr>
            <w:r>
              <w:rPr>
                <w:rFonts w:ascii="Arial" w:cs="Arial" w:eastAsia="Arial" w:hAnsi="Arial"/>
                <w:sz w:val="15"/>
                <w:szCs w:val="15"/>
                <w:color w:val="auto"/>
              </w:rPr>
              <w:t>Project costs</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1,545,339</w:t>
            </w:r>
          </w:p>
        </w:tc>
        <w:tc>
          <w:tcPr>
            <w:tcW w:w="30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1,505,981</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Contract loss reserves</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785,000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785,000</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920" w:type="dxa"/>
            <w:vAlign w:val="bottom"/>
            <w:gridSpan w:val="2"/>
          </w:tcPr>
          <w:p>
            <w:pPr>
              <w:ind w:left="160"/>
              <w:spacing w:after="0"/>
              <w:rPr>
                <w:sz w:val="20"/>
                <w:szCs w:val="20"/>
                <w:color w:val="auto"/>
              </w:rPr>
            </w:pPr>
            <w:r>
              <w:rPr>
                <w:rFonts w:ascii="Arial" w:cs="Arial" w:eastAsia="Arial" w:hAnsi="Arial"/>
                <w:sz w:val="15"/>
                <w:szCs w:val="15"/>
                <w:color w:val="auto"/>
              </w:rPr>
              <w:t>Employee incentive payments</w:t>
            </w:r>
          </w:p>
        </w:tc>
        <w:tc>
          <w:tcPr>
            <w:tcW w:w="12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190,579</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749,464</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Other</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271,074</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282,999</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920" w:type="dxa"/>
            <w:vAlign w:val="bottom"/>
            <w:gridSpan w:val="2"/>
          </w:tcPr>
          <w:p>
            <w:pPr>
              <w:ind w:left="160"/>
              <w:spacing w:after="0"/>
              <w:rPr>
                <w:sz w:val="20"/>
                <w:szCs w:val="20"/>
                <w:color w:val="auto"/>
              </w:rPr>
            </w:pPr>
            <w:r>
              <w:rPr>
                <w:rFonts w:ascii="Arial" w:cs="Arial" w:eastAsia="Arial" w:hAnsi="Arial"/>
                <w:sz w:val="15"/>
                <w:szCs w:val="15"/>
                <w:color w:val="auto"/>
              </w:rPr>
              <w:t>Employee-related costs</w:t>
            </w:r>
          </w:p>
        </w:tc>
        <w:tc>
          <w:tcPr>
            <w:tcW w:w="12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417,173</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364,799</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Payroll tax withholdings</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169,043</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219,632</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920" w:type="dxa"/>
            <w:vAlign w:val="bottom"/>
            <w:gridSpan w:val="2"/>
          </w:tcPr>
          <w:p>
            <w:pPr>
              <w:ind w:left="160"/>
              <w:spacing w:after="0"/>
              <w:rPr>
                <w:sz w:val="20"/>
                <w:szCs w:val="20"/>
                <w:color w:val="auto"/>
              </w:rPr>
            </w:pPr>
            <w:r>
              <w:rPr>
                <w:rFonts w:ascii="Arial" w:cs="Arial" w:eastAsia="Arial" w:hAnsi="Arial"/>
                <w:sz w:val="15"/>
                <w:szCs w:val="15"/>
                <w:color w:val="auto"/>
              </w:rPr>
              <w:t>Investment in joint venture</w:t>
            </w:r>
          </w:p>
        </w:tc>
        <w:tc>
          <w:tcPr>
            <w:tcW w:w="12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191,296</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197,318</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Legal and accounting fees</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234,573</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157,616</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5920" w:type="dxa"/>
            <w:vAlign w:val="bottom"/>
            <w:gridSpan w:val="2"/>
          </w:tcPr>
          <w:p>
            <w:pPr>
              <w:ind w:left="160"/>
              <w:spacing w:after="0"/>
              <w:rPr>
                <w:sz w:val="20"/>
                <w:szCs w:val="20"/>
                <w:color w:val="auto"/>
              </w:rPr>
            </w:pPr>
            <w:r>
              <w:rPr>
                <w:rFonts w:ascii="Arial" w:cs="Arial" w:eastAsia="Arial" w:hAnsi="Arial"/>
                <w:sz w:val="15"/>
                <w:szCs w:val="15"/>
                <w:color w:val="auto"/>
              </w:rPr>
              <w:t>Value-added tax</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65,911</w:t>
            </w:r>
          </w:p>
        </w:tc>
        <w:tc>
          <w:tcPr>
            <w:tcW w:w="3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40,143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3,869,988</w:t>
            </w:r>
          </w:p>
        </w:tc>
        <w:tc>
          <w:tcPr>
            <w:tcW w:w="3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4,302,952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(5) Related Party Transactions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August 1999, the Company entered into a consulting agreement with an individual for the provision of marketing services.</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Currently, this agreement provides for fees at a rate of $950 per day of services provided. The individual became a member of the</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board of directors in June 2006. Under this consulting agreement, the Company expensed approximately $21,000 during each of the</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three month periods ended July 31, 2011 and 2010, respectively. The amount of consulting fees payable to this individual at July 31,</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2011 and April 30, 2011 was $7,000. In addition, this individual is also the chief executive officer of a company that provides</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engineering and technical services to the Company. The Company incurred expenses of approximately $22,000 and $57,000 for such</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services during the three months ended July 31, 2011 and 2010, respectively. The amount payable to the individual’s company was</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$5,000 and $56,000 at July 31, 2011 and April 30, 2011, respectively. The Company also provides services to the company where this</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individual is the chief executive officer. The Company recorded revenue of approximately $16,000 for such services during the three</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months ended July 31, 2011. There was no such revenue recorded during the three months ended July 31, 2010. There were no</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amounts receivable from the individual’s company at July 31, 2011 and July 31, 2010, respectively.</w:t>
      </w:r>
    </w:p>
    <w:p>
      <w:pPr>
        <w:spacing w:after="0" w:line="200" w:lineRule="exact"/>
        <w:rPr>
          <w:sz w:val="20"/>
          <w:szCs w:val="20"/>
          <w:color w:val="auto"/>
        </w:rPr>
      </w:pPr>
    </w:p>
    <w:p>
      <w:pPr>
        <w:spacing w:after="0" w:line="275"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57" w:right="1440"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center"/>
        <w:ind w:right="1659"/>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20" w:lineRule="exact"/>
        <w:rPr>
          <w:sz w:val="20"/>
          <w:szCs w:val="20"/>
          <w:color w:val="auto"/>
        </w:rPr>
      </w:pPr>
    </w:p>
    <w:p>
      <w:pPr>
        <w:jc w:val="center"/>
        <w:ind w:right="16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6" w:lineRule="exact"/>
        <w:rPr>
          <w:sz w:val="20"/>
          <w:szCs w:val="20"/>
          <w:color w:val="auto"/>
        </w:rPr>
      </w:pPr>
    </w:p>
    <w:p>
      <w:pPr>
        <w:jc w:val="center"/>
        <w:ind w:right="1659"/>
        <w:spacing w:after="0"/>
        <w:rPr>
          <w:sz w:val="20"/>
          <w:szCs w:val="20"/>
          <w:color w:val="auto"/>
        </w:rPr>
      </w:pPr>
      <w:r>
        <w:rPr>
          <w:rFonts w:ascii="Arial" w:cs="Arial" w:eastAsia="Arial" w:hAnsi="Arial"/>
          <w:sz w:val="15"/>
          <w:szCs w:val="15"/>
          <w:b w:val="1"/>
          <w:bCs w:val="1"/>
          <w:color w:val="auto"/>
        </w:rPr>
        <w:t>(Unaudited)</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(6) Debt</w:t>
      </w:r>
    </w:p>
    <w:p>
      <w:pPr>
        <w:spacing w:after="0" w:line="155" w:lineRule="exact"/>
        <w:rPr>
          <w:sz w:val="20"/>
          <w:szCs w:val="20"/>
          <w:color w:val="auto"/>
        </w:rPr>
      </w:pPr>
    </w:p>
    <w:p>
      <w:pPr>
        <w:ind w:left="280" w:right="1979"/>
        <w:spacing w:after="0" w:line="272" w:lineRule="auto"/>
        <w:rPr>
          <w:sz w:val="20"/>
          <w:szCs w:val="20"/>
          <w:color w:val="auto"/>
        </w:rPr>
      </w:pPr>
      <w:r>
        <w:rPr>
          <w:rFonts w:ascii="Arial" w:cs="Arial" w:eastAsia="Arial" w:hAnsi="Arial"/>
          <w:sz w:val="14"/>
          <w:szCs w:val="14"/>
          <w:color w:val="auto"/>
        </w:rPr>
        <w:t>During the year ended April 30, 2000, the Company received an award of $250,000 from the State of New Jersey Commission on Science and Technology for the development of a wave power system that was deployed off the coast of New Jersey. The award contract was assigned to the New Jersey Economic Development Authority in fiscal 2008. Under the terms of this award, the Company must repay the amount funded, without interest, by July 15, 2012. The amounts to be repaid each year are determined as a percentage of revenues (as defined in the loan agreement) the Company receives that year from its customer contracts that meet criteria specified in the loan agreement. The Company has repaid the entire award of $250,000, as of July 31, 2011. The final payment of $89,378 was paid during the three months ended July 31, 2011.</w:t>
      </w:r>
    </w:p>
    <w:p>
      <w:pPr>
        <w:spacing w:after="0" w:line="115" w:lineRule="exact"/>
        <w:rPr>
          <w:sz w:val="20"/>
          <w:szCs w:val="20"/>
          <w:color w:val="auto"/>
        </w:rPr>
      </w:pPr>
    </w:p>
    <w:p>
      <w:pPr>
        <w:ind w:left="280" w:right="1999"/>
        <w:spacing w:after="0" w:line="298" w:lineRule="auto"/>
        <w:rPr>
          <w:sz w:val="20"/>
          <w:szCs w:val="20"/>
          <w:color w:val="auto"/>
        </w:rPr>
      </w:pPr>
      <w:r>
        <w:rPr>
          <w:rFonts w:ascii="Arial" w:cs="Arial" w:eastAsia="Arial" w:hAnsi="Arial"/>
          <w:sz w:val="13"/>
          <w:szCs w:val="13"/>
          <w:color w:val="auto"/>
        </w:rPr>
        <w:t>The Company was awarded a recoverable grant totaling $500,000 from the NJBPU under the Renewable Energy Business Venture Assistance Program. Under the terms of this agreement, the amount to be repaid is a fixed monthly amount of principal only, repayable over a five-year period beginning in November 2011. As of July 31, 2011, $75,000 was included in current portion of long-term debt on the accompanying consolidated balance sheet. The terms also required the Company to assign to the NJBPU a certificate of deposit in an amount equal to the outstanding grant balance. The Company received $250,000, representing the first half of the grant, during the year ended April 30, 2010, and the remaining $250,000 was received in June 2010. See Note 2(c).</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(7) Deferred Credits</w:t>
      </w:r>
    </w:p>
    <w:p>
      <w:pPr>
        <w:spacing w:after="0" w:line="155" w:lineRule="exact"/>
        <w:rPr>
          <w:sz w:val="20"/>
          <w:szCs w:val="20"/>
          <w:color w:val="auto"/>
        </w:rPr>
      </w:pPr>
    </w:p>
    <w:p>
      <w:pPr>
        <w:ind w:left="280" w:right="1959"/>
        <w:spacing w:after="0" w:line="293" w:lineRule="auto"/>
        <w:rPr>
          <w:sz w:val="20"/>
          <w:szCs w:val="20"/>
          <w:color w:val="auto"/>
        </w:rPr>
      </w:pPr>
      <w:r>
        <w:rPr>
          <w:rFonts w:ascii="Arial" w:cs="Arial" w:eastAsia="Arial" w:hAnsi="Arial"/>
          <w:sz w:val="13"/>
          <w:szCs w:val="13"/>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This amount has been recorded as deferred credits in the accompanying consolidated balance sheets as of July 31, 2011 and April 30, 2011. If the Company does not become entitled under applicable laws to the full amount of emission credits covered by the option by December 31, 2012, the Company is obligated to return the option fee of $600,000, less the aggregate discount on any emission credits sold to the investor prior to such date. If the Company receives emission credits under applicable laws and fails to sell to the investor the credits up to the full amount of emission credits covered by the option, the investor is entitled to liquidated damages equal to 30% of the aggregate market value of the shortfall in emission credits (subject to a limit on the market price of emission credits).</w:t>
      </w:r>
    </w:p>
    <w:p>
      <w:pPr>
        <w:spacing w:after="0" w:line="102"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(8) Stock-Based Compensation</w:t>
      </w:r>
    </w:p>
    <w:p>
      <w:pPr>
        <w:spacing w:after="0" w:line="166" w:lineRule="exact"/>
        <w:rPr>
          <w:sz w:val="20"/>
          <w:szCs w:val="20"/>
          <w:color w:val="auto"/>
        </w:rPr>
      </w:pPr>
    </w:p>
    <w:p>
      <w:pPr>
        <w:ind w:left="280" w:right="2059"/>
        <w:spacing w:after="0" w:line="273" w:lineRule="auto"/>
        <w:rPr>
          <w:sz w:val="20"/>
          <w:szCs w:val="20"/>
          <w:color w:val="auto"/>
        </w:rPr>
      </w:pPr>
      <w:r>
        <w:rPr>
          <w:rFonts w:ascii="Arial" w:cs="Arial" w:eastAsia="Arial" w:hAnsi="Arial"/>
          <w:sz w:val="14"/>
          <w:szCs w:val="14"/>
          <w:color w:val="auto"/>
        </w:rPr>
        <w:t>Costs resulting from all stock-based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stock-based compensation expense related to all stock-based transactions recorded in the consolidated statements of operations was approximately $371,000 and $411,000 for the three months ended July 31, 2011 and 2010, respectively.</w:t>
      </w:r>
    </w:p>
    <w:p>
      <w:pPr>
        <w:spacing w:after="0" w:line="200" w:lineRule="exact"/>
        <w:rPr>
          <w:sz w:val="20"/>
          <w:szCs w:val="20"/>
          <w:color w:val="auto"/>
        </w:rPr>
      </w:pPr>
    </w:p>
    <w:p>
      <w:pPr>
        <w:spacing w:after="0" w:line="238"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center"/>
        <w:ind w:right="1659"/>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20" w:lineRule="exact"/>
        <w:rPr>
          <w:sz w:val="20"/>
          <w:szCs w:val="20"/>
          <w:color w:val="auto"/>
        </w:rPr>
      </w:pPr>
    </w:p>
    <w:p>
      <w:pPr>
        <w:jc w:val="center"/>
        <w:ind w:right="16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6" w:lineRule="exact"/>
        <w:rPr>
          <w:sz w:val="20"/>
          <w:szCs w:val="20"/>
          <w:color w:val="auto"/>
        </w:rPr>
      </w:pPr>
    </w:p>
    <w:p>
      <w:pPr>
        <w:jc w:val="center"/>
        <w:ind w:right="1659"/>
        <w:spacing w:after="0"/>
        <w:rPr>
          <w:sz w:val="20"/>
          <w:szCs w:val="20"/>
          <w:color w:val="auto"/>
        </w:rPr>
      </w:pPr>
      <w:r>
        <w:rPr>
          <w:rFonts w:ascii="Arial" w:cs="Arial" w:eastAsia="Arial" w:hAnsi="Arial"/>
          <w:sz w:val="15"/>
          <w:szCs w:val="15"/>
          <w:b w:val="1"/>
          <w:bCs w:val="1"/>
          <w:color w:val="auto"/>
        </w:rPr>
        <w:t>(Unaudited)</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(a) Stock Options</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Valuation Assumptions for Options Granted During the Three Months Ended July 31, 2011 and 2010</w:t>
      </w:r>
    </w:p>
    <w:p>
      <w:pPr>
        <w:spacing w:after="0" w:line="155" w:lineRule="exact"/>
        <w:rPr>
          <w:sz w:val="20"/>
          <w:szCs w:val="20"/>
          <w:color w:val="auto"/>
        </w:rPr>
      </w:pPr>
    </w:p>
    <w:p>
      <w:pPr>
        <w:ind w:left="280" w:right="1939"/>
        <w:spacing w:after="0" w:line="273" w:lineRule="auto"/>
        <w:rPr>
          <w:sz w:val="20"/>
          <w:szCs w:val="20"/>
          <w:color w:val="auto"/>
        </w:rPr>
      </w:pPr>
      <w:r>
        <w:rPr>
          <w:rFonts w:ascii="Arial" w:cs="Arial" w:eastAsia="Arial" w:hAnsi="Arial"/>
          <w:sz w:val="14"/>
          <w:szCs w:val="14"/>
          <w:color w:val="auto"/>
        </w:rPr>
        <w:t xml:space="preserve">The fair value of each stock option granted during the three months ended July 31, 2011 and 2010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Arial" w:cs="Arial" w:eastAsia="Arial" w:hAnsi="Arial"/>
          <w:sz w:val="14"/>
          <w:szCs w:val="14"/>
          <w:i w:val="1"/>
          <w:iCs w:val="1"/>
          <w:color w:val="auto"/>
        </w:rPr>
        <w:t>Share-Based Payment.</w:t>
      </w:r>
      <w:r>
        <w:rPr>
          <w:rFonts w:ascii="Arial" w:cs="Arial" w:eastAsia="Arial" w:hAnsi="Arial"/>
          <w:sz w:val="14"/>
          <w:szCs w:val="14"/>
          <w:color w:val="auto"/>
        </w:rPr>
        <w:t xml:space="preserve"> Expected volatility was based on historical volatility for a peer group of companies for a period equal to the stock option’s expected life, calculated on a daily basis.</w:t>
      </w:r>
    </w:p>
    <w:p>
      <w:pPr>
        <w:spacing w:after="0" w:line="145" w:lineRule="exact"/>
        <w:rPr>
          <w:sz w:val="20"/>
          <w:szCs w:val="20"/>
          <w:color w:val="auto"/>
        </w:rPr>
      </w:pPr>
    </w:p>
    <w:tbl>
      <w:tblPr>
        <w:tblLayout w:type="fixed"/>
        <w:tblInd w:w="280" w:type="dxa"/>
        <w:tblCellMar>
          <w:top w:w="0" w:type="dxa"/>
          <w:left w:w="0" w:type="dxa"/>
          <w:bottom w:w="0" w:type="dxa"/>
          <w:right w:w="0" w:type="dxa"/>
        </w:tblCellMar>
      </w:tblPr>
      <w:tr>
        <w:trPr>
          <w:trHeight w:val="193"/>
        </w:trPr>
        <w:tc>
          <w:tcPr>
            <w:tcW w:w="5940" w:type="dxa"/>
            <w:vAlign w:val="bottom"/>
          </w:tcPr>
          <w:p>
            <w:pPr>
              <w:spacing w:after="0"/>
              <w:rPr>
                <w:sz w:val="16"/>
                <w:szCs w:val="16"/>
                <w:color w:val="auto"/>
              </w:rPr>
            </w:pPr>
          </w:p>
        </w:tc>
        <w:tc>
          <w:tcPr>
            <w:tcW w:w="2080" w:type="dxa"/>
            <w:vAlign w:val="bottom"/>
            <w:gridSpan w:val="4"/>
          </w:tcPr>
          <w:p>
            <w:pPr>
              <w:jc w:val="right"/>
              <w:ind w:right="180"/>
              <w:spacing w:after="0"/>
              <w:rPr>
                <w:sz w:val="20"/>
                <w:szCs w:val="20"/>
                <w:color w:val="auto"/>
              </w:rPr>
            </w:pPr>
            <w:r>
              <w:rPr>
                <w:rFonts w:ascii="Arial" w:cs="Arial" w:eastAsia="Arial" w:hAnsi="Arial"/>
                <w:sz w:val="15"/>
                <w:szCs w:val="15"/>
                <w:b w:val="1"/>
                <w:bCs w:val="1"/>
                <w:color w:val="auto"/>
                <w:w w:val="90"/>
              </w:rPr>
              <w:t>Three Months Ended July 31,</w:t>
            </w:r>
          </w:p>
        </w:tc>
      </w:tr>
      <w:tr>
        <w:trPr>
          <w:trHeight w:val="170"/>
        </w:trPr>
        <w:tc>
          <w:tcPr>
            <w:tcW w:w="5940" w:type="dxa"/>
            <w:vAlign w:val="bottom"/>
          </w:tcPr>
          <w:p>
            <w:pPr>
              <w:spacing w:after="0"/>
              <w:rPr>
                <w:sz w:val="14"/>
                <w:szCs w:val="14"/>
                <w:color w:val="auto"/>
              </w:rPr>
            </w:pPr>
          </w:p>
        </w:tc>
        <w:tc>
          <w:tcPr>
            <w:tcW w:w="780" w:type="dxa"/>
            <w:vAlign w:val="bottom"/>
            <w:tcBorders>
              <w:top w:val="single" w:sz="8" w:color="auto"/>
              <w:bottom w:val="single" w:sz="8" w:color="auto"/>
            </w:tcBorders>
          </w:tcPr>
          <w:p>
            <w:pPr>
              <w:ind w:left="240"/>
              <w:spacing w:after="0" w:line="170" w:lineRule="exact"/>
              <w:rPr>
                <w:sz w:val="20"/>
                <w:szCs w:val="20"/>
                <w:color w:val="auto"/>
              </w:rPr>
            </w:pPr>
            <w:r>
              <w:rPr>
                <w:rFonts w:ascii="Arial" w:cs="Arial" w:eastAsia="Arial" w:hAnsi="Arial"/>
                <w:sz w:val="15"/>
                <w:szCs w:val="15"/>
                <w:b w:val="1"/>
                <w:bCs w:val="1"/>
                <w:color w:val="auto"/>
              </w:rPr>
              <w:t>2011</w:t>
            </w:r>
          </w:p>
        </w:tc>
        <w:tc>
          <w:tcPr>
            <w:tcW w:w="380" w:type="dxa"/>
            <w:vAlign w:val="bottom"/>
            <w:tcBorders>
              <w:top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66"/>
              <w:spacing w:after="0" w:line="170" w:lineRule="exact"/>
              <w:rPr>
                <w:sz w:val="20"/>
                <w:szCs w:val="20"/>
                <w:color w:val="auto"/>
              </w:rPr>
            </w:pPr>
            <w:r>
              <w:rPr>
                <w:rFonts w:ascii="Arial" w:cs="Arial" w:eastAsia="Arial" w:hAnsi="Arial"/>
                <w:sz w:val="15"/>
                <w:szCs w:val="15"/>
                <w:b w:val="1"/>
                <w:bCs w:val="1"/>
                <w:color w:val="auto"/>
              </w:rPr>
              <w:t>2010</w:t>
            </w:r>
          </w:p>
        </w:tc>
        <w:tc>
          <w:tcPr>
            <w:tcW w:w="140" w:type="dxa"/>
            <w:vAlign w:val="bottom"/>
          </w:tcPr>
          <w:p>
            <w:pPr>
              <w:spacing w:after="0"/>
              <w:rPr>
                <w:sz w:val="14"/>
                <w:szCs w:val="14"/>
                <w:color w:val="auto"/>
              </w:rPr>
            </w:pPr>
          </w:p>
        </w:tc>
      </w:tr>
      <w:tr>
        <w:trPr>
          <w:trHeight w:val="169"/>
        </w:trPr>
        <w:tc>
          <w:tcPr>
            <w:tcW w:w="59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Risk-free interest rate</w:t>
            </w:r>
          </w:p>
        </w:tc>
        <w:tc>
          <w:tcPr>
            <w:tcW w:w="116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2.1%</w:t>
            </w:r>
          </w:p>
        </w:tc>
        <w:tc>
          <w:tcPr>
            <w:tcW w:w="92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2.4%</w:t>
            </w:r>
          </w:p>
        </w:tc>
      </w:tr>
      <w:tr>
        <w:trPr>
          <w:trHeight w:val="178"/>
        </w:trPr>
        <w:tc>
          <w:tcPr>
            <w:tcW w:w="594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0.0%</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0.0%</w:t>
            </w:r>
          </w:p>
        </w:tc>
      </w:tr>
      <w:tr>
        <w:trPr>
          <w:trHeight w:val="178"/>
        </w:trPr>
        <w:tc>
          <w:tcPr>
            <w:tcW w:w="5940" w:type="dxa"/>
            <w:vAlign w:val="bottom"/>
            <w:shd w:val="clear" w:color="auto" w:fill="CCEEFF"/>
          </w:tcPr>
          <w:p>
            <w:pPr>
              <w:spacing w:after="0"/>
              <w:rPr>
                <w:sz w:val="20"/>
                <w:szCs w:val="20"/>
                <w:color w:val="auto"/>
              </w:rPr>
            </w:pPr>
            <w:r>
              <w:rPr>
                <w:rFonts w:ascii="Arial" w:cs="Arial" w:eastAsia="Arial" w:hAnsi="Arial"/>
                <w:sz w:val="15"/>
                <w:szCs w:val="15"/>
                <w:color w:val="auto"/>
              </w:rPr>
              <w:t>Expected life</w:t>
            </w: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6.3 years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6.4 years</w:t>
            </w:r>
          </w:p>
        </w:tc>
      </w:tr>
      <w:tr>
        <w:trPr>
          <w:trHeight w:val="188"/>
        </w:trPr>
        <w:tc>
          <w:tcPr>
            <w:tcW w:w="5940" w:type="dxa"/>
            <w:vAlign w:val="bottom"/>
          </w:tcPr>
          <w:p>
            <w:pPr>
              <w:spacing w:after="0"/>
              <w:rPr>
                <w:sz w:val="20"/>
                <w:szCs w:val="20"/>
                <w:color w:val="auto"/>
              </w:rPr>
            </w:pPr>
            <w:r>
              <w:rPr>
                <w:rFonts w:ascii="Arial" w:cs="Arial" w:eastAsia="Arial" w:hAnsi="Arial"/>
                <w:sz w:val="15"/>
                <w:szCs w:val="15"/>
                <w:color w:val="auto"/>
              </w:rPr>
              <w:t>Expected volatility</w:t>
            </w: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94.0%</w:t>
            </w:r>
          </w:p>
        </w:tc>
        <w:tc>
          <w:tcPr>
            <w:tcW w:w="920" w:type="dxa"/>
            <w:vAlign w:val="bottom"/>
            <w:gridSpan w:val="2"/>
          </w:tcPr>
          <w:p>
            <w:pPr>
              <w:jc w:val="right"/>
              <w:ind w:right="20"/>
              <w:spacing w:after="0"/>
              <w:rPr>
                <w:sz w:val="20"/>
                <w:szCs w:val="20"/>
                <w:color w:val="auto"/>
              </w:rPr>
            </w:pPr>
            <w:r>
              <w:rPr>
                <w:rFonts w:ascii="Arial" w:cs="Arial" w:eastAsia="Arial" w:hAnsi="Arial"/>
                <w:sz w:val="15"/>
                <w:szCs w:val="15"/>
                <w:color w:val="auto"/>
              </w:rPr>
              <w:t>93.8%</w:t>
            </w:r>
          </w:p>
        </w:tc>
      </w:tr>
    </w:tbl>
    <w:p>
      <w:pPr>
        <w:spacing w:after="0" w:line="135" w:lineRule="exact"/>
        <w:rPr>
          <w:sz w:val="20"/>
          <w:szCs w:val="20"/>
          <w:color w:val="auto"/>
        </w:rPr>
      </w:pPr>
    </w:p>
    <w:p>
      <w:pPr>
        <w:ind w:left="280" w:right="1999"/>
        <w:spacing w:after="0" w:line="269" w:lineRule="auto"/>
        <w:rPr>
          <w:sz w:val="20"/>
          <w:szCs w:val="20"/>
          <w:color w:val="auto"/>
        </w:rPr>
      </w:pPr>
      <w:r>
        <w:rPr>
          <w:rFonts w:ascii="Arial" w:cs="Arial" w:eastAsia="Arial" w:hAnsi="Arial"/>
          <w:sz w:val="15"/>
          <w:szCs w:val="15"/>
          <w:color w:val="auto"/>
        </w:rPr>
        <w:t>The above assumptions were used to determine the weighted average per share fair value of $3.15 and $4.21 for stock options granted during the three months ended July 31, 2011 and 2010, respectively.</w:t>
      </w:r>
    </w:p>
    <w:p>
      <w:pPr>
        <w:spacing w:after="0" w:line="115" w:lineRule="exact"/>
        <w:rPr>
          <w:sz w:val="20"/>
          <w:szCs w:val="20"/>
          <w:color w:val="auto"/>
        </w:rPr>
      </w:pPr>
    </w:p>
    <w:tbl>
      <w:tblPr>
        <w:tblLayout w:type="fixed"/>
        <w:tblInd w:w="280" w:type="dxa"/>
        <w:tblCellMar>
          <w:top w:w="0" w:type="dxa"/>
          <w:left w:w="0" w:type="dxa"/>
          <w:bottom w:w="0" w:type="dxa"/>
          <w:right w:w="0" w:type="dxa"/>
        </w:tblCellMar>
      </w:tblPr>
      <w:tr>
        <w:trPr>
          <w:trHeight w:val="188"/>
        </w:trPr>
        <w:tc>
          <w:tcPr>
            <w:tcW w:w="4900" w:type="dxa"/>
            <w:vAlign w:val="bottom"/>
            <w:gridSpan w:val="2"/>
          </w:tcPr>
          <w:p>
            <w:pPr>
              <w:spacing w:after="0"/>
              <w:rPr>
                <w:sz w:val="20"/>
                <w:szCs w:val="20"/>
                <w:color w:val="auto"/>
              </w:rPr>
            </w:pPr>
            <w:r>
              <w:rPr>
                <w:rFonts w:ascii="Arial" w:cs="Arial" w:eastAsia="Arial" w:hAnsi="Arial"/>
                <w:sz w:val="15"/>
                <w:szCs w:val="15"/>
                <w:color w:val="auto"/>
              </w:rPr>
              <w:t>A summary of stock options under the plans is as follows:</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8"/>
              </w:rPr>
              <w:t>Weighted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7"/>
              </w:rPr>
              <w:t>Average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8"/>
              </w:rPr>
              <w:t>Weighted</w:t>
            </w:r>
          </w:p>
        </w:tc>
        <w:tc>
          <w:tcPr>
            <w:tcW w:w="8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8"/>
              </w:rPr>
              <w:t>Remaining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3"/>
              </w:rPr>
              <w:t>Shares</w:t>
            </w:r>
          </w:p>
        </w:tc>
        <w:tc>
          <w:tcPr>
            <w:tcW w:w="80" w:type="dxa"/>
            <w:vAlign w:val="bottom"/>
          </w:tcPr>
          <w:p>
            <w:pPr>
              <w:spacing w:after="0"/>
              <w:rPr>
                <w:sz w:val="15"/>
                <w:szCs w:val="15"/>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7"/>
              </w:rPr>
              <w:t>Average</w:t>
            </w:r>
          </w:p>
        </w:tc>
        <w:tc>
          <w:tcPr>
            <w:tcW w:w="8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Contractual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1"/>
              </w:rPr>
              <w:t>Underlying</w:t>
            </w:r>
          </w:p>
        </w:tc>
        <w:tc>
          <w:tcPr>
            <w:tcW w:w="80" w:type="dxa"/>
            <w:vAlign w:val="bottom"/>
          </w:tcPr>
          <w:p>
            <w:pPr>
              <w:spacing w:after="0"/>
              <w:rPr>
                <w:sz w:val="15"/>
                <w:szCs w:val="15"/>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4"/>
              </w:rPr>
              <w:t>Exercise</w:t>
            </w:r>
          </w:p>
        </w:tc>
        <w:tc>
          <w:tcPr>
            <w:tcW w:w="88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2"/>
              </w:rPr>
              <w:t>Term</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Options</w:t>
            </w:r>
          </w:p>
        </w:tc>
        <w:tc>
          <w:tcPr>
            <w:tcW w:w="3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87"/>
              </w:rPr>
              <w:t>Price</w:t>
            </w:r>
          </w:p>
        </w:tc>
        <w:tc>
          <w:tcPr>
            <w:tcW w:w="3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(In Years)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Outstanding as of April 30, 2011</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1,353,935</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line="170" w:lineRule="exact"/>
              <w:rPr>
                <w:sz w:val="20"/>
                <w:szCs w:val="20"/>
                <w:color w:val="auto"/>
              </w:rPr>
            </w:pPr>
            <w:r>
              <w:rPr>
                <w:rFonts w:ascii="Arial" w:cs="Arial" w:eastAsia="Arial" w:hAnsi="Arial"/>
                <w:sz w:val="15"/>
                <w:szCs w:val="15"/>
                <w:color w:val="auto"/>
              </w:rPr>
              <w:t>10.30</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Arial" w:cs="Arial" w:eastAsia="Arial" w:hAnsi="Arial"/>
                <w:sz w:val="15"/>
                <w:szCs w:val="15"/>
                <w:color w:val="auto"/>
              </w:rPr>
              <w:t>Forfeited</w:t>
            </w:r>
          </w:p>
        </w:tc>
        <w:tc>
          <w:tcPr>
            <w:tcW w:w="1140" w:type="dxa"/>
            <w:vAlign w:val="bottom"/>
            <w:gridSpan w:val="2"/>
          </w:tcPr>
          <w:p>
            <w:pPr>
              <w:jc w:val="right"/>
              <w:ind w:right="280"/>
              <w:spacing w:after="0"/>
              <w:rPr>
                <w:sz w:val="20"/>
                <w:szCs w:val="20"/>
                <w:color w:val="auto"/>
              </w:rPr>
            </w:pPr>
            <w:r>
              <w:rPr>
                <w:rFonts w:ascii="Arial" w:cs="Arial" w:eastAsia="Arial" w:hAnsi="Arial"/>
                <w:sz w:val="15"/>
                <w:szCs w:val="15"/>
                <w:color w:val="auto"/>
              </w:rPr>
              <w:t>(144,350)</w:t>
            </w:r>
          </w:p>
        </w:tc>
        <w:tc>
          <w:tcPr>
            <w:tcW w:w="8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11.30</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Arial" w:cs="Arial" w:eastAsia="Arial" w:hAnsi="Arial"/>
                <w:sz w:val="15"/>
                <w:szCs w:val="15"/>
                <w:color w:val="auto"/>
              </w:rPr>
              <w:t>Granted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229,641</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4.05</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Outstanding as of July 31, 2011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1,439,226</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9.20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5"/>
                <w:szCs w:val="15"/>
                <w:color w:val="auto"/>
              </w:rPr>
              <w:t>Exercisable as of July 31, 2011</w:t>
            </w: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12.23</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4.8</w:t>
            </w:r>
          </w:p>
        </w:tc>
        <w:tc>
          <w:tcPr>
            <w:tcW w:w="0" w:type="dxa"/>
            <w:vAlign w:val="bottom"/>
          </w:tcPr>
          <w:p>
            <w:pPr>
              <w:spacing w:after="0" w:line="20" w:lineRule="exact"/>
              <w:rPr>
                <w:sz w:val="1"/>
                <w:szCs w:val="1"/>
                <w:color w:val="auto"/>
              </w:rPr>
            </w:pPr>
          </w:p>
        </w:tc>
      </w:tr>
      <w:tr>
        <w:trPr>
          <w:trHeight w:val="162"/>
        </w:trPr>
        <w:tc>
          <w:tcPr>
            <w:tcW w:w="4900" w:type="dxa"/>
            <w:vAlign w:val="bottom"/>
            <w:gridSpan w:val="2"/>
            <w:vMerge w:val="continue"/>
          </w:tcPr>
          <w:p>
            <w:pPr>
              <w:spacing w:after="0"/>
              <w:rPr>
                <w:sz w:val="14"/>
                <w:szCs w:val="14"/>
                <w:color w:val="auto"/>
              </w:rPr>
            </w:pPr>
          </w:p>
        </w:tc>
        <w:tc>
          <w:tcPr>
            <w:tcW w:w="8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777,272</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280" w:right="2119"/>
        <w:spacing w:after="0" w:line="294" w:lineRule="auto"/>
        <w:rPr>
          <w:sz w:val="20"/>
          <w:szCs w:val="20"/>
          <w:color w:val="auto"/>
        </w:rPr>
      </w:pPr>
      <w:r>
        <w:rPr>
          <w:rFonts w:ascii="Arial" w:cs="Arial" w:eastAsia="Arial" w:hAnsi="Arial"/>
          <w:sz w:val="13"/>
          <w:szCs w:val="13"/>
          <w:color w:val="auto"/>
        </w:rPr>
        <w:t>There was no intrinsic value of outstanding and exercisable options as of July 31, 2011. As of July 31, 2011, approximately 662,000 additional options are expected to vest, which options have no intrinsic value and a weighted average remaining contractual term of</w:t>
      </w:r>
    </w:p>
    <w:p>
      <w:pPr>
        <w:ind w:left="280" w:right="1959"/>
        <w:spacing w:after="0" w:line="295" w:lineRule="auto"/>
        <w:rPr>
          <w:sz w:val="20"/>
          <w:szCs w:val="20"/>
          <w:color w:val="auto"/>
        </w:rPr>
      </w:pPr>
      <w:r>
        <w:rPr>
          <w:rFonts w:ascii="Arial" w:cs="Arial" w:eastAsia="Arial" w:hAnsi="Arial"/>
          <w:sz w:val="13"/>
          <w:szCs w:val="13"/>
          <w:color w:val="auto"/>
        </w:rPr>
        <w:t>8.8 years. There was approximately $316,000 of total recognized compensation cost for the three months ended July 31, 2011 related to stock options. As of July 31, 2011, there was approximately $2,232,000 of total unrecognized compensation cost related to non-vested stock options granted under the plans. This cost is expected to be recognized over a weighted-average period of 3.3 years. The Company normally issues new shares to satisfy option exercises under these plans. During the three months ended July 31, 2011, stock options granted included 16,996 stock options which were subject to performance-based vesting requirements. Stock options outstanding as of July 31, 2011 included 16,996 stock options subject to performance-based vesting requirements.</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(b) Restricted Stock</w:t>
      </w:r>
    </w:p>
    <w:p>
      <w:pPr>
        <w:spacing w:after="0" w:line="151" w:lineRule="exact"/>
        <w:rPr>
          <w:sz w:val="20"/>
          <w:szCs w:val="20"/>
          <w:color w:val="auto"/>
        </w:rPr>
      </w:pPr>
    </w:p>
    <w:p>
      <w:pPr>
        <w:ind w:left="280" w:right="1999"/>
        <w:spacing w:after="0" w:line="273" w:lineRule="auto"/>
        <w:rPr>
          <w:sz w:val="20"/>
          <w:szCs w:val="20"/>
          <w:color w:val="auto"/>
        </w:rPr>
      </w:pPr>
      <w:r>
        <w:rPr>
          <w:rFonts w:ascii="Arial" w:cs="Arial" w:eastAsia="Arial" w:hAnsi="Arial"/>
          <w:sz w:val="14"/>
          <w:szCs w:val="14"/>
          <w:color w:val="auto"/>
        </w:rPr>
        <w:t>Compensation expense for non-vested restricted stock was historically recorded based on its market value on the date of grant and recognized over the associated service and performance period. During the three months ended July 31, 2011, there were 9,000 shares of non-vested restricted stock granted to employees with performance-based vesting requirements. During the three months ended July 31, 2011, 16,888 shares of non-vested restricted stock subject to performance-based vesting requirements were forfeited in accordance with performance objectives. Restricted stock issued and unvested at July 31, 2011, included 71,999 shares of non-vested restricted stock subject to performance-based vesting requirements.</w:t>
      </w:r>
    </w:p>
    <w:p>
      <w:pPr>
        <w:spacing w:after="0" w:line="200" w:lineRule="exact"/>
        <w:rPr>
          <w:sz w:val="20"/>
          <w:szCs w:val="20"/>
          <w:color w:val="auto"/>
        </w:rPr>
      </w:pPr>
    </w:p>
    <w:p>
      <w:pPr>
        <w:spacing w:after="0" w:line="24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2"/>
        </w:trPr>
        <w:tc>
          <w:tcPr>
            <w:tcW w:w="6300" w:type="dxa"/>
            <w:vAlign w:val="bottom"/>
            <w:gridSpan w:val="3"/>
          </w:tcPr>
          <w:p>
            <w:pPr>
              <w:spacing w:after="0"/>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Table of Contents</w:t>
              </w:r>
            </w:hyperlink>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2"/>
        </w:trPr>
        <w:tc>
          <w:tcPr>
            <w:tcW w:w="2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5180" w:type="dxa"/>
            <w:vAlign w:val="bottom"/>
          </w:tcPr>
          <w:p>
            <w:pPr>
              <w:jc w:val="center"/>
              <w:ind w:left="1086"/>
              <w:spacing w:after="0"/>
              <w:rPr>
                <w:sz w:val="20"/>
                <w:szCs w:val="20"/>
                <w:color w:val="auto"/>
              </w:rPr>
            </w:pPr>
            <w:r>
              <w:rPr>
                <w:rFonts w:ascii="Arial" w:cs="Arial" w:eastAsia="Arial" w:hAnsi="Arial"/>
                <w:sz w:val="15"/>
                <w:szCs w:val="15"/>
                <w:b w:val="1"/>
                <w:bCs w:val="1"/>
                <w:color w:val="auto"/>
                <w:w w:val="87"/>
              </w:rPr>
              <w:t>Ocean Power Technologies, Inc. and Subsidiaries</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180" w:type="dxa"/>
            <w:vAlign w:val="bottom"/>
          </w:tcPr>
          <w:p>
            <w:pPr>
              <w:jc w:val="center"/>
              <w:ind w:left="1066"/>
              <w:spacing w:after="0"/>
              <w:rPr>
                <w:sz w:val="20"/>
                <w:szCs w:val="20"/>
                <w:color w:val="auto"/>
              </w:rPr>
            </w:pPr>
            <w:r>
              <w:rPr>
                <w:rFonts w:ascii="Arial" w:cs="Arial" w:eastAsia="Arial" w:hAnsi="Arial"/>
                <w:sz w:val="15"/>
                <w:szCs w:val="15"/>
                <w:b w:val="1"/>
                <w:bCs w:val="1"/>
                <w:color w:val="auto"/>
                <w:w w:val="88"/>
              </w:rPr>
              <w:t>Notes to Consolidated Financial Statements</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180" w:type="dxa"/>
            <w:vAlign w:val="bottom"/>
          </w:tcPr>
          <w:p>
            <w:pPr>
              <w:jc w:val="center"/>
              <w:ind w:left="1066"/>
              <w:spacing w:after="0"/>
              <w:rPr>
                <w:sz w:val="20"/>
                <w:szCs w:val="20"/>
                <w:color w:val="auto"/>
              </w:rPr>
            </w:pPr>
            <w:r>
              <w:rPr>
                <w:rFonts w:ascii="Arial" w:cs="Arial" w:eastAsia="Arial" w:hAnsi="Arial"/>
                <w:sz w:val="15"/>
                <w:szCs w:val="15"/>
                <w:b w:val="1"/>
                <w:bCs w:val="1"/>
                <w:color w:val="auto"/>
                <w:w w:val="91"/>
              </w:rPr>
              <w:t>(Unaudited)</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6300" w:type="dxa"/>
            <w:vAlign w:val="bottom"/>
            <w:gridSpan w:val="3"/>
          </w:tcPr>
          <w:p>
            <w:pPr>
              <w:ind w:left="280"/>
              <w:spacing w:after="0"/>
              <w:rPr>
                <w:sz w:val="20"/>
                <w:szCs w:val="20"/>
                <w:color w:val="auto"/>
              </w:rPr>
            </w:pPr>
            <w:r>
              <w:rPr>
                <w:rFonts w:ascii="Arial" w:cs="Arial" w:eastAsia="Arial" w:hAnsi="Arial"/>
                <w:sz w:val="15"/>
                <w:szCs w:val="15"/>
                <w:color w:val="auto"/>
              </w:rPr>
              <w:t>A summary of non-vested restricted stock under the plans is as follows:</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8"/>
              </w:rPr>
              <w:t>Weighted</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7"/>
              </w:rPr>
              <w:t>Average</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Number</w:t>
            </w:r>
          </w:p>
        </w:tc>
        <w:tc>
          <w:tcPr>
            <w:tcW w:w="10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0"/>
              </w:rPr>
              <w:t>Price per</w:t>
            </w: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w w:val="99"/>
              </w:rPr>
              <w:t>of Shares</w:t>
            </w:r>
          </w:p>
        </w:tc>
        <w:tc>
          <w:tcPr>
            <w:tcW w:w="10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6"/>
              </w:rPr>
              <w:t>Share</w:t>
            </w:r>
          </w:p>
        </w:tc>
        <w:tc>
          <w:tcPr>
            <w:tcW w:w="0" w:type="dxa"/>
            <w:vAlign w:val="bottom"/>
          </w:tcPr>
          <w:p>
            <w:pPr>
              <w:spacing w:after="0"/>
              <w:rPr>
                <w:sz w:val="1"/>
                <w:szCs w:val="1"/>
                <w:color w:val="auto"/>
              </w:rPr>
            </w:pPr>
          </w:p>
        </w:tc>
      </w:tr>
      <w:tr>
        <w:trPr>
          <w:trHeight w:val="170"/>
        </w:trPr>
        <w:tc>
          <w:tcPr>
            <w:tcW w:w="280" w:type="dxa"/>
            <w:vAlign w:val="bottom"/>
            <w:vMerge w:val="restart"/>
          </w:tcPr>
          <w:p>
            <w:pPr>
              <w:spacing w:after="0"/>
              <w:rPr>
                <w:sz w:val="14"/>
                <w:szCs w:val="14"/>
                <w:color w:val="auto"/>
              </w:rPr>
            </w:pPr>
          </w:p>
        </w:tc>
        <w:tc>
          <w:tcPr>
            <w:tcW w:w="8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80" w:type="dxa"/>
            <w:vAlign w:val="bottom"/>
            <w:vMerge w:val="continue"/>
          </w:tcPr>
          <w:p>
            <w:pPr>
              <w:spacing w:after="0"/>
              <w:rPr>
                <w:sz w:val="15"/>
                <w:szCs w:val="15"/>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Issued and unvested at April 30, 2011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150,953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6.16</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6020" w:type="dxa"/>
            <w:vAlign w:val="bottom"/>
            <w:gridSpan w:val="2"/>
          </w:tcPr>
          <w:p>
            <w:pPr>
              <w:spacing w:after="0"/>
              <w:rPr>
                <w:sz w:val="20"/>
                <w:szCs w:val="20"/>
                <w:color w:val="auto"/>
              </w:rPr>
            </w:pPr>
            <w:r>
              <w:rPr>
                <w:rFonts w:ascii="Arial" w:cs="Arial" w:eastAsia="Arial" w:hAnsi="Arial"/>
                <w:sz w:val="15"/>
                <w:szCs w:val="15"/>
                <w:color w:val="auto"/>
              </w:rPr>
              <w:t>Granted</w:t>
            </w: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9,000</w:t>
            </w:r>
          </w:p>
        </w:tc>
        <w:tc>
          <w:tcPr>
            <w:tcW w:w="1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4.05</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Forfeited</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(16,888)</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6.13</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6020" w:type="dxa"/>
            <w:vAlign w:val="bottom"/>
            <w:gridSpan w:val="2"/>
          </w:tcPr>
          <w:p>
            <w:pPr>
              <w:spacing w:after="0"/>
              <w:rPr>
                <w:sz w:val="20"/>
                <w:szCs w:val="20"/>
                <w:color w:val="auto"/>
              </w:rPr>
            </w:pPr>
            <w:r>
              <w:rPr>
                <w:rFonts w:ascii="Arial" w:cs="Arial" w:eastAsia="Arial" w:hAnsi="Arial"/>
                <w:sz w:val="15"/>
                <w:szCs w:val="15"/>
                <w:color w:val="auto"/>
              </w:rPr>
              <w:t>Vested</w:t>
            </w:r>
          </w:p>
        </w:tc>
        <w:tc>
          <w:tcPr>
            <w:tcW w:w="1120" w:type="dxa"/>
            <w:vAlign w:val="bottom"/>
            <w:gridSpan w:val="2"/>
          </w:tcPr>
          <w:p>
            <w:pPr>
              <w:jc w:val="right"/>
              <w:ind w:right="260"/>
              <w:spacing w:after="0"/>
              <w:rPr>
                <w:sz w:val="20"/>
                <w:szCs w:val="20"/>
                <w:color w:val="auto"/>
              </w:rPr>
            </w:pPr>
            <w:r>
              <w:rPr>
                <w:rFonts w:ascii="Arial" w:cs="Arial" w:eastAsia="Arial" w:hAnsi="Arial"/>
                <w:sz w:val="15"/>
                <w:szCs w:val="15"/>
                <w:color w:val="auto"/>
              </w:rPr>
              <w:t>(22,113)</w:t>
            </w:r>
          </w:p>
        </w:tc>
        <w:tc>
          <w:tcPr>
            <w:tcW w:w="1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6.06</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Issued and unvested at July 31, 2011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120,952</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left="280" w:right="1979"/>
        <w:spacing w:after="0" w:line="317" w:lineRule="auto"/>
        <w:rPr>
          <w:sz w:val="20"/>
          <w:szCs w:val="20"/>
          <w:color w:val="auto"/>
        </w:rPr>
      </w:pPr>
      <w:r>
        <w:rPr>
          <w:rFonts w:ascii="Arial" w:cs="Arial" w:eastAsia="Arial" w:hAnsi="Arial"/>
          <w:sz w:val="13"/>
          <w:szCs w:val="13"/>
          <w:color w:val="auto"/>
        </w:rPr>
        <w:t>There was approximately $54,000 of total recognized compensation cost for the three months ended July 31, 2011 related to restricted stock. As of July 31, 2011, there was approximately $314,000 of total unrecognized compensation cost related to non-vested restricted stock granted under the plans. This cost is expected to be recognized over a weighted average period of 2.8 years.</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(c) Treasury Stock</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During the three months ended July 31, 2011, 5,800 shares of common stock were purchased by the Company.</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(9) Commitments and Contingencies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Litigation</w:t>
      </w:r>
    </w:p>
    <w:p>
      <w:pPr>
        <w:spacing w:after="0" w:line="162" w:lineRule="exact"/>
        <w:rPr>
          <w:sz w:val="20"/>
          <w:szCs w:val="20"/>
          <w:color w:val="auto"/>
        </w:rPr>
      </w:pPr>
    </w:p>
    <w:p>
      <w:pPr>
        <w:jc w:val="both"/>
        <w:ind w:left="280" w:right="2119"/>
        <w:spacing w:after="0" w:line="348" w:lineRule="auto"/>
        <w:rPr>
          <w:sz w:val="20"/>
          <w:szCs w:val="20"/>
          <w:color w:val="auto"/>
        </w:rPr>
      </w:pPr>
      <w:r>
        <w:rPr>
          <w:rFonts w:ascii="Arial" w:cs="Arial" w:eastAsia="Arial" w:hAnsi="Arial"/>
          <w:sz w:val="13"/>
          <w:szCs w:val="13"/>
          <w:color w:val="auto"/>
        </w:rPr>
        <w:t>The Company is involved from time to time in certain legal actions arising in the ordinary course of business. Management believes that the outcome of such actions will not have a material adverse effect on the Company’s financial position or results of operations.</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Spain Construction Agreement</w:t>
      </w:r>
    </w:p>
    <w:p>
      <w:pPr>
        <w:spacing w:after="0" w:line="151" w:lineRule="exact"/>
        <w:rPr>
          <w:sz w:val="20"/>
          <w:szCs w:val="20"/>
          <w:color w:val="auto"/>
        </w:rPr>
      </w:pPr>
    </w:p>
    <w:p>
      <w:pPr>
        <w:ind w:left="280" w:right="1999"/>
        <w:spacing w:after="0" w:line="272" w:lineRule="auto"/>
        <w:rPr>
          <w:sz w:val="20"/>
          <w:szCs w:val="20"/>
          <w:color w:val="auto"/>
        </w:rPr>
      </w:pPr>
      <w:r>
        <w:rPr>
          <w:rFonts w:ascii="Arial" w:cs="Arial" w:eastAsia="Arial" w:hAnsi="Arial"/>
          <w:sz w:val="14"/>
          <w:szCs w:val="14"/>
          <w:color w:val="auto"/>
        </w:rPr>
        <w:t>The Company is currently engaged with Iberdrola Cantabria in discussions regarding modifications to its agreement for the first phase of the construction of a wave power project off the coast of Spain. This first phase was due to be completed by December 31, 2009. If no modification is agreed to by the parties, the customer may, subject to certain conditions in the agreement, terminate the agreement and would not be obligated to make any more milestone payments. The agreement also provides that the customer may seek reimbursement for direct damages only, limited to amounts specified in the agreement, if the Company is in default of its obligations under the agreement. As of July 31, 2011, the Company does not believe that the outcome of this matter will have a material adverse effect on the Company’s financial position or results of operations.</w:t>
      </w:r>
    </w:p>
    <w:p>
      <w:pPr>
        <w:spacing w:after="0" w:line="200" w:lineRule="exact"/>
        <w:rPr>
          <w:sz w:val="20"/>
          <w:szCs w:val="20"/>
          <w:color w:val="auto"/>
        </w:rPr>
      </w:pPr>
    </w:p>
    <w:p>
      <w:pPr>
        <w:spacing w:after="0" w:line="24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57" w:right="1440"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jc w:val="center"/>
        <w:ind w:right="1659"/>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20" w:lineRule="exact"/>
        <w:rPr>
          <w:sz w:val="20"/>
          <w:szCs w:val="20"/>
          <w:color w:val="auto"/>
        </w:rPr>
      </w:pPr>
    </w:p>
    <w:p>
      <w:pPr>
        <w:jc w:val="center"/>
        <w:ind w:right="16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6" w:lineRule="exact"/>
        <w:rPr>
          <w:sz w:val="20"/>
          <w:szCs w:val="20"/>
          <w:color w:val="auto"/>
        </w:rPr>
      </w:pPr>
    </w:p>
    <w:p>
      <w:pPr>
        <w:jc w:val="center"/>
        <w:ind w:right="1659"/>
        <w:spacing w:after="0"/>
        <w:rPr>
          <w:sz w:val="20"/>
          <w:szCs w:val="20"/>
          <w:color w:val="auto"/>
        </w:rPr>
      </w:pPr>
      <w:r>
        <w:rPr>
          <w:rFonts w:ascii="Arial" w:cs="Arial" w:eastAsia="Arial" w:hAnsi="Arial"/>
          <w:sz w:val="15"/>
          <w:szCs w:val="15"/>
          <w:b w:val="1"/>
          <w:bCs w:val="1"/>
          <w:color w:val="auto"/>
        </w:rPr>
        <w:t>(Unaudited)</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(10) Income Taxes</w:t>
      </w:r>
    </w:p>
    <w:p>
      <w:pPr>
        <w:spacing w:after="0" w:line="155" w:lineRule="exact"/>
        <w:rPr>
          <w:sz w:val="20"/>
          <w:szCs w:val="20"/>
          <w:color w:val="auto"/>
        </w:rPr>
      </w:pPr>
    </w:p>
    <w:p>
      <w:pPr>
        <w:ind w:left="280" w:right="1979"/>
        <w:spacing w:after="0" w:line="255" w:lineRule="auto"/>
        <w:rPr>
          <w:sz w:val="20"/>
          <w:szCs w:val="20"/>
          <w:color w:val="auto"/>
        </w:rPr>
      </w:pPr>
      <w:r>
        <w:rPr>
          <w:rFonts w:ascii="Arial" w:cs="Arial" w:eastAsia="Arial" w:hAnsi="Arial"/>
          <w:sz w:val="15"/>
          <w:szCs w:val="15"/>
          <w:color w:val="auto"/>
        </w:rPr>
        <w:t>The Company did not recognize any consolidated income tax benefit (expense) for the three month periods ended July 31, 2011 and 2010.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During the three months ended July 31, 2011, the Company had no material changes in uncertain tax positions.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(11) Operating Segments and Geographic Information</w:t>
      </w:r>
    </w:p>
    <w:p>
      <w:pPr>
        <w:spacing w:after="0" w:line="155" w:lineRule="exact"/>
        <w:rPr>
          <w:sz w:val="20"/>
          <w:szCs w:val="20"/>
          <w:color w:val="auto"/>
        </w:rPr>
      </w:pPr>
    </w:p>
    <w:p>
      <w:pPr>
        <w:ind w:left="280" w:right="2019"/>
        <w:spacing w:after="0" w:line="279" w:lineRule="auto"/>
        <w:rPr>
          <w:sz w:val="20"/>
          <w:szCs w:val="20"/>
          <w:color w:val="auto"/>
        </w:rPr>
      </w:pPr>
      <w:r>
        <w:rPr>
          <w:rFonts w:ascii="Arial" w:cs="Arial" w:eastAsia="Arial" w:hAnsi="Arial"/>
          <w:sz w:val="14"/>
          <w:szCs w:val="14"/>
          <w:color w:val="auto"/>
        </w:rPr>
        <w:t>The Company views its business as one segment, which is the development and sale of its PowerBuoy product for wave energy applications. The Company operates on a worldwide basis with one operating company in the US, one operating subsidiary in the UK and one operating subsidiary in Australia, which are categorized below as North America, Europe and Australia, respectively. Revenues are generally attributed to the operating unit that bills the customers.</w:t>
      </w:r>
    </w:p>
    <w:p>
      <w:pPr>
        <w:spacing w:after="0" w:line="109" w:lineRule="exact"/>
        <w:rPr>
          <w:sz w:val="20"/>
          <w:szCs w:val="20"/>
          <w:color w:val="auto"/>
        </w:rPr>
      </w:pPr>
    </w:p>
    <w:tbl>
      <w:tblPr>
        <w:tblLayout w:type="fixed"/>
        <w:tblInd w:w="280" w:type="dxa"/>
        <w:tblCellMar>
          <w:top w:w="0" w:type="dxa"/>
          <w:left w:w="0" w:type="dxa"/>
          <w:bottom w:w="0" w:type="dxa"/>
          <w:right w:w="0" w:type="dxa"/>
        </w:tblCellMar>
      </w:tblPr>
      <w:tr>
        <w:trPr>
          <w:trHeight w:val="188"/>
        </w:trPr>
        <w:tc>
          <w:tcPr>
            <w:tcW w:w="2900" w:type="dxa"/>
            <w:vAlign w:val="bottom"/>
            <w:gridSpan w:val="2"/>
          </w:tcPr>
          <w:p>
            <w:pPr>
              <w:spacing w:after="0"/>
              <w:rPr>
                <w:sz w:val="20"/>
                <w:szCs w:val="20"/>
                <w:color w:val="auto"/>
              </w:rPr>
            </w:pPr>
            <w:r>
              <w:rPr>
                <w:rFonts w:ascii="Arial" w:cs="Arial" w:eastAsia="Arial" w:hAnsi="Arial"/>
                <w:sz w:val="15"/>
                <w:szCs w:val="15"/>
                <w:color w:val="auto"/>
              </w:rPr>
              <w:t>Geographic information is as follows:</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Asia and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900" w:type="dxa"/>
            <w:vAlign w:val="bottom"/>
            <w:gridSpan w:val="4"/>
          </w:tcPr>
          <w:p>
            <w:pPr>
              <w:ind w:left="640"/>
              <w:spacing w:after="0"/>
              <w:rPr>
                <w:sz w:val="20"/>
                <w:szCs w:val="20"/>
                <w:color w:val="auto"/>
              </w:rPr>
            </w:pPr>
            <w:r>
              <w:rPr>
                <w:rFonts w:ascii="Arial" w:cs="Arial" w:eastAsia="Arial" w:hAnsi="Arial"/>
                <w:sz w:val="15"/>
                <w:szCs w:val="15"/>
                <w:b w:val="1"/>
                <w:bCs w:val="1"/>
                <w:color w:val="auto"/>
              </w:rPr>
              <w:t>North America</w:t>
            </w:r>
          </w:p>
        </w:tc>
        <w:tc>
          <w:tcPr>
            <w:tcW w:w="1240" w:type="dxa"/>
            <w:vAlign w:val="bottom"/>
            <w:gridSpan w:val="2"/>
          </w:tcPr>
          <w:p>
            <w:pPr>
              <w:jc w:val="right"/>
              <w:ind w:right="600"/>
              <w:spacing w:after="0"/>
              <w:rPr>
                <w:sz w:val="20"/>
                <w:szCs w:val="20"/>
                <w:color w:val="auto"/>
              </w:rPr>
            </w:pPr>
            <w:r>
              <w:rPr>
                <w:rFonts w:ascii="Arial" w:cs="Arial" w:eastAsia="Arial" w:hAnsi="Arial"/>
                <w:sz w:val="15"/>
                <w:szCs w:val="15"/>
                <w:b w:val="1"/>
                <w:bCs w:val="1"/>
                <w:color w:val="auto"/>
              </w:rPr>
              <w:t>Europe</w:t>
            </w:r>
          </w:p>
        </w:tc>
        <w:tc>
          <w:tcPr>
            <w:tcW w:w="11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Australia</w:t>
            </w:r>
          </w:p>
        </w:tc>
        <w:tc>
          <w:tcPr>
            <w:tcW w:w="88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2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Three months ended July 31, 2011</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20"/>
                <w:szCs w:val="20"/>
                <w:color w:val="auto"/>
              </w:rPr>
            </w:pPr>
            <w:r>
              <w:rPr>
                <w:rFonts w:ascii="Arial" w:cs="Arial" w:eastAsia="Arial" w:hAnsi="Arial"/>
                <w:sz w:val="15"/>
                <w:szCs w:val="15"/>
                <w:color w:val="auto"/>
              </w:rPr>
              <w:t>Revenues from external customers</w:t>
            </w:r>
          </w:p>
        </w:tc>
        <w:tc>
          <w:tcPr>
            <w:tcW w:w="84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1,688,551</w:t>
            </w:r>
          </w:p>
        </w:tc>
        <w:tc>
          <w:tcPr>
            <w:tcW w:w="30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5"/>
                <w:szCs w:val="15"/>
                <w:color w:val="auto"/>
              </w:rPr>
              <w:t>222,301</w:t>
            </w:r>
          </w:p>
        </w:tc>
        <w:tc>
          <w:tcPr>
            <w:tcW w:w="11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1,910,852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5"/>
                <w:szCs w:val="15"/>
                <w:color w:val="auto"/>
              </w:rPr>
              <w:t>Operating loss</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(4,647,691)</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(413,622)</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(50,066)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(5,111,379)</w:t>
            </w:r>
          </w:p>
        </w:tc>
        <w:tc>
          <w:tcPr>
            <w:tcW w:w="0" w:type="dxa"/>
            <w:vAlign w:val="bottom"/>
          </w:tcPr>
          <w:p>
            <w:pPr>
              <w:spacing w:after="0"/>
              <w:rPr>
                <w:sz w:val="1"/>
                <w:szCs w:val="1"/>
                <w:color w:val="auto"/>
              </w:rPr>
            </w:pPr>
          </w:p>
        </w:tc>
      </w:tr>
      <w:tr>
        <w:trPr>
          <w:trHeight w:val="356"/>
        </w:trPr>
        <w:tc>
          <w:tcPr>
            <w:tcW w:w="2900" w:type="dxa"/>
            <w:vAlign w:val="bottom"/>
            <w:gridSpan w:val="2"/>
          </w:tcPr>
          <w:p>
            <w:pPr>
              <w:spacing w:after="0"/>
              <w:rPr>
                <w:sz w:val="20"/>
                <w:szCs w:val="20"/>
                <w:color w:val="auto"/>
              </w:rPr>
            </w:pPr>
            <w:r>
              <w:rPr>
                <w:rFonts w:ascii="Arial" w:cs="Arial" w:eastAsia="Arial" w:hAnsi="Arial"/>
                <w:sz w:val="15"/>
                <w:szCs w:val="15"/>
                <w:b w:val="1"/>
                <w:bCs w:val="1"/>
                <w:color w:val="auto"/>
              </w:rPr>
              <w:t>Three months ended July 31, 2010</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5"/>
                <w:szCs w:val="15"/>
                <w:color w:val="auto"/>
              </w:rPr>
              <w:t>Revenues from external customers</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1,452,135</w:t>
            </w:r>
          </w:p>
        </w:tc>
        <w:tc>
          <w:tcPr>
            <w:tcW w:w="3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(77,728)(1)</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1,374,407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80" w:type="dxa"/>
            <w:vAlign w:val="bottom"/>
          </w:tcPr>
          <w:p>
            <w:pPr>
              <w:spacing w:after="0"/>
              <w:rPr>
                <w:sz w:val="20"/>
                <w:szCs w:val="20"/>
                <w:color w:val="auto"/>
              </w:rPr>
            </w:pPr>
            <w:r>
              <w:rPr>
                <w:rFonts w:ascii="Arial" w:cs="Arial" w:eastAsia="Arial" w:hAnsi="Arial"/>
                <w:sz w:val="15"/>
                <w:szCs w:val="15"/>
                <w:color w:val="auto"/>
              </w:rPr>
              <w:t>Operating loss</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(5,732,219)</w:t>
            </w:r>
          </w:p>
        </w:tc>
        <w:tc>
          <w:tcPr>
            <w:tcW w:w="1240" w:type="dxa"/>
            <w:vAlign w:val="bottom"/>
            <w:gridSpan w:val="2"/>
          </w:tcPr>
          <w:p>
            <w:pPr>
              <w:jc w:val="right"/>
              <w:ind w:right="400"/>
              <w:spacing w:after="0"/>
              <w:rPr>
                <w:sz w:val="20"/>
                <w:szCs w:val="20"/>
                <w:color w:val="auto"/>
              </w:rPr>
            </w:pPr>
            <w:r>
              <w:rPr>
                <w:rFonts w:ascii="Arial" w:cs="Arial" w:eastAsia="Arial" w:hAnsi="Arial"/>
                <w:sz w:val="15"/>
                <w:szCs w:val="15"/>
                <w:color w:val="auto"/>
              </w:rPr>
              <w:t>(498,672)</w:t>
            </w: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(37,644)</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(6,268,535)</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2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July 31, 2011</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20"/>
                <w:szCs w:val="20"/>
                <w:color w:val="auto"/>
              </w:rPr>
            </w:pPr>
            <w:r>
              <w:rPr>
                <w:rFonts w:ascii="Arial" w:cs="Arial" w:eastAsia="Arial" w:hAnsi="Arial"/>
                <w:sz w:val="15"/>
                <w:szCs w:val="15"/>
                <w:color w:val="auto"/>
              </w:rPr>
              <w:t>Long-lived assets</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5"/>
                <w:szCs w:val="15"/>
                <w:color w:val="auto"/>
              </w:rPr>
              <w:t>568,436</w:t>
            </w:r>
          </w:p>
        </w:tc>
        <w:tc>
          <w:tcPr>
            <w:tcW w:w="1240" w:type="dxa"/>
            <w:vAlign w:val="bottom"/>
            <w:gridSpan w:val="2"/>
          </w:tcPr>
          <w:p>
            <w:pPr>
              <w:jc w:val="right"/>
              <w:ind w:right="440"/>
              <w:spacing w:after="0"/>
              <w:rPr>
                <w:sz w:val="20"/>
                <w:szCs w:val="20"/>
                <w:color w:val="auto"/>
              </w:rPr>
            </w:pPr>
            <w:r>
              <w:rPr>
                <w:rFonts w:ascii="Arial" w:cs="Arial" w:eastAsia="Arial" w:hAnsi="Arial"/>
                <w:sz w:val="15"/>
                <w:szCs w:val="15"/>
                <w:color w:val="auto"/>
              </w:rPr>
              <w:t>227,623</w:t>
            </w:r>
          </w:p>
        </w:tc>
        <w:tc>
          <w:tcPr>
            <w:tcW w:w="11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796,059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98"/>
              </w:rPr>
              <w:t>42,679,671</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5,210,906</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900,312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48,790,889</w:t>
            </w:r>
          </w:p>
        </w:tc>
        <w:tc>
          <w:tcPr>
            <w:tcW w:w="0" w:type="dxa"/>
            <w:vAlign w:val="bottom"/>
          </w:tcPr>
          <w:p>
            <w:pPr>
              <w:spacing w:after="0"/>
              <w:rPr>
                <w:sz w:val="1"/>
                <w:szCs w:val="1"/>
                <w:color w:val="auto"/>
              </w:rPr>
            </w:pPr>
          </w:p>
        </w:tc>
      </w:tr>
      <w:tr>
        <w:trPr>
          <w:trHeight w:val="356"/>
        </w:trPr>
        <w:tc>
          <w:tcPr>
            <w:tcW w:w="2900" w:type="dxa"/>
            <w:vAlign w:val="bottom"/>
            <w:gridSpan w:val="2"/>
          </w:tcPr>
          <w:p>
            <w:pPr>
              <w:spacing w:after="0"/>
              <w:rPr>
                <w:sz w:val="20"/>
                <w:szCs w:val="20"/>
                <w:color w:val="auto"/>
              </w:rPr>
            </w:pPr>
            <w:r>
              <w:rPr>
                <w:rFonts w:ascii="Arial" w:cs="Arial" w:eastAsia="Arial" w:hAnsi="Arial"/>
                <w:sz w:val="15"/>
                <w:szCs w:val="15"/>
                <w:b w:val="1"/>
                <w:bCs w:val="1"/>
                <w:color w:val="auto"/>
              </w:rPr>
              <w:t>April 30, 2011</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5"/>
                <w:szCs w:val="15"/>
                <w:color w:val="auto"/>
              </w:rPr>
              <w:t>Long-lived assets</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619,861</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172,231</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792,092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80" w:type="dxa"/>
            <w:vAlign w:val="bottom"/>
          </w:tcPr>
          <w:p>
            <w:pPr>
              <w:spacing w:after="0"/>
              <w:rPr>
                <w:sz w:val="20"/>
                <w:szCs w:val="20"/>
                <w:color w:val="auto"/>
              </w:rPr>
            </w:pPr>
            <w:r>
              <w:rPr>
                <w:rFonts w:ascii="Arial" w:cs="Arial" w:eastAsia="Arial" w:hAnsi="Arial"/>
                <w:sz w:val="15"/>
                <w:szCs w:val="15"/>
                <w:color w:val="auto"/>
              </w:rPr>
              <w:t>Total assets</w:t>
            </w:r>
          </w:p>
        </w:tc>
        <w:tc>
          <w:tcPr>
            <w:tcW w:w="84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5"/>
                <w:szCs w:val="15"/>
                <w:color w:val="auto"/>
                <w:w w:val="98"/>
              </w:rPr>
              <w:t>47,697,028</w:t>
            </w:r>
          </w:p>
        </w:tc>
        <w:tc>
          <w:tcPr>
            <w:tcW w:w="1240" w:type="dxa"/>
            <w:vAlign w:val="bottom"/>
            <w:gridSpan w:val="2"/>
          </w:tcPr>
          <w:p>
            <w:pPr>
              <w:jc w:val="right"/>
              <w:ind w:right="440"/>
              <w:spacing w:after="0"/>
              <w:rPr>
                <w:sz w:val="20"/>
                <w:szCs w:val="20"/>
                <w:color w:val="auto"/>
              </w:rPr>
            </w:pPr>
            <w:r>
              <w:rPr>
                <w:rFonts w:ascii="Arial" w:cs="Arial" w:eastAsia="Arial" w:hAnsi="Arial"/>
                <w:sz w:val="15"/>
                <w:szCs w:val="15"/>
                <w:color w:val="auto"/>
              </w:rPr>
              <w:t>4,935,922</w:t>
            </w:r>
          </w:p>
        </w:tc>
        <w:tc>
          <w:tcPr>
            <w:tcW w:w="1100" w:type="dxa"/>
            <w:vAlign w:val="bottom"/>
            <w:gridSpan w:val="2"/>
          </w:tcPr>
          <w:p>
            <w:pPr>
              <w:jc w:val="right"/>
              <w:ind w:right="300"/>
              <w:spacing w:after="0"/>
              <w:rPr>
                <w:sz w:val="20"/>
                <w:szCs w:val="20"/>
                <w:color w:val="auto"/>
              </w:rPr>
            </w:pPr>
            <w:r>
              <w:rPr>
                <w:rFonts w:ascii="Arial" w:cs="Arial" w:eastAsia="Arial" w:hAnsi="Arial"/>
                <w:sz w:val="15"/>
                <w:szCs w:val="15"/>
                <w:color w:val="auto"/>
              </w:rPr>
              <w:t>919,628</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53,552,578</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3"/>
          <w:szCs w:val="13"/>
          <w:color w:val="auto"/>
        </w:rPr>
        <w:t>See Note 2(a).</w:t>
      </w:r>
    </w:p>
    <w:p>
      <w:pPr>
        <w:spacing w:after="0" w:line="200" w:lineRule="exact"/>
        <w:rPr>
          <w:sz w:val="20"/>
          <w:szCs w:val="20"/>
          <w:color w:val="auto"/>
        </w:rPr>
      </w:pPr>
    </w:p>
    <w:p>
      <w:pPr>
        <w:spacing w:after="0" w:line="285"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920" w:right="2839" w:hanging="634"/>
        <w:spacing w:after="0" w:line="269" w:lineRule="auto"/>
        <w:tabs>
          <w:tab w:leader="none" w:pos="90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30" w:lineRule="exact"/>
        <w:rPr>
          <w:sz w:val="20"/>
          <w:szCs w:val="20"/>
          <w:color w:val="auto"/>
        </w:rPr>
      </w:pPr>
    </w:p>
    <w:p>
      <w:pPr>
        <w:ind w:left="280" w:right="1979"/>
        <w:spacing w:after="0" w:line="258" w:lineRule="auto"/>
        <w:rPr>
          <w:sz w:val="20"/>
          <w:szCs w:val="20"/>
          <w:color w:val="auto"/>
        </w:rPr>
      </w:pPr>
      <w:r>
        <w:rPr>
          <w:rFonts w:ascii="Arial" w:cs="Arial" w:eastAsia="Arial" w:hAnsi="Arial"/>
          <w:sz w:val="15"/>
          <w:szCs w:val="15"/>
          <w:color w:val="auto"/>
        </w:rPr>
        <w:t>The following discussion and analysis should be read in conjunction with the accompanying unaudited consolidated financial statements and related notes included in this Quarterly Report on Form 10-Q. References to a fiscal year in this Form 10-Q refer to the year ended April 30 of that year (e.g., fiscal 2012 refers to the year ending April 30, 2012).</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Overview</w:t>
      </w:r>
    </w:p>
    <w:p>
      <w:pPr>
        <w:spacing w:after="0" w:line="155" w:lineRule="exact"/>
        <w:rPr>
          <w:sz w:val="20"/>
          <w:szCs w:val="20"/>
          <w:color w:val="auto"/>
        </w:rPr>
      </w:pPr>
    </w:p>
    <w:p>
      <w:pPr>
        <w:ind w:left="280" w:right="1979"/>
        <w:spacing w:after="0" w:line="273" w:lineRule="auto"/>
        <w:rPr>
          <w:sz w:val="20"/>
          <w:szCs w:val="20"/>
          <w:color w:val="auto"/>
        </w:rPr>
      </w:pPr>
      <w:r>
        <w:rPr>
          <w:rFonts w:ascii="Arial" w:cs="Arial" w:eastAsia="Arial" w:hAnsi="Arial"/>
          <w:sz w:val="14"/>
          <w:szCs w:val="14"/>
          <w:color w:val="auto"/>
        </w:rPr>
        <w:t>We develop and are commercializing proprietary systems that generate electricity by harnessing the renewable energy of ocean waves. Our PowerBuoy</w:t>
      </w:r>
      <w:r>
        <w:rPr>
          <w:rFonts w:ascii="Arial" w:cs="Arial" w:eastAsia="Arial" w:hAnsi="Arial"/>
          <w:sz w:val="11"/>
          <w:szCs w:val="11"/>
          <w:color w:val="auto"/>
        </w:rPr>
        <w:t>®</w:t>
      </w:r>
      <w:r>
        <w:rPr>
          <w:rFonts w:ascii="Arial" w:cs="Arial" w:eastAsia="Arial" w:hAnsi="Arial"/>
          <w:sz w:val="14"/>
          <w:szCs w:val="14"/>
          <w:color w:val="auto"/>
        </w:rPr>
        <w:t xml:space="preserve"> systems use proprietary technologies to convert the mechanical energy created by the rising and falling of ocean waves into electricity. We currently offer two PowerBuoy products, which consist of our utility PowerBuoy system and our autonomous PowerBuoy system. We also offer our customers operations and maintenance services for our PowerBuoy systems, which are expected to provide a source of recurring revenues. In addition, we market our undersea substation pod and undersea power connection infrastructure services to other companies in the marine energy sector.</w:t>
      </w:r>
    </w:p>
    <w:p>
      <w:pPr>
        <w:spacing w:after="0" w:line="126" w:lineRule="exact"/>
        <w:rPr>
          <w:sz w:val="20"/>
          <w:szCs w:val="20"/>
          <w:color w:val="auto"/>
        </w:rPr>
      </w:pPr>
    </w:p>
    <w:p>
      <w:pPr>
        <w:ind w:left="280" w:right="1959"/>
        <w:spacing w:after="0" w:line="301" w:lineRule="auto"/>
        <w:rPr>
          <w:sz w:val="20"/>
          <w:szCs w:val="20"/>
          <w:color w:val="auto"/>
        </w:rPr>
      </w:pPr>
      <w:r>
        <w:rPr>
          <w:rFonts w:ascii="Arial" w:cs="Arial" w:eastAsia="Arial" w:hAnsi="Arial"/>
          <w:sz w:val="13"/>
          <w:szCs w:val="13"/>
          <w:color w:val="auto"/>
        </w:rPr>
        <w:t>We market our utility PowerBuoy system, which is designed to supply electricity to a local or regional power grid, to utilities and other electrical power producers seeking to add electricity generated by wave energy to their existing electricity supply. We market our autonomous PowerBuoy system, which is designed to generate power for use independent of the power grid, to customers that require electricity in remote locations. We believe there are a variety of potential applications for our autonomous PowerBuoy system, including sonar and radar surveillance, tsunami warning, oceanographic data collection, offshore platforms and offshore aquaculture.</w:t>
      </w:r>
    </w:p>
    <w:p>
      <w:pPr>
        <w:spacing w:after="0" w:line="98" w:lineRule="exact"/>
        <w:rPr>
          <w:sz w:val="20"/>
          <w:szCs w:val="20"/>
          <w:color w:val="auto"/>
        </w:rPr>
      </w:pPr>
    </w:p>
    <w:p>
      <w:pPr>
        <w:ind w:left="280" w:right="1979"/>
        <w:spacing w:after="0" w:line="255" w:lineRule="auto"/>
        <w:rPr>
          <w:sz w:val="20"/>
          <w:szCs w:val="20"/>
          <w:color w:val="auto"/>
        </w:rPr>
      </w:pPr>
      <w:r>
        <w:rPr>
          <w:rFonts w:ascii="Arial" w:cs="Arial" w:eastAsia="Arial" w:hAnsi="Arial"/>
          <w:sz w:val="15"/>
          <w:szCs w:val="15"/>
          <w:color w:val="auto"/>
        </w:rPr>
        <w:t>We were incorporated in New Jersey in April 1984, began commercial operations in 1994, and were re-incorporated in Delaware in 2007. We currently have three wholly-owned subsidiaries, which include Ocean Power Technologies Ltd., Reedsport OPT Wave Park LLC, and Oregon Wave Energy Partners I, LLC, and we own approximately 88% of the ordinary shares of Ocean Power Technologies (Australasia) Pty Ltd.</w:t>
      </w:r>
    </w:p>
    <w:p>
      <w:pPr>
        <w:spacing w:after="0" w:line="125" w:lineRule="exact"/>
        <w:rPr>
          <w:sz w:val="20"/>
          <w:szCs w:val="20"/>
          <w:color w:val="auto"/>
        </w:rPr>
      </w:pPr>
    </w:p>
    <w:p>
      <w:pPr>
        <w:ind w:left="280" w:right="1939"/>
        <w:spacing w:after="0" w:line="291" w:lineRule="auto"/>
        <w:rPr>
          <w:sz w:val="20"/>
          <w:szCs w:val="20"/>
          <w:color w:val="auto"/>
        </w:rPr>
      </w:pPr>
      <w:r>
        <w:rPr>
          <w:rFonts w:ascii="Arial" w:cs="Arial" w:eastAsia="Arial" w:hAnsi="Arial"/>
          <w:sz w:val="13"/>
          <w:szCs w:val="13"/>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still on-going project for the development and testing of our wave power systems at the US Marine Corps Base in Oahu, Hawaii. This project included the grid-connection of one of our utility-grade PowerBuoys at the Marine Corps Base. We generated our first revenue relating to our autonomous PowerBuoy system from contracts with Lockheed Martin Corporation, or Lockheed Martin, in fiscal 2003, and we entered into our first development and construction contract with Lockheed Martin in fiscal 2004 for the development and construction of a prototype demonstration autonomous PowerBuoy system. In August 2011, we deployed an autonomous PowerBuoy for ocean trials off the coast of New Jersey under a contract from the US Navy under its Littoral Expeditionary Autonomous PowerBuoy (“LEAP”) program. The LEAP PowerBuoy, incorporating a unique power take-off and on-board storage system, is significantly smaller and more compact than our standard utility PowerBuoy. It provides persistent, off-grid clean energy in remote ocean locations for a wide variety of maritime security, monitoring and other commercial applications.</w:t>
      </w:r>
    </w:p>
    <w:p>
      <w:pPr>
        <w:spacing w:after="0" w:line="119" w:lineRule="exact"/>
        <w:rPr>
          <w:sz w:val="20"/>
          <w:szCs w:val="20"/>
          <w:color w:val="auto"/>
        </w:rPr>
      </w:pPr>
    </w:p>
    <w:p>
      <w:pPr>
        <w:ind w:left="280" w:right="1979"/>
        <w:spacing w:after="0" w:line="251" w:lineRule="auto"/>
        <w:rPr>
          <w:sz w:val="20"/>
          <w:szCs w:val="20"/>
          <w:color w:val="auto"/>
        </w:rPr>
      </w:pPr>
      <w:r>
        <w:rPr>
          <w:rFonts w:ascii="Arial" w:cs="Arial" w:eastAsia="Arial" w:hAnsi="Arial"/>
          <w:sz w:val="15"/>
          <w:szCs w:val="15"/>
          <w:color w:val="auto"/>
        </w:rPr>
        <w:t>At July 31, 2011, our total negotiated backlog was $7.1 million compared with $6.5 million at July 31, 2010. We anticipate that a majority of our backlog will be recognized as revenue over the next 12 months. Our backlog includes both funded amounts, which are unfilled firm orders for our products and services for which funding has been both authorized and appropriated by the customer (Congress, in the case of US Government agencies) and unfunded amounts, which are unfilled firm orders from the US Department of Energy for which funding has not been appropriated. If any of our contracts were to be terminated, our backlog would be reduced by the expected value of the remaining terms of such contracts. Funded backlog was $5.1 million and $5.9 million at July 31, 2011 and 2010, respectively.</w:t>
      </w:r>
    </w:p>
    <w:p>
      <w:pPr>
        <w:spacing w:after="0" w:line="130" w:lineRule="exact"/>
        <w:rPr>
          <w:sz w:val="20"/>
          <w:szCs w:val="20"/>
          <w:color w:val="auto"/>
        </w:rPr>
      </w:pPr>
    </w:p>
    <w:p>
      <w:pPr>
        <w:ind w:left="280" w:right="1979"/>
        <w:spacing w:after="0" w:line="271" w:lineRule="auto"/>
        <w:rPr>
          <w:sz w:val="20"/>
          <w:szCs w:val="20"/>
          <w:color w:val="auto"/>
        </w:rPr>
      </w:pPr>
      <w:r>
        <w:rPr>
          <w:rFonts w:ascii="Arial" w:cs="Arial" w:eastAsia="Arial" w:hAnsi="Arial"/>
          <w:sz w:val="14"/>
          <w:szCs w:val="14"/>
          <w:color w:val="auto"/>
        </w:rPr>
        <w:t>For the three months ended July 31, 2011, we generated revenues of $1.9 million and incurred a net loss attributable to Ocean Power Technologies, Inc. of $5.0 million, compared to revenues of $1.4 million and a net loss attributable to Ocean Power Technologies, Inc. of $6.3 million for the three months ended July 31, 2010. As of July 31, 2011, our accumulated deficit was $115.8 million. We have not been profitable since inception, and we do not know whether or when we will become profitable because of the significant uncertainties with respect to our ability to successfully commercialize our PowerBuoy systems in the emerging renewable energy market. Since fiscal 2002, the US Navy has accounted for a significant portion of our revenues. We expect that, over time, revenues derived from utilities and other non-government commercial customers will increase more rapidly than sales to government customers and may, over time, represent the majority of our revenues.</w:t>
      </w:r>
    </w:p>
    <w:p>
      <w:pPr>
        <w:spacing w:after="0" w:line="200" w:lineRule="exact"/>
        <w:rPr>
          <w:sz w:val="20"/>
          <w:szCs w:val="20"/>
          <w:color w:val="auto"/>
        </w:rPr>
      </w:pPr>
    </w:p>
    <w:p>
      <w:pPr>
        <w:spacing w:after="0" w:line="250"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280" w:right="2119"/>
        <w:spacing w:after="0" w:line="272" w:lineRule="auto"/>
        <w:rPr>
          <w:sz w:val="20"/>
          <w:szCs w:val="20"/>
          <w:color w:val="auto"/>
        </w:rPr>
      </w:pPr>
      <w:r>
        <w:rPr>
          <w:rFonts w:ascii="Arial" w:cs="Arial" w:eastAsia="Arial" w:hAnsi="Arial"/>
          <w:sz w:val="14"/>
          <w:szCs w:val="14"/>
          <w:color w:val="auto"/>
        </w:rPr>
        <w:t>The marine energy industry, including wave, tidal and ocean current energy technologies, is expected to benefit from various legislative initiatives that have been undertaken or are planned by state and federal agencies. For example, the US production tax credit was expanded to include marine energy as part of the Energy Improvement and Extension Act of 2008, signed into law in October 2008. Production tax credit provisions, that were previously in place, served only to benefit other renewable energy sources such as wind and solar. This legislation enables owners of wave power projects in the US to receive federal production tax credits, which, by their prospective effect of lowering income taxes for our customers based on energy produced, should improve the comparative economics of wave power as a renewable energy source.</w:t>
      </w:r>
    </w:p>
    <w:p>
      <w:pPr>
        <w:spacing w:after="0" w:line="126" w:lineRule="exact"/>
        <w:rPr>
          <w:sz w:val="20"/>
          <w:szCs w:val="20"/>
          <w:color w:val="auto"/>
        </w:rPr>
      </w:pPr>
    </w:p>
    <w:p>
      <w:pPr>
        <w:ind w:left="280" w:right="1979"/>
        <w:spacing w:after="0" w:line="293" w:lineRule="auto"/>
        <w:rPr>
          <w:sz w:val="20"/>
          <w:szCs w:val="20"/>
          <w:color w:val="auto"/>
        </w:rPr>
      </w:pPr>
      <w:r>
        <w:rPr>
          <w:rFonts w:ascii="Arial" w:cs="Arial" w:eastAsia="Arial" w:hAnsi="Arial"/>
          <w:sz w:val="13"/>
          <w:szCs w:val="13"/>
          <w:color w:val="auto"/>
        </w:rPr>
        <w:t>Further, it is expected that the US federal and state governments will continue to increase their investments in the renewable energy sector under various economic stimulus measures. The American Recovery and Reinvestment Act of 2009 provides significant grants, tax incentives and policy initiatives to stimulate investment and innovation in the “cleantech” sector. The US Department of Energy (DOE) has also accepted proposals to be funded under government programs to further investment in marine energy technologies. We have devoted additional resources to develop proposals seeking government funding to support existing projects and technology enhancements. Consequently, while our selling, general and administrative costs related to such efforts may increase over the next year, we believe that these governmental initiatives may result in additional revenues for us over the next several years. Given the uncertainties surrounding the scope and size of these government programs, there can be no assurances as to whether we will be successful in obtaining significant additional government funding or as to the terms and conditions of any such funding.</w:t>
      </w:r>
    </w:p>
    <w:p>
      <w:pPr>
        <w:spacing w:after="0" w:line="106" w:lineRule="exact"/>
        <w:rPr>
          <w:sz w:val="20"/>
          <w:szCs w:val="20"/>
          <w:color w:val="auto"/>
        </w:rPr>
      </w:pPr>
    </w:p>
    <w:p>
      <w:pPr>
        <w:ind w:left="280" w:right="1999"/>
        <w:spacing w:after="0" w:line="294" w:lineRule="auto"/>
        <w:rPr>
          <w:sz w:val="20"/>
          <w:szCs w:val="20"/>
          <w:color w:val="auto"/>
        </w:rPr>
      </w:pPr>
      <w:r>
        <w:rPr>
          <w:rFonts w:ascii="Arial" w:cs="Arial" w:eastAsia="Arial" w:hAnsi="Arial"/>
          <w:sz w:val="13"/>
          <w:szCs w:val="13"/>
          <w:color w:val="auto"/>
        </w:rPr>
        <w:t>The recent global economic uncertainty may have a negative effect on our business, financial condition and results of operations because the utility companies with which we contract or propose to contract may decrease their investment in new power generation equipment in response to the uncertainty. However, the various legislative initiatives described above may diminish the effect of any decrease in such capital expenditures by these utility companies insofar as they may relate to renewable energy generation equipment. As discussed above, the timing, scope and size of these new government programs for renewable energy is uncertain, and there can be no assurances that we or our customers will be successful in obtaining any additional government funding. In addition, we do not believe the recent global economic uncertainty will have a material negative impact on our sources of supply, as our products incorporate what are substantially non-custom, standard parts found in many regions of the world.</w:t>
      </w:r>
    </w:p>
    <w:p>
      <w:pPr>
        <w:spacing w:after="0" w:line="105" w:lineRule="exact"/>
        <w:rPr>
          <w:sz w:val="20"/>
          <w:szCs w:val="20"/>
          <w:color w:val="auto"/>
        </w:rPr>
      </w:pPr>
    </w:p>
    <w:p>
      <w:pPr>
        <w:jc w:val="both"/>
        <w:ind w:left="280" w:right="1999"/>
        <w:spacing w:after="0" w:line="317" w:lineRule="auto"/>
        <w:rPr>
          <w:sz w:val="20"/>
          <w:szCs w:val="20"/>
          <w:color w:val="auto"/>
        </w:rPr>
      </w:pPr>
      <w:r>
        <w:rPr>
          <w:rFonts w:ascii="Arial" w:cs="Arial" w:eastAsia="Arial" w:hAnsi="Arial"/>
          <w:sz w:val="13"/>
          <w:szCs w:val="13"/>
          <w:color w:val="auto"/>
        </w:rPr>
        <w:t>According to the International Energy Agency, $3.4 trillion is expected to be spent for new renewable energy generation equipment in the period from 2007 to 2030. This equates to annual global expenditures of approximately $150 billion. We plan to take advantage of these global drivers of demand for renewable energy as we continue to refine and expand our proprietary technology.</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Financial Operations Overview</w:t>
      </w:r>
    </w:p>
    <w:p>
      <w:pPr>
        <w:spacing w:after="0" w:line="166" w:lineRule="exact"/>
        <w:rPr>
          <w:sz w:val="20"/>
          <w:szCs w:val="20"/>
          <w:color w:val="auto"/>
        </w:rPr>
      </w:pPr>
    </w:p>
    <w:p>
      <w:pPr>
        <w:ind w:left="280" w:right="2519"/>
        <w:spacing w:after="0" w:line="269" w:lineRule="auto"/>
        <w:rPr>
          <w:sz w:val="20"/>
          <w:szCs w:val="20"/>
          <w:color w:val="auto"/>
        </w:rPr>
      </w:pPr>
      <w:r>
        <w:rPr>
          <w:rFonts w:ascii="Arial" w:cs="Arial" w:eastAsia="Arial" w:hAnsi="Arial"/>
          <w:sz w:val="15"/>
          <w:szCs w:val="15"/>
          <w:color w:val="auto"/>
        </w:rPr>
        <w:t>The following describes certain line items in our consolidated statements of operations and some of the factors that affect our operating results.</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Revenues</w:t>
      </w:r>
    </w:p>
    <w:p>
      <w:pPr>
        <w:spacing w:after="0" w:line="151" w:lineRule="exact"/>
        <w:rPr>
          <w:sz w:val="20"/>
          <w:szCs w:val="20"/>
          <w:color w:val="auto"/>
        </w:rPr>
      </w:pPr>
    </w:p>
    <w:p>
      <w:pPr>
        <w:ind w:left="280" w:right="1939"/>
        <w:spacing w:after="0" w:line="296" w:lineRule="auto"/>
        <w:rPr>
          <w:sz w:val="20"/>
          <w:szCs w:val="20"/>
          <w:color w:val="auto"/>
        </w:rPr>
      </w:pPr>
      <w:r>
        <w:rPr>
          <w:rFonts w:ascii="Arial" w:cs="Arial" w:eastAsia="Arial" w:hAnsi="Arial"/>
          <w:sz w:val="13"/>
          <w:szCs w:val="13"/>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percentage-of-completion determination or delays in meeting performance criteria or in completing projects may have a significant effect on our revenue for the periods involved. Upon anticipating a loss on a contract, we recognize the full amount of the anticipated loss in the current period.</w:t>
      </w:r>
    </w:p>
    <w:p>
      <w:pPr>
        <w:spacing w:after="0" w:line="113" w:lineRule="exact"/>
        <w:rPr>
          <w:sz w:val="20"/>
          <w:szCs w:val="20"/>
          <w:color w:val="auto"/>
        </w:rPr>
      </w:pPr>
    </w:p>
    <w:p>
      <w:pPr>
        <w:ind w:left="280" w:right="1979"/>
        <w:spacing w:after="0" w:line="292" w:lineRule="auto"/>
        <w:rPr>
          <w:sz w:val="20"/>
          <w:szCs w:val="20"/>
          <w:color w:val="auto"/>
        </w:rPr>
      </w:pPr>
      <w:r>
        <w:rPr>
          <w:rFonts w:ascii="Arial" w:cs="Arial" w:eastAsia="Arial" w:hAnsi="Arial"/>
          <w:sz w:val="13"/>
          <w:szCs w:val="13"/>
          <w:color w:val="auto"/>
        </w:rPr>
        <w:t>Generally our contracts are either cost plus or fixed 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 price contracts, firm fixed price and cost sharing. Under firm fixed price contracts, we receive an agreed-upon amount for providing products and services that are specified in the contract. Revenue is typically recorded using the percentage-of-completion method based on the contract amount. Depending on whether actual costs are more or less than the agreed upon amount, there is a profit or loss on the project. Under cost sharing contracts, the fixed amount agreed-upon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w:t>
      </w:r>
    </w:p>
    <w:p>
      <w:pPr>
        <w:spacing w:after="0" w:line="104" w:lineRule="exact"/>
        <w:rPr>
          <w:sz w:val="20"/>
          <w:szCs w:val="20"/>
          <w:color w:val="auto"/>
        </w:rPr>
      </w:pPr>
    </w:p>
    <w:p>
      <w:pPr>
        <w:ind w:left="280" w:right="2279"/>
        <w:spacing w:after="0" w:line="286" w:lineRule="auto"/>
        <w:rPr>
          <w:sz w:val="20"/>
          <w:szCs w:val="20"/>
          <w:color w:val="auto"/>
        </w:rPr>
      </w:pPr>
      <w:r>
        <w:rPr>
          <w:rFonts w:ascii="Arial" w:cs="Arial" w:eastAsia="Arial" w:hAnsi="Arial"/>
          <w:sz w:val="14"/>
          <w:szCs w:val="14"/>
          <w:color w:val="auto"/>
        </w:rPr>
        <w:t>The US Navy has been our largest customer since fiscal 2002. The US Navy accounted for approximately 60% and 79% of our revenues for the three months ended July 31, 2011 and 2010, respectively. We anticipate that, if our commercialization efforts are successful, the relative contribution of the US Navy to our revenue may decline in the future.</w:t>
      </w:r>
    </w:p>
    <w:p>
      <w:pPr>
        <w:spacing w:after="0" w:line="104" w:lineRule="exact"/>
        <w:rPr>
          <w:sz w:val="20"/>
          <w:szCs w:val="20"/>
          <w:color w:val="auto"/>
        </w:rPr>
      </w:pPr>
    </w:p>
    <w:p>
      <w:pPr>
        <w:ind w:left="280" w:right="2119"/>
        <w:spacing w:after="0" w:line="269" w:lineRule="auto"/>
        <w:rPr>
          <w:sz w:val="20"/>
          <w:szCs w:val="20"/>
          <w:color w:val="auto"/>
        </w:rPr>
      </w:pPr>
      <w:r>
        <w:rPr>
          <w:rFonts w:ascii="Arial" w:cs="Arial" w:eastAsia="Arial" w:hAnsi="Arial"/>
          <w:sz w:val="15"/>
          <w:szCs w:val="15"/>
          <w:color w:val="auto"/>
        </w:rPr>
        <w:t>The following table provides information regarding the breakdown of our revenues by customer for the three months ended July 31, 2011 and 2010:</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6"/>
          </w:tcPr>
          <w:p>
            <w:pPr>
              <w:jc w:val="right"/>
              <w:ind w:right="120"/>
              <w:spacing w:after="0"/>
              <w:rPr>
                <w:sz w:val="20"/>
                <w:szCs w:val="20"/>
                <w:color w:val="auto"/>
              </w:rPr>
            </w:pPr>
            <w:r>
              <w:rPr>
                <w:rFonts w:ascii="Arial" w:cs="Arial" w:eastAsia="Arial" w:hAnsi="Arial"/>
                <w:sz w:val="15"/>
                <w:szCs w:val="15"/>
                <w:b w:val="1"/>
                <w:bCs w:val="1"/>
                <w:color w:val="auto"/>
                <w:w w:val="89"/>
              </w:rPr>
              <w:t>Three months ended July 31,</w:t>
            </w:r>
          </w:p>
        </w:tc>
        <w:tc>
          <w:tcPr>
            <w:tcW w:w="0" w:type="dxa"/>
            <w:vAlign w:val="bottom"/>
          </w:tcPr>
          <w:p>
            <w:pPr>
              <w:spacing w:after="0"/>
              <w:rPr>
                <w:sz w:val="1"/>
                <w:szCs w:val="1"/>
                <w:color w:val="auto"/>
              </w:rPr>
            </w:pPr>
          </w:p>
        </w:tc>
      </w:tr>
      <w:tr>
        <w:trPr>
          <w:trHeight w:val="170"/>
        </w:trPr>
        <w:tc>
          <w:tcPr>
            <w:tcW w:w="57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Customer</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gridSpan w:val="3"/>
          </w:tcPr>
          <w:p>
            <w:pPr>
              <w:jc w:val="right"/>
              <w:spacing w:after="0" w:line="170" w:lineRule="exact"/>
              <w:rPr>
                <w:sz w:val="20"/>
                <w:szCs w:val="20"/>
                <w:color w:val="auto"/>
              </w:rPr>
            </w:pPr>
            <w:r>
              <w:rPr>
                <w:rFonts w:ascii="Arial" w:cs="Arial" w:eastAsia="Arial" w:hAnsi="Arial"/>
                <w:sz w:val="15"/>
                <w:szCs w:val="15"/>
                <w:color w:val="auto"/>
              </w:rPr>
              <w:t>($ millions)</w:t>
            </w:r>
          </w:p>
        </w:tc>
        <w:tc>
          <w:tcPr>
            <w:tcW w:w="58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6"/>
              <w:spacing w:after="0" w:line="169" w:lineRule="exact"/>
              <w:rPr>
                <w:sz w:val="20"/>
                <w:szCs w:val="20"/>
                <w:color w:val="auto"/>
              </w:rPr>
            </w:pPr>
            <w:r>
              <w:rPr>
                <w:rFonts w:ascii="Arial" w:cs="Arial" w:eastAsia="Arial" w:hAnsi="Arial"/>
                <w:sz w:val="15"/>
                <w:szCs w:val="15"/>
                <w:b w:val="1"/>
                <w:bCs w:val="1"/>
                <w:color w:val="auto"/>
              </w:rPr>
              <w:t>2011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ind w:right="166"/>
              <w:spacing w:after="0" w:line="169" w:lineRule="exact"/>
              <w:rPr>
                <w:sz w:val="20"/>
                <w:szCs w:val="20"/>
                <w:color w:val="auto"/>
              </w:rPr>
            </w:pPr>
            <w:r>
              <w:rPr>
                <w:rFonts w:ascii="Arial" w:cs="Arial" w:eastAsia="Arial" w:hAnsi="Arial"/>
                <w:sz w:val="15"/>
                <w:szCs w:val="15"/>
                <w:b w:val="1"/>
                <w:bCs w:val="1"/>
                <w:color w:val="auto"/>
                <w:w w:val="95"/>
              </w:rPr>
              <w:t>2010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US Navy</w:t>
            </w:r>
          </w:p>
        </w:tc>
        <w:tc>
          <w:tcPr>
            <w:tcW w:w="42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Arial" w:cs="Arial" w:eastAsia="Arial" w:hAnsi="Arial"/>
                <w:sz w:val="15"/>
                <w:szCs w:val="15"/>
                <w:color w:val="auto"/>
              </w:rPr>
              <w:t>US Department of Energy</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0.5</w:t>
            </w:r>
          </w:p>
        </w:tc>
        <w:tc>
          <w:tcPr>
            <w:tcW w:w="22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UK Government’s Technology Strategy Board</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0.2</w:t>
            </w:r>
          </w:p>
        </w:tc>
        <w:tc>
          <w:tcPr>
            <w:tcW w:w="2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Arial" w:cs="Arial" w:eastAsia="Arial" w:hAnsi="Arial"/>
                <w:sz w:val="15"/>
                <w:szCs w:val="15"/>
                <w:color w:val="auto"/>
              </w:rPr>
              <w:t>Iberdrola Cantabria</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Scottish Government</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Arial" w:cs="Arial" w:eastAsia="Arial" w:hAnsi="Arial"/>
                <w:sz w:val="15"/>
                <w:szCs w:val="15"/>
                <w:color w:val="auto"/>
              </w:rPr>
              <w:t>Other</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1.9</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ind w:left="280" w:right="1939"/>
        <w:spacing w:after="0" w:line="269" w:lineRule="auto"/>
        <w:rPr>
          <w:sz w:val="20"/>
          <w:szCs w:val="20"/>
          <w:color w:val="auto"/>
        </w:rPr>
      </w:pPr>
      <w:r>
        <w:rPr>
          <w:rFonts w:ascii="Arial" w:cs="Arial" w:eastAsia="Arial" w:hAnsi="Arial"/>
          <w:sz w:val="15"/>
          <w:szCs w:val="15"/>
          <w:color w:val="auto"/>
        </w:rPr>
        <w:t>During the three months ended July 31, 2010, we reduced revenue by approximately $0.2 million due to a change in estimated revenue to be recognized in connection with the Spain construction agreement.</w:t>
      </w:r>
    </w:p>
    <w:p>
      <w:pPr>
        <w:spacing w:after="0" w:line="200" w:lineRule="exact"/>
        <w:rPr>
          <w:sz w:val="20"/>
          <w:szCs w:val="20"/>
          <w:color w:val="auto"/>
        </w:rPr>
      </w:pPr>
    </w:p>
    <w:p>
      <w:pPr>
        <w:spacing w:after="0" w:line="238"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jc w:val="both"/>
        <w:ind w:left="280" w:right="2139"/>
        <w:spacing w:after="0" w:line="258" w:lineRule="auto"/>
        <w:rPr>
          <w:sz w:val="20"/>
          <w:szCs w:val="20"/>
          <w:color w:val="auto"/>
        </w:rPr>
      </w:pPr>
      <w:r>
        <w:rPr>
          <w:rFonts w:ascii="Arial" w:cs="Arial" w:eastAsia="Arial" w:hAnsi="Arial"/>
          <w:sz w:val="15"/>
          <w:szCs w:val="15"/>
          <w:color w:val="auto"/>
        </w:rPr>
        <w:t>We currently focus our sales and marketing efforts on North America, the west coast of Europe, Australia and Japan. The following table provides information regarding the breakdown of our revenues by geographical location of our customers for the three months ended July 31, 2011 and 2010:</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193"/>
        </w:trPr>
        <w:tc>
          <w:tcPr>
            <w:tcW w:w="572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Customer Location</w:t>
            </w:r>
          </w:p>
        </w:tc>
        <w:tc>
          <w:tcPr>
            <w:tcW w:w="2300" w:type="dxa"/>
            <w:vAlign w:val="bottom"/>
            <w:gridSpan w:val="4"/>
          </w:tcPr>
          <w:p>
            <w:pPr>
              <w:jc w:val="right"/>
              <w:ind w:right="420"/>
              <w:spacing w:after="0"/>
              <w:rPr>
                <w:sz w:val="20"/>
                <w:szCs w:val="20"/>
                <w:color w:val="auto"/>
              </w:rPr>
            </w:pPr>
            <w:r>
              <w:rPr>
                <w:rFonts w:ascii="Arial" w:cs="Arial" w:eastAsia="Arial" w:hAnsi="Arial"/>
                <w:sz w:val="15"/>
                <w:szCs w:val="15"/>
                <w:b w:val="1"/>
                <w:bCs w:val="1"/>
                <w:color w:val="auto"/>
                <w:w w:val="89"/>
              </w:rPr>
              <w:t>Three months ended July 31,</w:t>
            </w:r>
          </w:p>
        </w:tc>
        <w:tc>
          <w:tcPr>
            <w:tcW w:w="0" w:type="dxa"/>
            <w:vAlign w:val="bottom"/>
          </w:tcPr>
          <w:p>
            <w:pPr>
              <w:spacing w:after="0"/>
              <w:rPr>
                <w:sz w:val="1"/>
                <w:szCs w:val="1"/>
                <w:color w:val="auto"/>
              </w:rPr>
            </w:pPr>
          </w:p>
        </w:tc>
      </w:tr>
      <w:tr>
        <w:trPr>
          <w:trHeight w:val="170"/>
        </w:trPr>
        <w:tc>
          <w:tcPr>
            <w:tcW w:w="5720" w:type="dxa"/>
            <w:vAlign w:val="bottom"/>
            <w:gridSpan w:val="3"/>
            <w:vMerge w:val="continue"/>
          </w:tcPr>
          <w:p>
            <w:pPr>
              <w:spacing w:after="0"/>
              <w:rPr>
                <w:sz w:val="14"/>
                <w:szCs w:val="14"/>
                <w:color w:val="auto"/>
              </w:rPr>
            </w:pPr>
          </w:p>
        </w:tc>
        <w:tc>
          <w:tcPr>
            <w:tcW w:w="780" w:type="dxa"/>
            <w:vAlign w:val="bottom"/>
            <w:tcBorders>
              <w:top w:val="single" w:sz="8" w:color="auto"/>
            </w:tcBorders>
          </w:tcPr>
          <w:p>
            <w:pPr>
              <w:jc w:val="right"/>
              <w:ind w:right="166"/>
              <w:spacing w:after="0" w:line="170" w:lineRule="exact"/>
              <w:rPr>
                <w:sz w:val="20"/>
                <w:szCs w:val="20"/>
                <w:color w:val="auto"/>
              </w:rPr>
            </w:pPr>
            <w:r>
              <w:rPr>
                <w:rFonts w:ascii="Arial" w:cs="Arial" w:eastAsia="Arial" w:hAnsi="Arial"/>
                <w:sz w:val="15"/>
                <w:szCs w:val="15"/>
                <w:b w:val="1"/>
                <w:bCs w:val="1"/>
                <w:color w:val="auto"/>
              </w:rPr>
              <w:t>2011</w:t>
            </w:r>
          </w:p>
        </w:tc>
        <w:tc>
          <w:tcPr>
            <w:tcW w:w="3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66"/>
              <w:spacing w:after="0" w:line="170" w:lineRule="exact"/>
              <w:rPr>
                <w:sz w:val="20"/>
                <w:szCs w:val="20"/>
                <w:color w:val="auto"/>
              </w:rPr>
            </w:pPr>
            <w:r>
              <w:rPr>
                <w:rFonts w:ascii="Arial" w:cs="Arial" w:eastAsia="Arial" w:hAnsi="Arial"/>
                <w:sz w:val="15"/>
                <w:szCs w:val="15"/>
                <w:b w:val="1"/>
                <w:bCs w:val="1"/>
                <w:color w:val="auto"/>
              </w:rPr>
              <w:t>2010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4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United States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00" w:type="dxa"/>
            <w:vAlign w:val="bottom"/>
            <w:gridSpan w:val="2"/>
          </w:tcPr>
          <w:p>
            <w:pPr>
              <w:spacing w:after="0"/>
              <w:rPr>
                <w:sz w:val="20"/>
                <w:szCs w:val="20"/>
                <w:color w:val="auto"/>
              </w:rPr>
            </w:pPr>
            <w:r>
              <w:rPr>
                <w:rFonts w:ascii="Arial" w:cs="Arial" w:eastAsia="Arial" w:hAnsi="Arial"/>
                <w:sz w:val="15"/>
                <w:szCs w:val="15"/>
                <w:color w:val="auto"/>
              </w:rPr>
              <w:t>Europe</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12%</w:t>
            </w:r>
          </w:p>
        </w:tc>
        <w:tc>
          <w:tcPr>
            <w:tcW w:w="1160" w:type="dxa"/>
            <w:vAlign w:val="bottom"/>
            <w:gridSpan w:val="2"/>
          </w:tcPr>
          <w:p>
            <w:pPr>
              <w:jc w:val="right"/>
              <w:ind w:right="20"/>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Asia and Australia</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100%</w:t>
            </w: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600" w:right="2139" w:hanging="324"/>
        <w:spacing w:after="0" w:line="269" w:lineRule="auto"/>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During the three months ended July 31, 2010, we reduced revenue by approximately $0.2 million due to a change in estimated revenue to be recognized in connection with the Spain construction agreement.</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Cost of revenues</w:t>
      </w:r>
    </w:p>
    <w:p>
      <w:pPr>
        <w:spacing w:after="0" w:line="151" w:lineRule="exact"/>
        <w:rPr>
          <w:sz w:val="20"/>
          <w:szCs w:val="20"/>
          <w:color w:val="auto"/>
        </w:rPr>
      </w:pPr>
    </w:p>
    <w:p>
      <w:pPr>
        <w:ind w:left="280" w:right="1939"/>
        <w:spacing w:after="0" w:line="255" w:lineRule="auto"/>
        <w:rPr>
          <w:sz w:val="20"/>
          <w:szCs w:val="20"/>
          <w:color w:val="auto"/>
        </w:rPr>
      </w:pPr>
      <w:r>
        <w:rPr>
          <w:rFonts w:ascii="Arial" w:cs="Arial" w:eastAsia="Arial" w:hAnsi="Arial"/>
          <w:sz w:val="15"/>
          <w:szCs w:val="15"/>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anticipated losses at completion on certain contracts.</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Product development costs</w:t>
      </w:r>
    </w:p>
    <w:p>
      <w:pPr>
        <w:spacing w:after="0" w:line="162" w:lineRule="exact"/>
        <w:rPr>
          <w:sz w:val="20"/>
          <w:szCs w:val="20"/>
          <w:color w:val="auto"/>
        </w:rPr>
      </w:pPr>
    </w:p>
    <w:p>
      <w:pPr>
        <w:ind w:left="280" w:right="2159"/>
        <w:spacing w:after="0" w:line="272" w:lineRule="auto"/>
        <w:rPr>
          <w:sz w:val="20"/>
          <w:szCs w:val="20"/>
          <w:color w:val="auto"/>
        </w:rPr>
      </w:pPr>
      <w:r>
        <w:rPr>
          <w:rFonts w:ascii="Arial" w:cs="Arial" w:eastAsia="Arial" w:hAnsi="Arial"/>
          <w:sz w:val="14"/>
          <w:szCs w:val="14"/>
          <w:color w:val="auto"/>
        </w:rPr>
        <w:t>Our product development costs consist of salaries and other personnel-related costs and the costs of products, materials and outside services used in our product development and unfunded research activities. Our product development costs primarily relate to our efforts to increase the output of our utility PowerBuoy system, primarily the 150kW PowerBuoy system, and to our research and development of new products, product applications and complementary technologies. We expense all of our product development costs as incurred, except for external patent costs, which we capitalize and amortize over a 17-year period commencing with the issuance date of each patent. Patents are reviewed for impairment whenever events or changes in circumstances indicate that the carrying amount of the patent may not be recoverable.</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Selling, general and administrative costs</w:t>
      </w:r>
    </w:p>
    <w:p>
      <w:pPr>
        <w:spacing w:after="0" w:line="151" w:lineRule="exact"/>
        <w:rPr>
          <w:sz w:val="20"/>
          <w:szCs w:val="20"/>
          <w:color w:val="auto"/>
        </w:rPr>
      </w:pPr>
    </w:p>
    <w:p>
      <w:pPr>
        <w:ind w:left="280" w:right="1959"/>
        <w:spacing w:after="0" w:line="258" w:lineRule="auto"/>
        <w:rPr>
          <w:sz w:val="20"/>
          <w:szCs w:val="20"/>
          <w:color w:val="auto"/>
        </w:rPr>
      </w:pPr>
      <w:r>
        <w:rPr>
          <w:rFonts w:ascii="Arial" w:cs="Arial" w:eastAsia="Arial" w:hAnsi="Arial"/>
          <w:sz w:val="15"/>
          <w:szCs w:val="15"/>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Interest income</w:t>
      </w:r>
    </w:p>
    <w:p>
      <w:pPr>
        <w:spacing w:after="0" w:line="151" w:lineRule="exact"/>
        <w:rPr>
          <w:sz w:val="20"/>
          <w:szCs w:val="20"/>
          <w:color w:val="auto"/>
        </w:rPr>
      </w:pPr>
    </w:p>
    <w:p>
      <w:pPr>
        <w:ind w:left="280" w:right="2039"/>
        <w:spacing w:after="0" w:line="253" w:lineRule="auto"/>
        <w:rPr>
          <w:sz w:val="20"/>
          <w:szCs w:val="20"/>
          <w:color w:val="auto"/>
        </w:rPr>
      </w:pPr>
      <w:r>
        <w:rPr>
          <w:rFonts w:ascii="Arial" w:cs="Arial" w:eastAsia="Arial" w:hAnsi="Arial"/>
          <w:sz w:val="15"/>
          <w:szCs w:val="15"/>
          <w:color w:val="auto"/>
        </w:rPr>
        <w:t>Interest income consists of interest received on cash and cash equivalents, investments in commercial bank-issued certificates of deposit and US Treasury bills and notes. Total cash, cash equivalents, restricted cash, and marketable securities were $43.1 million as of July 31, 2011, compared to $60.8 million as of July 31, 2010. Interest income in the three months ended July 31, 2011 decreased compared to the three months ended July 31, 2010 due to a decline in interest rates and a decline in cash, cash equivalents and marketable securities.</w:t>
      </w:r>
    </w:p>
    <w:p>
      <w:pPr>
        <w:spacing w:after="0" w:line="127" w:lineRule="exact"/>
        <w:rPr>
          <w:sz w:val="20"/>
          <w:szCs w:val="20"/>
          <w:color w:val="auto"/>
        </w:rPr>
      </w:pPr>
    </w:p>
    <w:p>
      <w:pPr>
        <w:ind w:left="280" w:right="2039"/>
        <w:spacing w:after="0" w:line="269" w:lineRule="auto"/>
        <w:rPr>
          <w:sz w:val="20"/>
          <w:szCs w:val="20"/>
          <w:color w:val="auto"/>
        </w:rPr>
      </w:pPr>
      <w:r>
        <w:rPr>
          <w:rFonts w:ascii="Arial" w:cs="Arial" w:eastAsia="Arial" w:hAnsi="Arial"/>
          <w:sz w:val="15"/>
          <w:szCs w:val="15"/>
          <w:color w:val="auto"/>
        </w:rPr>
        <w:t>We anticipate that our interest income reported in fiscal 2012 will continue to be lower than the comparable periods of the prior fiscal year as a result of the decrease in invested cash.</w:t>
      </w:r>
    </w:p>
    <w:p>
      <w:pPr>
        <w:spacing w:after="0" w:line="200" w:lineRule="exact"/>
        <w:rPr>
          <w:sz w:val="20"/>
          <w:szCs w:val="20"/>
          <w:color w:val="auto"/>
        </w:rPr>
      </w:pPr>
    </w:p>
    <w:p>
      <w:pPr>
        <w:spacing w:after="0" w:line="24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Foreign exchange gain (loss)</w:t>
      </w:r>
    </w:p>
    <w:p>
      <w:pPr>
        <w:spacing w:after="0" w:line="162" w:lineRule="exact"/>
        <w:rPr>
          <w:sz w:val="20"/>
          <w:szCs w:val="20"/>
          <w:color w:val="auto"/>
        </w:rPr>
      </w:pPr>
    </w:p>
    <w:p>
      <w:pPr>
        <w:ind w:left="280" w:right="1979"/>
        <w:spacing w:after="0" w:line="253" w:lineRule="auto"/>
        <w:rPr>
          <w:sz w:val="20"/>
          <w:szCs w:val="20"/>
          <w:color w:val="auto"/>
        </w:rPr>
      </w:pPr>
      <w:r>
        <w:rPr>
          <w:rFonts w:ascii="Arial" w:cs="Arial" w:eastAsia="Arial" w:hAnsi="Arial"/>
          <w:sz w:val="15"/>
          <w:szCs w:val="15"/>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27" w:lineRule="exact"/>
        <w:rPr>
          <w:sz w:val="20"/>
          <w:szCs w:val="20"/>
          <w:color w:val="auto"/>
        </w:rPr>
      </w:pPr>
    </w:p>
    <w:p>
      <w:pPr>
        <w:ind w:left="280" w:right="2099"/>
        <w:spacing w:after="0" w:line="275" w:lineRule="auto"/>
        <w:rPr>
          <w:sz w:val="20"/>
          <w:szCs w:val="20"/>
          <w:color w:val="auto"/>
        </w:rPr>
      </w:pPr>
      <w:r>
        <w:rPr>
          <w:rFonts w:ascii="Arial" w:cs="Arial" w:eastAsia="Arial" w:hAnsi="Arial"/>
          <w:sz w:val="14"/>
          <w:szCs w:val="14"/>
          <w:color w:val="auto"/>
        </w:rPr>
        <w:t>We invest in certificates of deposit and maintain cash accounts that are denominated in British pounds, Euros and Australian dollars. These foreign-denominated certificates of deposit and cash accounts had a balance of $5.2 million at both July 31, 2011 and July 31, 2010, compared to our total cash, cash equivalents, restricted cash, and marketable security balances of $43.1 million as of July 31, 2011 and $60.8 million as of July 31, 2010. These foreign currency balances are translated at each month end to our functional currency, the US dollar, and any resulting gain or loss is recognized in our results of operations.</w:t>
      </w:r>
    </w:p>
    <w:p>
      <w:pPr>
        <w:spacing w:after="0" w:line="113" w:lineRule="exact"/>
        <w:rPr>
          <w:sz w:val="20"/>
          <w:szCs w:val="20"/>
          <w:color w:val="auto"/>
        </w:rPr>
      </w:pPr>
    </w:p>
    <w:p>
      <w:pPr>
        <w:ind w:left="280" w:right="2179"/>
        <w:spacing w:after="0" w:line="273" w:lineRule="auto"/>
        <w:rPr>
          <w:sz w:val="20"/>
          <w:szCs w:val="20"/>
          <w:color w:val="auto"/>
        </w:rPr>
      </w:pPr>
      <w:r>
        <w:rPr>
          <w:rFonts w:ascii="Arial" w:cs="Arial" w:eastAsia="Arial" w:hAnsi="Arial"/>
          <w:sz w:val="14"/>
          <w:szCs w:val="14"/>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months ended July 31, 2011 and 2010 were recorded in Euros, British pounds sterling or Australian dollars.</w:t>
      </w:r>
    </w:p>
    <w:p>
      <w:pPr>
        <w:spacing w:after="0" w:line="126" w:lineRule="exact"/>
        <w:rPr>
          <w:sz w:val="20"/>
          <w:szCs w:val="20"/>
          <w:color w:val="auto"/>
        </w:rPr>
      </w:pPr>
    </w:p>
    <w:p>
      <w:pPr>
        <w:ind w:left="280" w:right="2099"/>
        <w:spacing w:after="0" w:line="253" w:lineRule="auto"/>
        <w:rPr>
          <w:sz w:val="20"/>
          <w:szCs w:val="20"/>
          <w:color w:val="auto"/>
        </w:rPr>
      </w:pPr>
      <w:r>
        <w:rPr>
          <w:rFonts w:ascii="Arial" w:cs="Arial" w:eastAsia="Arial" w:hAnsi="Arial"/>
          <w:sz w:val="15"/>
          <w:szCs w:val="15"/>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200" w:lineRule="exact"/>
        <w:rPr>
          <w:sz w:val="20"/>
          <w:szCs w:val="20"/>
          <w:color w:val="auto"/>
        </w:rPr>
      </w:pPr>
    </w:p>
    <w:p>
      <w:pPr>
        <w:spacing w:after="0" w:line="250"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Results of Operations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Three Months Ended July 31, 2011 Compared to Three Months Ended July 31, 2010</w:t>
      </w:r>
    </w:p>
    <w:p>
      <w:pPr>
        <w:spacing w:after="0" w:line="151" w:lineRule="exact"/>
        <w:rPr>
          <w:sz w:val="20"/>
          <w:szCs w:val="20"/>
          <w:color w:val="auto"/>
        </w:rPr>
      </w:pPr>
    </w:p>
    <w:p>
      <w:pPr>
        <w:ind w:left="280" w:right="2019"/>
        <w:spacing w:after="0" w:line="269" w:lineRule="auto"/>
        <w:rPr>
          <w:sz w:val="20"/>
          <w:szCs w:val="20"/>
          <w:color w:val="auto"/>
        </w:rPr>
      </w:pPr>
      <w:r>
        <w:rPr>
          <w:rFonts w:ascii="Arial" w:cs="Arial" w:eastAsia="Arial" w:hAnsi="Arial"/>
          <w:sz w:val="15"/>
          <w:szCs w:val="15"/>
          <w:color w:val="auto"/>
        </w:rPr>
        <w:t>The following table contains selected statement of operations information, which serves as the basis of the discussion of our results of operations for the three months ended July 31, 2011 and 2010:</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tcPr>
          <w:p>
            <w:pPr>
              <w:jc w:val="right"/>
              <w:ind w:right="460"/>
              <w:spacing w:after="0"/>
              <w:rPr>
                <w:sz w:val="20"/>
                <w:szCs w:val="20"/>
                <w:color w:val="auto"/>
              </w:rPr>
            </w:pPr>
            <w:r>
              <w:rPr>
                <w:rFonts w:ascii="Arial" w:cs="Arial" w:eastAsia="Arial" w:hAnsi="Arial"/>
                <w:sz w:val="15"/>
                <w:szCs w:val="15"/>
                <w:b w:val="1"/>
                <w:bCs w:val="1"/>
                <w:color w:val="auto"/>
                <w:w w:val="98"/>
              </w:rPr>
              <w:t>Three Months Ended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5"/>
                <w:szCs w:val="15"/>
                <w:b w:val="1"/>
                <w:bCs w:val="1"/>
                <w:color w:val="auto"/>
                <w:w w:val="98"/>
              </w:rPr>
              <w:t>Three Months Ended</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5"/>
          </w:tcPr>
          <w:p>
            <w:pPr>
              <w:jc w:val="right"/>
              <w:ind w:right="720"/>
              <w:spacing w:after="0"/>
              <w:rPr>
                <w:sz w:val="20"/>
                <w:szCs w:val="20"/>
                <w:color w:val="auto"/>
              </w:rPr>
            </w:pPr>
            <w:r>
              <w:rPr>
                <w:rFonts w:ascii="Arial" w:cs="Arial" w:eastAsia="Arial" w:hAnsi="Arial"/>
                <w:sz w:val="15"/>
                <w:szCs w:val="15"/>
                <w:b w:val="1"/>
                <w:bCs w:val="1"/>
                <w:color w:val="auto"/>
              </w:rPr>
              <w:t>July 31, 2011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5"/>
          </w:tcPr>
          <w:p>
            <w:pPr>
              <w:jc w:val="right"/>
              <w:ind w:right="760"/>
              <w:spacing w:after="0"/>
              <w:rPr>
                <w:sz w:val="20"/>
                <w:szCs w:val="20"/>
                <w:color w:val="auto"/>
              </w:rPr>
            </w:pPr>
            <w:r>
              <w:rPr>
                <w:rFonts w:ascii="Arial" w:cs="Arial" w:eastAsia="Arial" w:hAnsi="Arial"/>
                <w:sz w:val="15"/>
                <w:szCs w:val="15"/>
                <w:b w:val="1"/>
                <w:bCs w:val="1"/>
                <w:color w:val="auto"/>
              </w:rPr>
              <w:t>July 31, 2010</w:t>
            </w:r>
          </w:p>
        </w:tc>
        <w:tc>
          <w:tcPr>
            <w:tcW w:w="8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0"/>
              </w:rPr>
              <w:t>% Change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6"/>
              <w:spacing w:after="0" w:line="155" w:lineRule="exact"/>
              <w:rPr>
                <w:sz w:val="20"/>
                <w:szCs w:val="20"/>
                <w:color w:val="auto"/>
              </w:rPr>
            </w:pPr>
            <w:r>
              <w:rPr>
                <w:rFonts w:ascii="Arial" w:cs="Arial" w:eastAsia="Arial" w:hAnsi="Arial"/>
                <w:sz w:val="15"/>
                <w:szCs w:val="15"/>
                <w:b w:val="1"/>
                <w:bCs w:val="1"/>
                <w:color w:val="auto"/>
              </w:rPr>
              <w:t>As a % of</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6"/>
              <w:spacing w:after="0" w:line="155" w:lineRule="exact"/>
              <w:rPr>
                <w:sz w:val="20"/>
                <w:szCs w:val="20"/>
                <w:color w:val="auto"/>
              </w:rPr>
            </w:pPr>
            <w:r>
              <w:rPr>
                <w:rFonts w:ascii="Arial" w:cs="Arial" w:eastAsia="Arial" w:hAnsi="Arial"/>
                <w:sz w:val="15"/>
                <w:szCs w:val="15"/>
                <w:b w:val="1"/>
                <w:bCs w:val="1"/>
                <w:color w:val="auto"/>
              </w:rPr>
              <w:t>As a % of</w:t>
            </w:r>
          </w:p>
        </w:tc>
        <w:tc>
          <w:tcPr>
            <w:tcW w:w="260" w:type="dxa"/>
            <w:vAlign w:val="bottom"/>
          </w:tcPr>
          <w:p>
            <w:pPr>
              <w:spacing w:after="0"/>
              <w:rPr>
                <w:sz w:val="13"/>
                <w:szCs w:val="13"/>
                <w:color w:val="auto"/>
              </w:rPr>
            </w:pPr>
          </w:p>
        </w:tc>
        <w:tc>
          <w:tcPr>
            <w:tcW w:w="1120" w:type="dxa"/>
            <w:vAlign w:val="bottom"/>
            <w:gridSpan w:val="3"/>
          </w:tcPr>
          <w:p>
            <w:pPr>
              <w:jc w:val="center"/>
              <w:ind w:right="60"/>
              <w:spacing w:after="0" w:line="155" w:lineRule="exact"/>
              <w:rPr>
                <w:sz w:val="20"/>
                <w:szCs w:val="20"/>
                <w:color w:val="auto"/>
              </w:rPr>
            </w:pPr>
            <w:r>
              <w:rPr>
                <w:rFonts w:ascii="Arial" w:cs="Arial" w:eastAsia="Arial" w:hAnsi="Arial"/>
                <w:sz w:val="15"/>
                <w:szCs w:val="15"/>
                <w:b w:val="1"/>
                <w:bCs w:val="1"/>
                <w:color w:val="auto"/>
                <w:w w:val="87"/>
              </w:rPr>
              <w:t>2011 Period to</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16"/>
                <w:szCs w:val="16"/>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5"/>
                <w:szCs w:val="15"/>
                <w:b w:val="1"/>
                <w:bCs w:val="1"/>
                <w:color w:val="auto"/>
                <w:w w:val="94"/>
              </w:rPr>
              <w:t>Revenues (1)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5"/>
              </w:rPr>
              <w:t>Amount</w:t>
            </w:r>
          </w:p>
        </w:tc>
        <w:tc>
          <w:tcPr>
            <w:tcW w:w="1160" w:type="dxa"/>
            <w:vAlign w:val="bottom"/>
            <w:gridSpan w:val="3"/>
          </w:tcPr>
          <w:p>
            <w:pPr>
              <w:jc w:val="right"/>
              <w:ind w:right="260"/>
              <w:spacing w:after="0"/>
              <w:rPr>
                <w:sz w:val="20"/>
                <w:szCs w:val="20"/>
                <w:color w:val="auto"/>
              </w:rPr>
            </w:pPr>
            <w:r>
              <w:rPr>
                <w:rFonts w:ascii="Arial" w:cs="Arial" w:eastAsia="Arial" w:hAnsi="Arial"/>
                <w:sz w:val="15"/>
                <w:szCs w:val="15"/>
                <w:b w:val="1"/>
                <w:bCs w:val="1"/>
                <w:color w:val="auto"/>
                <w:w w:val="94"/>
              </w:rPr>
              <w:t>Revenues (1)</w:t>
            </w:r>
          </w:p>
        </w:tc>
        <w:tc>
          <w:tcPr>
            <w:tcW w:w="8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7"/>
              </w:rPr>
              <w:t>2010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26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Revenues</w:t>
            </w: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line="170" w:lineRule="exact"/>
              <w:rPr>
                <w:sz w:val="20"/>
                <w:szCs w:val="20"/>
                <w:color w:val="auto"/>
              </w:rPr>
            </w:pPr>
            <w:r>
              <w:rPr>
                <w:rFonts w:ascii="Arial" w:cs="Arial" w:eastAsia="Arial" w:hAnsi="Arial"/>
                <w:sz w:val="15"/>
                <w:szCs w:val="15"/>
                <w:color w:val="auto"/>
                <w:w w:val="95"/>
              </w:rPr>
              <w:t>1,910,852</w:t>
            </w:r>
          </w:p>
        </w:tc>
        <w:tc>
          <w:tcPr>
            <w:tcW w:w="1140" w:type="dxa"/>
            <w:vAlign w:val="bottom"/>
            <w:gridSpan w:val="3"/>
            <w:shd w:val="clear" w:color="auto" w:fill="CCEEFF"/>
          </w:tcPr>
          <w:p>
            <w:pPr>
              <w:jc w:val="right"/>
              <w:ind w:right="120"/>
              <w:spacing w:after="0" w:line="170" w:lineRule="exact"/>
              <w:rPr>
                <w:sz w:val="20"/>
                <w:szCs w:val="20"/>
                <w:color w:val="auto"/>
              </w:rPr>
            </w:pPr>
            <w:r>
              <w:rPr>
                <w:rFonts w:ascii="Arial" w:cs="Arial" w:eastAsia="Arial" w:hAnsi="Arial"/>
                <w:sz w:val="15"/>
                <w:szCs w:val="15"/>
                <w:color w:val="auto"/>
              </w:rPr>
              <w:t>100%</w:t>
            </w:r>
          </w:p>
        </w:tc>
        <w:tc>
          <w:tcPr>
            <w:tcW w:w="180" w:type="dxa"/>
            <w:vAlign w:val="bottom"/>
            <w:gridSpan w:val="2"/>
            <w:shd w:val="clear" w:color="auto" w:fill="CCEEFF"/>
          </w:tcPr>
          <w:p>
            <w:pPr>
              <w:jc w:val="right"/>
              <w:ind w:right="20"/>
              <w:spacing w:after="0" w:line="170"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40"/>
              <w:spacing w:after="0" w:line="170" w:lineRule="exact"/>
              <w:rPr>
                <w:sz w:val="20"/>
                <w:szCs w:val="20"/>
                <w:color w:val="auto"/>
              </w:rPr>
            </w:pPr>
            <w:r>
              <w:rPr>
                <w:rFonts w:ascii="Arial" w:cs="Arial" w:eastAsia="Arial" w:hAnsi="Arial"/>
                <w:sz w:val="15"/>
                <w:szCs w:val="15"/>
                <w:color w:val="auto"/>
                <w:w w:val="98"/>
              </w:rPr>
              <w:t>1,374,407</w:t>
            </w:r>
          </w:p>
        </w:tc>
        <w:tc>
          <w:tcPr>
            <w:tcW w:w="1160" w:type="dxa"/>
            <w:vAlign w:val="bottom"/>
            <w:gridSpan w:val="3"/>
            <w:shd w:val="clear" w:color="auto" w:fill="CCEEFF"/>
          </w:tcPr>
          <w:p>
            <w:pPr>
              <w:jc w:val="right"/>
              <w:ind w:right="140"/>
              <w:spacing w:after="0" w:line="170" w:lineRule="exact"/>
              <w:rPr>
                <w:sz w:val="20"/>
                <w:szCs w:val="20"/>
                <w:color w:val="auto"/>
              </w:rPr>
            </w:pPr>
            <w:r>
              <w:rPr>
                <w:rFonts w:ascii="Arial" w:cs="Arial" w:eastAsia="Arial" w:hAnsi="Arial"/>
                <w:sz w:val="15"/>
                <w:szCs w:val="15"/>
                <w:color w:val="auto"/>
              </w:rPr>
              <w:t>100%</w:t>
            </w:r>
          </w:p>
        </w:tc>
        <w:tc>
          <w:tcPr>
            <w:tcW w:w="1120" w:type="dxa"/>
            <w:vAlign w:val="bottom"/>
            <w:gridSpan w:val="3"/>
            <w:shd w:val="clear" w:color="auto" w:fill="CCEEFF"/>
          </w:tcPr>
          <w:p>
            <w:pPr>
              <w:jc w:val="right"/>
              <w:ind w:right="20"/>
              <w:spacing w:after="0" w:line="170" w:lineRule="exact"/>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Arial" w:cs="Arial" w:eastAsia="Arial" w:hAnsi="Arial"/>
                <w:sz w:val="15"/>
                <w:szCs w:val="15"/>
                <w:color w:val="auto"/>
              </w:rPr>
              <w:t>Cost of revenues</w:t>
            </w: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1,901,902</w:t>
            </w:r>
          </w:p>
        </w:tc>
        <w:tc>
          <w:tcPr>
            <w:tcW w:w="1140" w:type="dxa"/>
            <w:vAlign w:val="bottom"/>
            <w:gridSpan w:val="3"/>
          </w:tcPr>
          <w:p>
            <w:pPr>
              <w:jc w:val="right"/>
              <w:ind w:right="24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w w:val="98"/>
              </w:rPr>
              <w:t>1,588,246</w:t>
            </w:r>
          </w:p>
        </w:tc>
        <w:tc>
          <w:tcPr>
            <w:tcW w:w="1160" w:type="dxa"/>
            <w:vAlign w:val="bottom"/>
            <w:gridSpan w:val="3"/>
          </w:tcPr>
          <w:p>
            <w:pPr>
              <w:jc w:val="right"/>
              <w:ind w:right="260"/>
              <w:spacing w:after="0"/>
              <w:rPr>
                <w:sz w:val="20"/>
                <w:szCs w:val="20"/>
                <w:color w:val="auto"/>
              </w:rPr>
            </w:pPr>
            <w:r>
              <w:rPr>
                <w:rFonts w:ascii="Arial" w:cs="Arial" w:eastAsia="Arial" w:hAnsi="Arial"/>
                <w:sz w:val="15"/>
                <w:szCs w:val="15"/>
                <w:color w:val="auto"/>
              </w:rPr>
              <w:t>116</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20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6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Gross profit (loss)</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8,950</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(213,839)</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(16)</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80"/>
        </w:trPr>
        <w:tc>
          <w:tcPr>
            <w:tcW w:w="270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Product development costs</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5"/>
              </w:rPr>
              <w:t>3,100,587</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162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8"/>
              </w:rPr>
              <w:t>4,025,786</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293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80" w:type="dxa"/>
            <w:vAlign w:val="bottom"/>
          </w:tcPr>
          <w:p>
            <w:pPr>
              <w:ind w:left="140"/>
              <w:spacing w:after="0"/>
              <w:rPr>
                <w:sz w:val="20"/>
                <w:szCs w:val="20"/>
                <w:color w:val="auto"/>
              </w:rPr>
            </w:pPr>
            <w:r>
              <w:rPr>
                <w:rFonts w:ascii="Arial" w:cs="Arial" w:eastAsia="Arial" w:hAnsi="Arial"/>
                <w:sz w:val="15"/>
                <w:szCs w:val="15"/>
                <w:color w:val="auto"/>
                <w:w w:val="93"/>
              </w:rPr>
              <w:t>Selling, general and administrative costs</w:t>
            </w: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2,019,742</w:t>
            </w:r>
          </w:p>
        </w:tc>
        <w:tc>
          <w:tcPr>
            <w:tcW w:w="1140" w:type="dxa"/>
            <w:vAlign w:val="bottom"/>
            <w:gridSpan w:val="3"/>
          </w:tcPr>
          <w:p>
            <w:pPr>
              <w:jc w:val="right"/>
              <w:ind w:right="240"/>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w w:val="98"/>
              </w:rPr>
              <w:t>2,028,910</w:t>
            </w:r>
          </w:p>
        </w:tc>
        <w:tc>
          <w:tcPr>
            <w:tcW w:w="1160" w:type="dxa"/>
            <w:vAlign w:val="bottom"/>
            <w:gridSpan w:val="3"/>
          </w:tcPr>
          <w:p>
            <w:pPr>
              <w:jc w:val="right"/>
              <w:ind w:right="260"/>
              <w:spacing w:after="0"/>
              <w:rPr>
                <w:sz w:val="20"/>
                <w:szCs w:val="20"/>
                <w:color w:val="auto"/>
              </w:rPr>
            </w:pPr>
            <w:r>
              <w:rPr>
                <w:rFonts w:ascii="Arial" w:cs="Arial" w:eastAsia="Arial" w:hAnsi="Arial"/>
                <w:sz w:val="15"/>
                <w:szCs w:val="15"/>
                <w:color w:val="auto"/>
              </w:rPr>
              <w:t>148</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6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operating expenses</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5"/>
              </w:rPr>
              <w:t>5,120,329</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268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8"/>
              </w:rPr>
              <w:t>6,054,696</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441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5"/>
                <w:szCs w:val="15"/>
                <w:color w:val="auto"/>
              </w:rPr>
              <w:t>Operating loss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5"/>
                <w:szCs w:val="15"/>
                <w:color w:val="auto"/>
              </w:rPr>
              <w:t>18</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w w:val="88"/>
              </w:rPr>
              <w:t>(5,111,379)</w:t>
            </w:r>
          </w:p>
        </w:tc>
        <w:tc>
          <w:tcPr>
            <w:tcW w:w="1140" w:type="dxa"/>
            <w:vAlign w:val="bottom"/>
            <w:gridSpan w:val="3"/>
          </w:tcPr>
          <w:p>
            <w:pPr>
              <w:jc w:val="right"/>
              <w:ind w:right="200"/>
              <w:spacing w:after="0"/>
              <w:rPr>
                <w:sz w:val="20"/>
                <w:szCs w:val="20"/>
                <w:color w:val="auto"/>
              </w:rPr>
            </w:pPr>
            <w:r>
              <w:rPr>
                <w:rFonts w:ascii="Arial" w:cs="Arial" w:eastAsia="Arial" w:hAnsi="Arial"/>
                <w:sz w:val="15"/>
                <w:szCs w:val="15"/>
                <w:color w:val="auto"/>
              </w:rPr>
              <w:t>(267)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w w:val="91"/>
              </w:rPr>
              <w:t>(6,268,535)</w:t>
            </w:r>
          </w:p>
        </w:tc>
        <w:tc>
          <w:tcPr>
            <w:tcW w:w="1160" w:type="dxa"/>
            <w:vAlign w:val="bottom"/>
            <w:gridSpan w:val="3"/>
          </w:tcPr>
          <w:p>
            <w:pPr>
              <w:jc w:val="right"/>
              <w:ind w:right="220"/>
              <w:spacing w:after="0"/>
              <w:rPr>
                <w:sz w:val="20"/>
                <w:szCs w:val="20"/>
                <w:color w:val="auto"/>
              </w:rPr>
            </w:pPr>
            <w:r>
              <w:rPr>
                <w:rFonts w:ascii="Arial" w:cs="Arial" w:eastAsia="Arial" w:hAnsi="Arial"/>
                <w:sz w:val="15"/>
                <w:szCs w:val="15"/>
                <w:color w:val="auto"/>
              </w:rPr>
              <w:t>(456)</w:t>
            </w: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net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120,768</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237,465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Arial" w:cs="Arial" w:eastAsia="Arial" w:hAnsi="Arial"/>
                <w:sz w:val="15"/>
                <w:szCs w:val="15"/>
                <w:color w:val="auto"/>
              </w:rPr>
              <w:t>Foreign exchange loss</w:t>
            </w:r>
          </w:p>
        </w:tc>
        <w:tc>
          <w:tcPr>
            <w:tcW w:w="1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(9,041)</w:t>
            </w: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(239,002)</w:t>
            </w:r>
          </w:p>
        </w:tc>
        <w:tc>
          <w:tcPr>
            <w:tcW w:w="1160" w:type="dxa"/>
            <w:vAlign w:val="bottom"/>
            <w:gridSpan w:val="3"/>
          </w:tcPr>
          <w:p>
            <w:pPr>
              <w:jc w:val="right"/>
              <w:ind w:right="220"/>
              <w:spacing w:after="0"/>
              <w:rPr>
                <w:sz w:val="20"/>
                <w:szCs w:val="20"/>
                <w:color w:val="auto"/>
              </w:rPr>
            </w:pPr>
            <w:r>
              <w:rPr>
                <w:rFonts w:ascii="Arial" w:cs="Arial" w:eastAsia="Arial" w:hAnsi="Arial"/>
                <w:sz w:val="15"/>
                <w:szCs w:val="15"/>
                <w:color w:val="auto"/>
              </w:rPr>
              <w:t>(17)</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96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8"/>
              </w:rPr>
              <w:t>(4,999,652)</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1"/>
              </w:rPr>
              <w:t>(6,270,072)</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(456)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tcPr>
          <w:p>
            <w:pPr>
              <w:ind w:left="140"/>
              <w:spacing w:after="0" w:line="168" w:lineRule="exact"/>
              <w:rPr>
                <w:sz w:val="20"/>
                <w:szCs w:val="20"/>
                <w:color w:val="auto"/>
              </w:rPr>
            </w:pPr>
            <w:r>
              <w:rPr>
                <w:rFonts w:ascii="Arial" w:cs="Arial" w:eastAsia="Arial" w:hAnsi="Arial"/>
                <w:sz w:val="15"/>
                <w:szCs w:val="15"/>
                <w:color w:val="auto"/>
              </w:rPr>
              <w:t>Less: Net loss attributable to the</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80" w:type="dxa"/>
            <w:vAlign w:val="bottom"/>
          </w:tcPr>
          <w:p>
            <w:pPr>
              <w:ind w:left="320"/>
              <w:spacing w:after="0"/>
              <w:rPr>
                <w:sz w:val="20"/>
                <w:szCs w:val="20"/>
                <w:color w:val="auto"/>
              </w:rPr>
            </w:pPr>
            <w:r>
              <w:rPr>
                <w:rFonts w:ascii="Arial" w:cs="Arial" w:eastAsia="Arial" w:hAnsi="Arial"/>
                <w:sz w:val="15"/>
                <w:szCs w:val="15"/>
                <w:color w:val="auto"/>
              </w:rPr>
              <w:t>noncontrolling interest in Ocean</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80" w:type="dxa"/>
            <w:vAlign w:val="bottom"/>
          </w:tcPr>
          <w:p>
            <w:pPr>
              <w:ind w:left="320"/>
              <w:spacing w:after="0"/>
              <w:rPr>
                <w:sz w:val="20"/>
                <w:szCs w:val="20"/>
                <w:color w:val="auto"/>
              </w:rPr>
            </w:pPr>
            <w:r>
              <w:rPr>
                <w:rFonts w:ascii="Arial" w:cs="Arial" w:eastAsia="Arial" w:hAnsi="Arial"/>
                <w:sz w:val="15"/>
                <w:szCs w:val="15"/>
                <w:color w:val="auto"/>
              </w:rPr>
              <w:t>Power Technologies (Australasia)</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tcPr>
          <w:p>
            <w:pPr>
              <w:ind w:left="320"/>
              <w:spacing w:after="0"/>
              <w:rPr>
                <w:sz w:val="20"/>
                <w:szCs w:val="20"/>
                <w:color w:val="auto"/>
              </w:rPr>
            </w:pPr>
            <w:r>
              <w:rPr>
                <w:rFonts w:ascii="Arial" w:cs="Arial" w:eastAsia="Arial" w:hAnsi="Arial"/>
                <w:sz w:val="15"/>
                <w:szCs w:val="15"/>
                <w:color w:val="auto"/>
              </w:rPr>
              <w:t>Pty Ltd.</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4,588</w:t>
            </w:r>
          </w:p>
        </w:tc>
        <w:tc>
          <w:tcPr>
            <w:tcW w:w="1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3,479</w:t>
            </w:r>
          </w:p>
        </w:tc>
        <w:tc>
          <w:tcPr>
            <w:tcW w:w="10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32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shd w:val="clear" w:color="auto" w:fill="CCEEFF"/>
          </w:tcPr>
          <w:p>
            <w:pPr>
              <w:spacing w:after="0" w:line="168" w:lineRule="exact"/>
              <w:rPr>
                <w:sz w:val="20"/>
                <w:szCs w:val="20"/>
                <w:color w:val="auto"/>
              </w:rPr>
            </w:pPr>
            <w:r>
              <w:rPr>
                <w:rFonts w:ascii="Arial" w:cs="Arial" w:eastAsia="Arial" w:hAnsi="Arial"/>
                <w:sz w:val="15"/>
                <w:szCs w:val="15"/>
                <w:color w:val="auto"/>
              </w:rPr>
              <w:t>Net loss attributable to Ocean Power</w:t>
            </w: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Technologies,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8"/>
              </w:rPr>
              <w:t>(4,995,064)</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(261)%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1"/>
              </w:rPr>
              <w:t>(6,266,593)</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(456)%</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600" w:hanging="324"/>
        <w:spacing w:after="0"/>
        <w:tabs>
          <w:tab w:leader="none" w:pos="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Certain subtotals may not add due to rounding.</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Revenues</w:t>
      </w:r>
    </w:p>
    <w:p>
      <w:pPr>
        <w:spacing w:after="0" w:line="162" w:lineRule="exact"/>
        <w:rPr>
          <w:sz w:val="20"/>
          <w:szCs w:val="20"/>
          <w:color w:val="auto"/>
        </w:rPr>
      </w:pPr>
    </w:p>
    <w:p>
      <w:pPr>
        <w:ind w:left="280" w:right="2079"/>
        <w:spacing w:after="0" w:line="269" w:lineRule="auto"/>
        <w:rPr>
          <w:sz w:val="20"/>
          <w:szCs w:val="20"/>
          <w:color w:val="auto"/>
        </w:rPr>
      </w:pPr>
      <w:r>
        <w:rPr>
          <w:rFonts w:ascii="Arial" w:cs="Arial" w:eastAsia="Arial" w:hAnsi="Arial"/>
          <w:sz w:val="15"/>
          <w:szCs w:val="15"/>
          <w:color w:val="auto"/>
        </w:rPr>
        <w:t>Revenues increased by $0.5 million in the three months ended July 31, 2011, or 39%, to $1.9 million, as compared to $1.4 million in the three months ended July 31, 2010. The change in revenues was attributable to the following factors:</w:t>
      </w:r>
    </w:p>
    <w:p>
      <w:pPr>
        <w:spacing w:after="0" w:line="115" w:lineRule="exact"/>
        <w:rPr>
          <w:sz w:val="20"/>
          <w:szCs w:val="20"/>
          <w:color w:val="auto"/>
        </w:rPr>
      </w:pPr>
    </w:p>
    <w:p>
      <w:pPr>
        <w:ind w:left="580" w:right="1979" w:hanging="304"/>
        <w:spacing w:after="0" w:line="253" w:lineRule="auto"/>
        <w:tabs>
          <w:tab w:leader="none" w:pos="580"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Revenues relating to our utility PowerBuoy system increased by $0.4 million due primarily to an increase in billable work on our PB500 PowerBuoy development. This was partially offset by a decrease in revenue related to our 150kW PowerBuoy project off the coast of Scotland, as this project nears completion. Additionally, during the three months ended July 31, 2010, revenue was reduced by $0.2 million due to a change in estimate of revenue to be recognized in connection with our Spain construction agreement.</w:t>
      </w:r>
    </w:p>
    <w:p>
      <w:pPr>
        <w:spacing w:after="0" w:line="104" w:lineRule="exact"/>
        <w:rPr>
          <w:rFonts w:ascii="Arial" w:cs="Arial" w:eastAsia="Arial" w:hAnsi="Arial"/>
          <w:sz w:val="15"/>
          <w:szCs w:val="15"/>
          <w:b w:val="1"/>
          <w:bCs w:val="1"/>
          <w:color w:val="auto"/>
        </w:rPr>
      </w:pPr>
    </w:p>
    <w:p>
      <w:pPr>
        <w:ind w:left="580" w:right="2039" w:hanging="304"/>
        <w:spacing w:after="0" w:line="255" w:lineRule="auto"/>
        <w:tabs>
          <w:tab w:leader="none" w:pos="580"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Revenues relating to our autonomous PowerBuoy system increased by $0.1 million as a result of an increase in billable work on our project to provide our PowerBuoy technology to the US Navy’s Littoral Expeditionary Autonomous PowerBuoy (“LEAP”) program. This was partially offset by a decrease in billable work on the US Navy’s Deep Water Active Detection System (“DWADS”), as this project neared completion.</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Cost of revenues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Cost of revenues increased by $0.3 million, or 20%, to $1.9 million in the three months ended July 31, 2011, as compared to</w:t>
      </w:r>
    </w:p>
    <w:p>
      <w:pPr>
        <w:spacing w:after="0" w:line="27" w:lineRule="exact"/>
        <w:rPr>
          <w:sz w:val="20"/>
          <w:szCs w:val="20"/>
          <w:color w:val="auto"/>
        </w:rPr>
      </w:pPr>
    </w:p>
    <w:p>
      <w:pPr>
        <w:ind w:left="280" w:right="2039"/>
        <w:spacing w:after="0" w:line="309" w:lineRule="auto"/>
        <w:rPr>
          <w:sz w:val="20"/>
          <w:szCs w:val="20"/>
          <w:color w:val="auto"/>
        </w:rPr>
      </w:pPr>
      <w:r>
        <w:rPr>
          <w:rFonts w:ascii="Arial" w:cs="Arial" w:eastAsia="Arial" w:hAnsi="Arial"/>
          <w:sz w:val="13"/>
          <w:szCs w:val="13"/>
          <w:color w:val="auto"/>
        </w:rPr>
        <w:t>$1.6 million in the three months ended July 31, 2010. This increase in the cost of revenues reflected the increased activity related to our PB500 PowerBuoy development project and the US Navy’s LEAP program. This was partially offset by a lower level of activity on our 150kW PowerBuoy project off the coast of Scotland and the US Navy’s DWADS project, as these projects neared completion.</w:t>
      </w:r>
    </w:p>
    <w:p>
      <w:pPr>
        <w:spacing w:after="0" w:line="200" w:lineRule="exact"/>
        <w:rPr>
          <w:sz w:val="20"/>
          <w:szCs w:val="20"/>
          <w:color w:val="auto"/>
        </w:rPr>
      </w:pPr>
    </w:p>
    <w:p>
      <w:pPr>
        <w:spacing w:after="0" w:line="215"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4" w:lineRule="exact"/>
        <w:rPr>
          <w:sz w:val="20"/>
          <w:szCs w:val="20"/>
          <w:color w:val="auto"/>
        </w:rPr>
      </w:pPr>
    </w:p>
    <w:p>
      <w:pPr>
        <w:ind w:left="280" w:right="2019"/>
        <w:spacing w:after="0" w:line="292" w:lineRule="auto"/>
        <w:rPr>
          <w:sz w:val="20"/>
          <w:szCs w:val="20"/>
          <w:color w:val="auto"/>
        </w:rPr>
      </w:pPr>
      <w:r>
        <w:rPr>
          <w:rFonts w:ascii="Arial" w:cs="Arial" w:eastAsia="Arial" w:hAnsi="Arial"/>
          <w:sz w:val="13"/>
          <w:szCs w:val="13"/>
          <w:color w:val="auto"/>
        </w:rPr>
        <w:t>We operated at a break-even gross profit in the three months ended July 31, 2011 and a gross loss of $0.2 million for the three months ended July 31, 2010. Certain of our projects in the three months ended July 31, 2011 and 2010 were under cost sharing contracts. Under cost sharing contracts, we receive a fixed amount agreed upon with the customer that is only intended to fund a portion of the costs on a specific project. We fund the remainder of the costs as part of our product development efforts. Revenue is typically recorded using percentage-of-completion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commercial contracts. During the three months ended July 31, 2010, revenue was reduced by $0.2 million due to a change in estimate of revenue to be recognized in connection with our Spain construction agreement. There was no corresponding reduction in cost of revenue. This resulted in a $0.2 million gross loss being recognized on the Spain project during the three months ended July 31, 2010.</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Product development costs</w:t>
      </w:r>
    </w:p>
    <w:p>
      <w:pPr>
        <w:spacing w:after="0" w:line="151" w:lineRule="exact"/>
        <w:rPr>
          <w:sz w:val="20"/>
          <w:szCs w:val="20"/>
          <w:color w:val="auto"/>
        </w:rPr>
      </w:pPr>
    </w:p>
    <w:p>
      <w:pPr>
        <w:ind w:left="280" w:right="1959"/>
        <w:spacing w:after="0" w:line="293" w:lineRule="auto"/>
        <w:rPr>
          <w:sz w:val="20"/>
          <w:szCs w:val="20"/>
          <w:color w:val="auto"/>
        </w:rPr>
      </w:pPr>
      <w:r>
        <w:rPr>
          <w:rFonts w:ascii="Arial" w:cs="Arial" w:eastAsia="Arial" w:hAnsi="Arial"/>
          <w:sz w:val="13"/>
          <w:szCs w:val="13"/>
          <w:color w:val="auto"/>
        </w:rPr>
        <w:t>Product development costs decreased by $0.9 million, or 23%, to $3.1 million in the three months ended July 31, 2011, as compared to $4.0 million in the three months ended July 31, 2010. Product development costs were primarily attributable to our efforts to increase the power output and reliability of our utility PowerBuoy system, especially the 150kW PowerBuoy system. The decrease in product development costs is primarily related to a decrease in spending related to our 150kW PowerBuoy project off the coast of Scotland, as the construction phase of the project was completed. This was partially offset by an increase in spending related to our 150kW PowerBuoy project off the coast of Oregon. Over the next several years, it is our intent to fund the majority of our research and development expenses, including cost-sharing obligations under some of our customer contracts, with sources of external funding. If we are unable to obtain external funding, we may curtail our research and development expenses or we may decide to self-fund significant research and development expenses, in which case our product development costs may increase. During the three months ended July 31, 2011, the majority of funding for our PB500 PowerBuoy development project was from external sources.</w:t>
      </w:r>
    </w:p>
    <w:p>
      <w:pPr>
        <w:spacing w:after="0" w:line="102"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Selling, general and administrative costs</w:t>
      </w:r>
    </w:p>
    <w:p>
      <w:pPr>
        <w:spacing w:after="0" w:line="162" w:lineRule="exact"/>
        <w:rPr>
          <w:sz w:val="20"/>
          <w:szCs w:val="20"/>
          <w:color w:val="auto"/>
        </w:rPr>
      </w:pPr>
    </w:p>
    <w:p>
      <w:pPr>
        <w:ind w:left="280" w:right="2119"/>
        <w:spacing w:after="0" w:line="269" w:lineRule="auto"/>
        <w:rPr>
          <w:sz w:val="20"/>
          <w:szCs w:val="20"/>
          <w:color w:val="auto"/>
        </w:rPr>
      </w:pPr>
      <w:r>
        <w:rPr>
          <w:rFonts w:ascii="Arial" w:cs="Arial" w:eastAsia="Arial" w:hAnsi="Arial"/>
          <w:sz w:val="15"/>
          <w:szCs w:val="15"/>
          <w:color w:val="auto"/>
        </w:rPr>
        <w:t>Selling, general and administrative costs were $2.0 million for the three months ended July 31, 2011 and for the three months ended July 31, 2010.</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Interest income</w:t>
      </w:r>
    </w:p>
    <w:p>
      <w:pPr>
        <w:spacing w:after="0" w:line="151" w:lineRule="exact"/>
        <w:rPr>
          <w:sz w:val="20"/>
          <w:szCs w:val="20"/>
          <w:color w:val="auto"/>
        </w:rPr>
      </w:pPr>
    </w:p>
    <w:p>
      <w:pPr>
        <w:ind w:left="280" w:right="2019"/>
        <w:spacing w:after="0" w:line="255" w:lineRule="auto"/>
        <w:rPr>
          <w:sz w:val="20"/>
          <w:szCs w:val="20"/>
          <w:color w:val="auto"/>
        </w:rPr>
      </w:pPr>
      <w:r>
        <w:rPr>
          <w:rFonts w:ascii="Arial" w:cs="Arial" w:eastAsia="Arial" w:hAnsi="Arial"/>
          <w:sz w:val="15"/>
          <w:szCs w:val="15"/>
          <w:color w:val="auto"/>
        </w:rPr>
        <w:t>Interest income decreased approximately $0.1 million, or 49%, to $0.1 million for the three months ended July 31, 2011, as compared to $0.2 million in the three months ended July 31, 2010, due to a decrease in cash, cash equivalents and marketable securities and average yield. The average yield was approximately 1.06% during the three months ended July 31, 2011 and 1.49% during the three months ended July 31, 2010.</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Foreign exchange (loss) gain</w:t>
      </w:r>
    </w:p>
    <w:p>
      <w:pPr>
        <w:spacing w:after="0" w:line="151" w:lineRule="exact"/>
        <w:rPr>
          <w:sz w:val="20"/>
          <w:szCs w:val="20"/>
          <w:color w:val="auto"/>
        </w:rPr>
      </w:pPr>
    </w:p>
    <w:p>
      <w:pPr>
        <w:ind w:left="280" w:right="2079"/>
        <w:spacing w:after="0" w:line="258" w:lineRule="auto"/>
        <w:rPr>
          <w:sz w:val="20"/>
          <w:szCs w:val="20"/>
          <w:color w:val="auto"/>
        </w:rPr>
      </w:pPr>
      <w:r>
        <w:rPr>
          <w:rFonts w:ascii="Arial" w:cs="Arial" w:eastAsia="Arial" w:hAnsi="Arial"/>
          <w:sz w:val="15"/>
          <w:szCs w:val="15"/>
          <w:color w:val="auto"/>
        </w:rPr>
        <w:t>Foreign exchange loss was $9,000 for the three months ended July 31, 2011, compared to a foreign exchange loss of $0.2 million for the three months ended July 31, 2010. The difference was primarily attributable to the relative change in value of the British pound sterling, Euro and Australian dollar compared to the US dollar during the two periods.</w:t>
      </w:r>
    </w:p>
    <w:p>
      <w:pPr>
        <w:spacing w:after="0" w:line="200" w:lineRule="exact"/>
        <w:rPr>
          <w:sz w:val="20"/>
          <w:szCs w:val="20"/>
          <w:color w:val="auto"/>
        </w:rPr>
      </w:pPr>
    </w:p>
    <w:p>
      <w:pPr>
        <w:spacing w:after="0" w:line="257"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Liquidity and Capital Resources</w:t>
      </w:r>
    </w:p>
    <w:p>
      <w:pPr>
        <w:spacing w:after="0" w:line="166" w:lineRule="exact"/>
        <w:rPr>
          <w:sz w:val="20"/>
          <w:szCs w:val="20"/>
          <w:color w:val="auto"/>
        </w:rPr>
      </w:pPr>
    </w:p>
    <w:p>
      <w:pPr>
        <w:ind w:left="280" w:right="2099"/>
        <w:spacing w:after="0" w:line="286" w:lineRule="auto"/>
        <w:rPr>
          <w:sz w:val="20"/>
          <w:szCs w:val="20"/>
          <w:color w:val="auto"/>
        </w:rPr>
      </w:pPr>
      <w:r>
        <w:rPr>
          <w:rFonts w:ascii="Arial" w:cs="Arial" w:eastAsia="Arial" w:hAnsi="Arial"/>
          <w:sz w:val="14"/>
          <w:szCs w:val="14"/>
          <w:color w:val="auto"/>
        </w:rPr>
        <w:t>Since our inception, the cash flows from customer revenues have not been sufficient to fund our operations and provide the capital resources for the planned growth of our business. For the three years ended April 30, 2011, our revenues were $15.8 million, our net losses were $57.9 million and our net cash used in operating activities was $51.2 million.</w:t>
      </w:r>
    </w:p>
    <w:p>
      <w:pPr>
        <w:spacing w:after="0" w:line="104" w:lineRule="exact"/>
        <w:rPr>
          <w:sz w:val="20"/>
          <w:szCs w:val="20"/>
          <w:color w:val="auto"/>
        </w:rPr>
      </w:pPr>
    </w:p>
    <w:tbl>
      <w:tblPr>
        <w:tblLayout w:type="fixed"/>
        <w:tblInd w:w="280" w:type="dxa"/>
        <w:tblCellMar>
          <w:top w:w="0" w:type="dxa"/>
          <w:left w:w="0" w:type="dxa"/>
          <w:bottom w:w="0" w:type="dxa"/>
          <w:right w:w="0" w:type="dxa"/>
        </w:tblCellMar>
      </w:tblPr>
      <w:tr>
        <w:trPr>
          <w:trHeight w:val="188"/>
        </w:trPr>
        <w:tc>
          <w:tcPr>
            <w:tcW w:w="5320" w:type="dxa"/>
            <w:vAlign w:val="bottom"/>
            <w:gridSpan w:val="2"/>
          </w:tcPr>
          <w:p>
            <w:pPr>
              <w:spacing w:after="0"/>
              <w:rPr>
                <w:sz w:val="20"/>
                <w:szCs w:val="20"/>
                <w:color w:val="auto"/>
              </w:rPr>
            </w:pPr>
            <w:r>
              <w:rPr>
                <w:rFonts w:ascii="Arial" w:cs="Arial" w:eastAsia="Arial" w:hAnsi="Arial"/>
                <w:sz w:val="15"/>
                <w:szCs w:val="15"/>
                <w:color w:val="auto"/>
              </w:rPr>
              <w:t>Cash flows for the three months ended July 31, 2011 and 2010 are as follows: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0" w:type="dxa"/>
            <w:vAlign w:val="bottom"/>
            <w:gridSpan w:val="6"/>
          </w:tcPr>
          <w:p>
            <w:pPr>
              <w:ind w:left="20"/>
              <w:spacing w:after="0"/>
              <w:rPr>
                <w:sz w:val="20"/>
                <w:szCs w:val="20"/>
                <w:color w:val="auto"/>
              </w:rPr>
            </w:pPr>
            <w:r>
              <w:rPr>
                <w:rFonts w:ascii="Arial" w:cs="Arial" w:eastAsia="Arial" w:hAnsi="Arial"/>
                <w:sz w:val="15"/>
                <w:szCs w:val="15"/>
                <w:b w:val="1"/>
                <w:bCs w:val="1"/>
                <w:color w:val="auto"/>
                <w:w w:val="94"/>
              </w:rPr>
              <w:t>Three Months Ended July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86"/>
              <w:spacing w:after="0" w:line="170" w:lineRule="exact"/>
              <w:rPr>
                <w:sz w:val="20"/>
                <w:szCs w:val="20"/>
                <w:color w:val="auto"/>
              </w:rPr>
            </w:pPr>
            <w:r>
              <w:rPr>
                <w:rFonts w:ascii="Arial" w:cs="Arial" w:eastAsia="Arial" w:hAnsi="Arial"/>
                <w:sz w:val="15"/>
                <w:szCs w:val="15"/>
                <w:b w:val="1"/>
                <w:bCs w:val="1"/>
                <w:color w:val="auto"/>
              </w:rPr>
              <w:t>2011</w:t>
            </w:r>
          </w:p>
        </w:tc>
        <w:tc>
          <w:tcPr>
            <w:tcW w:w="3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66"/>
              <w:spacing w:after="0" w:line="170" w:lineRule="exact"/>
              <w:rPr>
                <w:sz w:val="20"/>
                <w:szCs w:val="20"/>
                <w:color w:val="auto"/>
              </w:rPr>
            </w:pPr>
            <w:r>
              <w:rPr>
                <w:rFonts w:ascii="Arial" w:cs="Arial" w:eastAsia="Arial" w:hAnsi="Arial"/>
                <w:sz w:val="15"/>
                <w:szCs w:val="15"/>
                <w:b w:val="1"/>
                <w:bCs w:val="1"/>
                <w:color w:val="auto"/>
              </w:rPr>
              <w:t>2010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loss</w:t>
            </w:r>
          </w:p>
        </w:tc>
        <w:tc>
          <w:tcPr>
            <w:tcW w:w="820" w:type="dxa"/>
            <w:vAlign w:val="bottom"/>
            <w:gridSpan w:val="2"/>
            <w:shd w:val="clear" w:color="auto" w:fill="CCEEFF"/>
          </w:tcPr>
          <w:p>
            <w:pPr>
              <w:ind w:left="700"/>
              <w:spacing w:after="0" w:line="169" w:lineRule="exact"/>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w w:val="93"/>
              </w:rPr>
              <w:t>(4,999,652)</w:t>
            </w: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w w:val="91"/>
              </w:rPr>
              <w:t>(6,270,072)</w:t>
            </w:r>
          </w:p>
        </w:tc>
        <w:tc>
          <w:tcPr>
            <w:tcW w:w="0" w:type="dxa"/>
            <w:vAlign w:val="bottom"/>
          </w:tcPr>
          <w:p>
            <w:pPr>
              <w:spacing w:after="0"/>
              <w:rPr>
                <w:sz w:val="1"/>
                <w:szCs w:val="1"/>
                <w:color w:val="auto"/>
              </w:rPr>
            </w:pPr>
          </w:p>
        </w:tc>
      </w:tr>
      <w:tr>
        <w:trPr>
          <w:trHeight w:val="356"/>
        </w:trPr>
        <w:tc>
          <w:tcPr>
            <w:tcW w:w="5320" w:type="dxa"/>
            <w:vAlign w:val="bottom"/>
            <w:gridSpan w:val="2"/>
          </w:tcPr>
          <w:p>
            <w:pPr>
              <w:spacing w:after="0"/>
              <w:rPr>
                <w:sz w:val="20"/>
                <w:szCs w:val="20"/>
                <w:color w:val="auto"/>
              </w:rPr>
            </w:pPr>
            <w:r>
              <w:rPr>
                <w:rFonts w:ascii="Arial" w:cs="Arial" w:eastAsia="Arial" w:hAnsi="Arial"/>
                <w:sz w:val="15"/>
                <w:szCs w:val="15"/>
                <w:color w:val="auto"/>
              </w:rPr>
              <w:t>Adjustments for noncash operating items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493,333</w:t>
            </w:r>
          </w:p>
        </w:tc>
        <w:tc>
          <w:tcPr>
            <w:tcW w:w="12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772,510</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Net cash operating loss</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3"/>
              </w:rPr>
              <w:t>(4,506,319)</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1"/>
              </w:rPr>
              <w:t>(5,497,562)</w:t>
            </w:r>
          </w:p>
        </w:tc>
        <w:tc>
          <w:tcPr>
            <w:tcW w:w="0" w:type="dxa"/>
            <w:vAlign w:val="bottom"/>
          </w:tcPr>
          <w:p>
            <w:pPr>
              <w:spacing w:after="0"/>
              <w:rPr>
                <w:sz w:val="1"/>
                <w:szCs w:val="1"/>
                <w:color w:val="auto"/>
              </w:rPr>
            </w:pPr>
          </w:p>
        </w:tc>
      </w:tr>
      <w:tr>
        <w:trPr>
          <w:trHeight w:val="356"/>
        </w:trPr>
        <w:tc>
          <w:tcPr>
            <w:tcW w:w="5320" w:type="dxa"/>
            <w:vAlign w:val="bottom"/>
            <w:gridSpan w:val="2"/>
          </w:tcPr>
          <w:p>
            <w:pPr>
              <w:spacing w:after="0"/>
              <w:rPr>
                <w:sz w:val="20"/>
                <w:szCs w:val="20"/>
                <w:color w:val="auto"/>
              </w:rPr>
            </w:pPr>
            <w:r>
              <w:rPr>
                <w:rFonts w:ascii="Arial" w:cs="Arial" w:eastAsia="Arial" w:hAnsi="Arial"/>
                <w:sz w:val="15"/>
                <w:szCs w:val="15"/>
                <w:color w:val="auto"/>
              </w:rPr>
              <w:t>Net change in operating assets and liabilities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(358,874)</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(563,624)</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operating activities</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3"/>
              </w:rPr>
              <w:t>(4,865,193)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1"/>
              </w:rPr>
              <w:t>(6,061,186)</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5320" w:type="dxa"/>
            <w:vAlign w:val="bottom"/>
            <w:gridSpan w:val="2"/>
          </w:tcPr>
          <w:p>
            <w:pPr>
              <w:spacing w:after="0"/>
              <w:rPr>
                <w:sz w:val="20"/>
                <w:szCs w:val="20"/>
                <w:color w:val="auto"/>
              </w:rPr>
            </w:pPr>
            <w:r>
              <w:rPr>
                <w:rFonts w:ascii="Arial" w:cs="Arial" w:eastAsia="Arial" w:hAnsi="Arial"/>
                <w:sz w:val="15"/>
                <w:szCs w:val="15"/>
                <w:color w:val="auto"/>
              </w:rPr>
              <w:t>Net cash provided by investing activities</w:t>
            </w:r>
          </w:p>
        </w:tc>
        <w:tc>
          <w:tcPr>
            <w:tcW w:w="82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9,589,501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w w:val="98"/>
              </w:rPr>
              <w:t>5,610,581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restart"/>
          </w:tcPr>
          <w:p>
            <w:pPr>
              <w:spacing w:after="0"/>
              <w:rPr>
                <w:sz w:val="14"/>
                <w:szCs w:val="14"/>
                <w:color w:val="auto"/>
              </w:rPr>
            </w:pPr>
          </w:p>
        </w:tc>
        <w:tc>
          <w:tcPr>
            <w:tcW w:w="5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provided by financing activities</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(112,521)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243,992</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320" w:type="dxa"/>
            <w:vAlign w:val="bottom"/>
            <w:gridSpan w:val="2"/>
          </w:tcPr>
          <w:p>
            <w:pPr>
              <w:spacing w:after="0"/>
              <w:rPr>
                <w:sz w:val="20"/>
                <w:szCs w:val="20"/>
                <w:color w:val="auto"/>
              </w:rPr>
            </w:pPr>
            <w:r>
              <w:rPr>
                <w:rFonts w:ascii="Arial" w:cs="Arial" w:eastAsia="Arial" w:hAnsi="Arial"/>
                <w:sz w:val="15"/>
                <w:szCs w:val="15"/>
                <w:color w:val="auto"/>
              </w:rPr>
              <w:t>Effect of exchange rates on cash and cash equivalents</w:t>
            </w:r>
          </w:p>
        </w:tc>
        <w:tc>
          <w:tcPr>
            <w:tcW w:w="820" w:type="dxa"/>
            <w:vAlign w:val="bottom"/>
            <w:gridSpan w:val="2"/>
          </w:tcPr>
          <w:p>
            <w:pPr>
              <w:ind w:left="7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(89,222)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(104,384)</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Net cash used in operating activities</w:t>
            </w: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32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280" w:right="2079"/>
        <w:spacing w:after="0" w:line="258" w:lineRule="auto"/>
        <w:rPr>
          <w:sz w:val="20"/>
          <w:szCs w:val="20"/>
          <w:color w:val="auto"/>
        </w:rPr>
      </w:pPr>
      <w:r>
        <w:rPr>
          <w:rFonts w:ascii="Arial" w:cs="Arial" w:eastAsia="Arial" w:hAnsi="Arial"/>
          <w:sz w:val="15"/>
          <w:szCs w:val="15"/>
          <w:color w:val="auto"/>
        </w:rPr>
        <w:t>Net cash used in operating activities was $4.9 million and $6.1 million for the three months ended July 31, 2011 and 2010, respectively. The change was the result of a decrease in net loss of $1.3 million and in cash used by operating assets and liabilities of $0.2 million, offset by a decrease in non-cash charges of $0.3 million.</w:t>
      </w:r>
    </w:p>
    <w:p>
      <w:pPr>
        <w:spacing w:after="0" w:line="123" w:lineRule="exact"/>
        <w:rPr>
          <w:sz w:val="20"/>
          <w:szCs w:val="20"/>
          <w:color w:val="auto"/>
        </w:rPr>
      </w:pPr>
    </w:p>
    <w:p>
      <w:pPr>
        <w:ind w:left="280" w:right="2119"/>
        <w:spacing w:after="0" w:line="269" w:lineRule="auto"/>
        <w:rPr>
          <w:sz w:val="20"/>
          <w:szCs w:val="20"/>
          <w:color w:val="auto"/>
        </w:rPr>
      </w:pPr>
      <w:r>
        <w:rPr>
          <w:rFonts w:ascii="Arial" w:cs="Arial" w:eastAsia="Arial" w:hAnsi="Arial"/>
          <w:sz w:val="15"/>
          <w:szCs w:val="15"/>
          <w:color w:val="auto"/>
        </w:rPr>
        <w:t>The change in non-cash charges was primarily due to a change in foreign exchange losses of $0.2 million resulting from the relative change in the value of the British pound sterling against the US dollar.</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Net cash provided by investing activities</w:t>
      </w:r>
    </w:p>
    <w:p>
      <w:pPr>
        <w:spacing w:after="0" w:line="166" w:lineRule="exact"/>
        <w:rPr>
          <w:sz w:val="20"/>
          <w:szCs w:val="20"/>
          <w:color w:val="auto"/>
        </w:rPr>
      </w:pPr>
    </w:p>
    <w:p>
      <w:pPr>
        <w:ind w:left="280" w:right="1939"/>
        <w:spacing w:after="0" w:line="258" w:lineRule="auto"/>
        <w:rPr>
          <w:sz w:val="20"/>
          <w:szCs w:val="20"/>
          <w:color w:val="auto"/>
        </w:rPr>
      </w:pPr>
      <w:r>
        <w:rPr>
          <w:rFonts w:ascii="Arial" w:cs="Arial" w:eastAsia="Arial" w:hAnsi="Arial"/>
          <w:sz w:val="15"/>
          <w:szCs w:val="15"/>
          <w:color w:val="auto"/>
        </w:rPr>
        <w:t>Net cash provided by investing activities was $9.6 million and $5.6 million for the three months ended July 31, 2011 and 2010, respectively. The change was primarily the result of a net decrease in purchases of marketable securities during the three months ended July 31, 2011.</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Net cash (used in) provided by financing activities</w:t>
      </w:r>
    </w:p>
    <w:p>
      <w:pPr>
        <w:spacing w:after="0" w:line="155" w:lineRule="exact"/>
        <w:rPr>
          <w:sz w:val="20"/>
          <w:szCs w:val="20"/>
          <w:color w:val="auto"/>
        </w:rPr>
      </w:pPr>
    </w:p>
    <w:p>
      <w:pPr>
        <w:ind w:left="280" w:right="2259"/>
        <w:spacing w:after="0" w:line="294" w:lineRule="auto"/>
        <w:rPr>
          <w:sz w:val="20"/>
          <w:szCs w:val="20"/>
          <w:color w:val="auto"/>
        </w:rPr>
      </w:pPr>
      <w:r>
        <w:rPr>
          <w:rFonts w:ascii="Arial" w:cs="Arial" w:eastAsia="Arial" w:hAnsi="Arial"/>
          <w:sz w:val="13"/>
          <w:szCs w:val="13"/>
          <w:color w:val="auto"/>
        </w:rPr>
        <w:t>Net cash used in financing activities was $0.1 million in the three months ended July 31, 2011 and net cash provided by financing activities was $0.2 million in the three months ended July 31, 2010. During the three months ended July 31, 2011, we repaid</w:t>
      </w:r>
    </w:p>
    <w:p>
      <w:pPr>
        <w:ind w:left="280" w:right="2119"/>
        <w:spacing w:after="0" w:line="291" w:lineRule="auto"/>
        <w:rPr>
          <w:sz w:val="20"/>
          <w:szCs w:val="20"/>
          <w:color w:val="auto"/>
        </w:rPr>
      </w:pPr>
      <w:r>
        <w:rPr>
          <w:rFonts w:ascii="Arial" w:cs="Arial" w:eastAsia="Arial" w:hAnsi="Arial"/>
          <w:sz w:val="14"/>
          <w:szCs w:val="14"/>
          <w:color w:val="auto"/>
        </w:rPr>
        <w:t>$0.1 million under a loan from the New Jersey Economic Development Authority. During the three months ended July 31, 2010, we received a $0.25 million loan under the NJBPU Renewable Energy Business Venture Assistance Program.</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Effect of exchange rates on cash and cash equivalents</w:t>
      </w:r>
    </w:p>
    <w:p>
      <w:pPr>
        <w:spacing w:after="0" w:line="155" w:lineRule="exact"/>
        <w:rPr>
          <w:sz w:val="20"/>
          <w:szCs w:val="20"/>
          <w:color w:val="auto"/>
        </w:rPr>
      </w:pPr>
    </w:p>
    <w:p>
      <w:pPr>
        <w:ind w:left="280" w:right="2199"/>
        <w:spacing w:after="0" w:line="317" w:lineRule="auto"/>
        <w:rPr>
          <w:sz w:val="20"/>
          <w:szCs w:val="20"/>
          <w:color w:val="auto"/>
        </w:rPr>
      </w:pPr>
      <w:r>
        <w:rPr>
          <w:rFonts w:ascii="Arial" w:cs="Arial" w:eastAsia="Arial" w:hAnsi="Arial"/>
          <w:sz w:val="13"/>
          <w:szCs w:val="13"/>
          <w:color w:val="auto"/>
        </w:rPr>
        <w:t>The effect of exchange rates on cash and cash equivalents was a loss of $0.1 million in the three months ended July 31, 2011 and a loss of $0.1 million in the three months ended July 31, 2010. The effect of exchange rates on cash and cash equivalents primarily results from gains or losses on consolidation of foreign subsidiaries and foreign denominated cash and cash equivalents.</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Liquidity and Capital Resources Outlook</w:t>
      </w:r>
    </w:p>
    <w:p>
      <w:pPr>
        <w:spacing w:after="0" w:line="166" w:lineRule="exact"/>
        <w:rPr>
          <w:sz w:val="20"/>
          <w:szCs w:val="20"/>
          <w:color w:val="auto"/>
        </w:rPr>
      </w:pPr>
    </w:p>
    <w:p>
      <w:pPr>
        <w:ind w:left="280" w:right="2179"/>
        <w:spacing w:after="0" w:line="258" w:lineRule="auto"/>
        <w:rPr>
          <w:sz w:val="20"/>
          <w:szCs w:val="20"/>
          <w:color w:val="auto"/>
        </w:rPr>
      </w:pPr>
      <w:r>
        <w:rPr>
          <w:rFonts w:ascii="Arial" w:cs="Arial" w:eastAsia="Arial" w:hAnsi="Arial"/>
          <w:sz w:val="15"/>
          <w:szCs w:val="15"/>
          <w:color w:val="auto"/>
        </w:rPr>
        <w:t>We expect to devote substantial resources to continue our development efforts for our PowerBuoy systems and to expand our sales, marketing and manufacturing programs associated with the commercialization of the PowerBuoy system. Our future capital requirements will depend on a number of factors, including:</w:t>
      </w:r>
    </w:p>
    <w:p>
      <w:pPr>
        <w:spacing w:after="0" w:line="123" w:lineRule="exact"/>
        <w:rPr>
          <w:sz w:val="20"/>
          <w:szCs w:val="20"/>
          <w:color w:val="auto"/>
        </w:rPr>
      </w:pPr>
    </w:p>
    <w:p>
      <w:pPr>
        <w:ind w:left="580" w:hanging="304"/>
        <w:spacing w:after="0"/>
        <w:tabs>
          <w:tab w:leader="none" w:pos="58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the cost of development efforts for our PowerBuoy systems;</w:t>
      </w:r>
    </w:p>
    <w:p>
      <w:pPr>
        <w:spacing w:after="0" w:line="128" w:lineRule="exact"/>
        <w:rPr>
          <w:rFonts w:ascii="Arial" w:cs="Arial" w:eastAsia="Arial" w:hAnsi="Arial"/>
          <w:sz w:val="15"/>
          <w:szCs w:val="15"/>
          <w:b w:val="1"/>
          <w:bCs w:val="1"/>
          <w:color w:val="auto"/>
        </w:rPr>
      </w:pPr>
    </w:p>
    <w:p>
      <w:pPr>
        <w:ind w:left="580" w:hanging="304"/>
        <w:spacing w:after="0"/>
        <w:tabs>
          <w:tab w:leader="none" w:pos="58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the success of our commercial relationships with major customers;</w:t>
      </w:r>
    </w:p>
    <w:p>
      <w:pPr>
        <w:spacing w:after="0" w:line="128" w:lineRule="exact"/>
        <w:rPr>
          <w:rFonts w:ascii="Arial" w:cs="Arial" w:eastAsia="Arial" w:hAnsi="Arial"/>
          <w:sz w:val="15"/>
          <w:szCs w:val="15"/>
          <w:b w:val="1"/>
          <w:bCs w:val="1"/>
          <w:color w:val="auto"/>
        </w:rPr>
      </w:pPr>
    </w:p>
    <w:p>
      <w:pPr>
        <w:ind w:left="580" w:hanging="304"/>
        <w:spacing w:after="0"/>
        <w:tabs>
          <w:tab w:leader="none" w:pos="58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the cost of manufacturing activities;</w:t>
      </w:r>
    </w:p>
    <w:p>
      <w:pPr>
        <w:spacing w:after="0" w:line="128" w:lineRule="exact"/>
        <w:rPr>
          <w:rFonts w:ascii="Arial" w:cs="Arial" w:eastAsia="Arial" w:hAnsi="Arial"/>
          <w:sz w:val="15"/>
          <w:szCs w:val="15"/>
          <w:b w:val="1"/>
          <w:bCs w:val="1"/>
          <w:color w:val="auto"/>
        </w:rPr>
      </w:pPr>
    </w:p>
    <w:p>
      <w:pPr>
        <w:ind w:left="580" w:hanging="304"/>
        <w:spacing w:after="0"/>
        <w:tabs>
          <w:tab w:leader="none" w:pos="58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the cost of commercialization activities, including demonstration projects, product marketing and sales;</w:t>
      </w:r>
    </w:p>
    <w:p>
      <w:pPr>
        <w:spacing w:after="0" w:line="128" w:lineRule="exact"/>
        <w:rPr>
          <w:rFonts w:ascii="Arial" w:cs="Arial" w:eastAsia="Arial" w:hAnsi="Arial"/>
          <w:sz w:val="15"/>
          <w:szCs w:val="15"/>
          <w:b w:val="1"/>
          <w:bCs w:val="1"/>
          <w:color w:val="auto"/>
        </w:rPr>
      </w:pPr>
    </w:p>
    <w:p>
      <w:pPr>
        <w:ind w:left="580" w:hanging="304"/>
        <w:spacing w:after="0"/>
        <w:tabs>
          <w:tab w:leader="none" w:pos="58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our ability to establish and maintain additional commercial relationships;</w:t>
      </w:r>
    </w:p>
    <w:p>
      <w:pPr>
        <w:spacing w:after="0" w:line="128" w:lineRule="exact"/>
        <w:rPr>
          <w:rFonts w:ascii="Arial" w:cs="Arial" w:eastAsia="Arial" w:hAnsi="Arial"/>
          <w:sz w:val="15"/>
          <w:szCs w:val="15"/>
          <w:b w:val="1"/>
          <w:bCs w:val="1"/>
          <w:color w:val="auto"/>
        </w:rPr>
      </w:pPr>
    </w:p>
    <w:p>
      <w:pPr>
        <w:ind w:left="580" w:hanging="304"/>
        <w:spacing w:after="0"/>
        <w:tabs>
          <w:tab w:leader="none" w:pos="58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the implementation of our expansion plans, including the hiring of new employees;</w:t>
      </w:r>
    </w:p>
    <w:p>
      <w:pPr>
        <w:spacing w:after="0" w:line="128" w:lineRule="exact"/>
        <w:rPr>
          <w:rFonts w:ascii="Arial" w:cs="Arial" w:eastAsia="Arial" w:hAnsi="Arial"/>
          <w:sz w:val="15"/>
          <w:szCs w:val="15"/>
          <w:b w:val="1"/>
          <w:bCs w:val="1"/>
          <w:color w:val="auto"/>
        </w:rPr>
      </w:pPr>
    </w:p>
    <w:p>
      <w:pPr>
        <w:ind w:left="580" w:hanging="304"/>
        <w:spacing w:after="0"/>
        <w:tabs>
          <w:tab w:leader="none" w:pos="58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potential acquisitions of other products or technologies; and</w:t>
      </w:r>
    </w:p>
    <w:p>
      <w:pPr>
        <w:spacing w:after="0" w:line="128" w:lineRule="exact"/>
        <w:rPr>
          <w:rFonts w:ascii="Arial" w:cs="Arial" w:eastAsia="Arial" w:hAnsi="Arial"/>
          <w:sz w:val="15"/>
          <w:szCs w:val="15"/>
          <w:b w:val="1"/>
          <w:bCs w:val="1"/>
          <w:color w:val="auto"/>
        </w:rPr>
      </w:pPr>
    </w:p>
    <w:p>
      <w:pPr>
        <w:ind w:left="580" w:hanging="304"/>
        <w:spacing w:after="0"/>
        <w:tabs>
          <w:tab w:leader="none" w:pos="580" w:val="left"/>
        </w:tabs>
        <w:numPr>
          <w:ilvl w:val="0"/>
          <w:numId w:val="7"/>
        </w:numPr>
        <w:rPr>
          <w:rFonts w:ascii="Arial" w:cs="Arial" w:eastAsia="Arial" w:hAnsi="Arial"/>
          <w:sz w:val="14"/>
          <w:szCs w:val="14"/>
          <w:b w:val="1"/>
          <w:bCs w:val="1"/>
          <w:color w:val="auto"/>
        </w:rPr>
      </w:pPr>
      <w:r>
        <w:rPr>
          <w:rFonts w:ascii="Arial" w:cs="Arial" w:eastAsia="Arial" w:hAnsi="Arial"/>
          <w:sz w:val="14"/>
          <w:szCs w:val="14"/>
          <w:color w:val="auto"/>
        </w:rPr>
        <w:t>the costs involved in preparing, filing, prosecuting, maintaining and enforcing patent claims and other patent-related costs.</w:t>
      </w:r>
    </w:p>
    <w:p>
      <w:pPr>
        <w:spacing w:after="0" w:line="162" w:lineRule="exact"/>
        <w:rPr>
          <w:sz w:val="20"/>
          <w:szCs w:val="20"/>
          <w:color w:val="auto"/>
        </w:rPr>
      </w:pPr>
    </w:p>
    <w:p>
      <w:pPr>
        <w:ind w:left="280" w:right="1979"/>
        <w:spacing w:after="0" w:line="294" w:lineRule="auto"/>
        <w:rPr>
          <w:sz w:val="20"/>
          <w:szCs w:val="20"/>
          <w:color w:val="auto"/>
        </w:rPr>
      </w:pPr>
      <w:r>
        <w:rPr>
          <w:rFonts w:ascii="Arial" w:cs="Arial" w:eastAsia="Arial" w:hAnsi="Arial"/>
          <w:sz w:val="13"/>
          <w:szCs w:val="13"/>
          <w:color w:val="auto"/>
        </w:rPr>
        <w:t>We believe that our current cash, cash equivalents and investments will be sufficient to meet our anticipated cash needs for working capital and capital expenditures at least through fiscal 2013. If existing resources are insufficient to satisfy our liquidity requirements or if we acquire or license rights to additional product technologies, we may seek to sell additional equity or debt securities or obtain a credit facility. 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If we are unable to obtain required financing, we may be required to reduce the scope of our planned product development and marketing efforts, which could harm our financial condition and operating results.</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Off-Balance Sheet Arrangements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Since inception, we have not engaged in any off-balance sheet financing activities.</w:t>
      </w:r>
    </w:p>
    <w:p>
      <w:pPr>
        <w:spacing w:after="0" w:line="200" w:lineRule="exact"/>
        <w:rPr>
          <w:sz w:val="20"/>
          <w:szCs w:val="20"/>
          <w:color w:val="auto"/>
        </w:rPr>
      </w:pPr>
    </w:p>
    <w:p>
      <w:pPr>
        <w:spacing w:after="0" w:line="285"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4"/>
          <w:szCs w:val="14"/>
          <w:b w:val="1"/>
          <w:bCs w:val="1"/>
          <w:i w:val="1"/>
          <w:iCs w:val="1"/>
          <w:color w:val="auto"/>
        </w:rPr>
        <w:t>QUANTITATIVE AND QUALITATIVE DISCLOSURES ABOUT MARKET RISK</w:t>
      </w:r>
    </w:p>
    <w:p>
      <w:pPr>
        <w:spacing w:after="0" w:line="166" w:lineRule="exact"/>
        <w:rPr>
          <w:sz w:val="20"/>
          <w:szCs w:val="20"/>
          <w:color w:val="auto"/>
        </w:rPr>
      </w:pPr>
    </w:p>
    <w:p>
      <w:pPr>
        <w:ind w:left="280" w:right="2059"/>
        <w:spacing w:after="0" w:line="298" w:lineRule="auto"/>
        <w:rPr>
          <w:sz w:val="20"/>
          <w:szCs w:val="20"/>
          <w:color w:val="auto"/>
        </w:rPr>
      </w:pPr>
      <w:r>
        <w:rPr>
          <w:rFonts w:ascii="Arial" w:cs="Arial" w:eastAsia="Arial" w:hAnsi="Arial"/>
          <w:sz w:val="13"/>
          <w:szCs w:val="13"/>
          <w:color w:val="auto"/>
        </w:rPr>
        <w:t>We generally place our investments in money market funds, Treasury notes, Treasury bills and certificates of deposit with maturities of less than one year. We actively manage our portfolio of cash equivalents and marketable securities, but in order to ensure liquidity, we will only invest in instruments with high credit quality where a secondary market exists. We have not held and do not hold any derivatives related to our interest rate exposure. Due to the average maturity and conservative nature of our investment portfolio, a change in interest rates would not have a material effect on the value of the portfolio. We do not have market risk exposure on our long-term debt because it consists of an interest-free loan from the New Jersey Board of Public Utilities.</w:t>
      </w:r>
    </w:p>
    <w:p>
      <w:pPr>
        <w:spacing w:after="0" w:line="100" w:lineRule="exact"/>
        <w:rPr>
          <w:sz w:val="20"/>
          <w:szCs w:val="20"/>
          <w:color w:val="auto"/>
        </w:rPr>
      </w:pPr>
    </w:p>
    <w:p>
      <w:pPr>
        <w:ind w:left="280" w:right="1959"/>
        <w:spacing w:after="0" w:line="253" w:lineRule="auto"/>
        <w:rPr>
          <w:sz w:val="20"/>
          <w:szCs w:val="20"/>
          <w:color w:val="auto"/>
        </w:rPr>
      </w:pPr>
      <w:r>
        <w:rPr>
          <w:rFonts w:ascii="Arial" w:cs="Arial" w:eastAsia="Arial" w:hAnsi="Arial"/>
          <w:sz w:val="15"/>
          <w:szCs w:val="15"/>
          <w:color w:val="auto"/>
        </w:rPr>
        <w:t>We estimate that if the average yield on our cash, cash equivalents and marketable securities had decreased by 100 basis points, during the three months ended July 31, 2011, our interest income for the period would have decreased by approximately $0.1 million. This estimate assumes that the decrease occurred on the first day of the fiscal period and reduced the yield of each investment by 100 basis points. The impact on our future interest income of future changes in investment yields will depend largely on the gross amount of our cash, cash equivalents and marketable securities.</w:t>
      </w:r>
    </w:p>
    <w:p>
      <w:pPr>
        <w:spacing w:after="0" w:line="127" w:lineRule="exact"/>
        <w:rPr>
          <w:sz w:val="20"/>
          <w:szCs w:val="20"/>
          <w:color w:val="auto"/>
        </w:rPr>
      </w:pPr>
    </w:p>
    <w:p>
      <w:pPr>
        <w:ind w:left="280" w:right="1979"/>
        <w:spacing w:after="0" w:line="253" w:lineRule="auto"/>
        <w:rPr>
          <w:sz w:val="20"/>
          <w:szCs w:val="20"/>
          <w:color w:val="auto"/>
        </w:rPr>
      </w:pPr>
      <w:r>
        <w:rPr>
          <w:rFonts w:ascii="Arial" w:cs="Arial" w:eastAsia="Arial" w:hAnsi="Arial"/>
          <w:sz w:val="15"/>
          <w:szCs w:val="15"/>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38" w:lineRule="exact"/>
        <w:rPr>
          <w:sz w:val="20"/>
          <w:szCs w:val="20"/>
          <w:color w:val="auto"/>
        </w:rPr>
      </w:pPr>
    </w:p>
    <w:p>
      <w:pPr>
        <w:ind w:left="280" w:right="1959"/>
        <w:spacing w:after="0" w:line="252" w:lineRule="auto"/>
        <w:rPr>
          <w:sz w:val="20"/>
          <w:szCs w:val="20"/>
          <w:color w:val="auto"/>
        </w:rPr>
      </w:pPr>
      <w:r>
        <w:rPr>
          <w:rFonts w:ascii="Arial" w:cs="Arial" w:eastAsia="Arial" w:hAnsi="Arial"/>
          <w:sz w:val="15"/>
          <w:szCs w:val="15"/>
          <w:color w:val="auto"/>
        </w:rPr>
        <w:t>We maintain cash accounts that are denominated in British pounds sterling, Euros and Australian dollars. These foreign-denominated cash accounts had a balance of $5.2 million as of July 31, 2011 compared to our total cash, cash equivalents, marketable securities and restricted cash account balances of $43.1 million as of July 31, 2011. These foreign currency balances are translated at each month end to our functional currency, the US dollar, and any resulting gain or loss is recognized in our results of operations. If foreign currency exchange rates had fluctuated by 10% as of July 31, 2011, the impact on our foreign exchange gains and losses would have been $0.5 million.</w:t>
      </w:r>
    </w:p>
    <w:p>
      <w:pPr>
        <w:spacing w:after="0" w:line="127" w:lineRule="exact"/>
        <w:rPr>
          <w:sz w:val="20"/>
          <w:szCs w:val="20"/>
          <w:color w:val="auto"/>
        </w:rPr>
      </w:pPr>
    </w:p>
    <w:p>
      <w:pPr>
        <w:ind w:left="280" w:right="2179"/>
        <w:spacing w:after="0" w:line="273" w:lineRule="auto"/>
        <w:rPr>
          <w:sz w:val="20"/>
          <w:szCs w:val="20"/>
          <w:color w:val="auto"/>
        </w:rPr>
      </w:pPr>
      <w:r>
        <w:rPr>
          <w:rFonts w:ascii="Arial" w:cs="Arial" w:eastAsia="Arial" w:hAnsi="Arial"/>
          <w:sz w:val="14"/>
          <w:szCs w:val="14"/>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months ended July 31, 2011 were recorded in Euros, British pounds sterling or Australian dollars.</w:t>
      </w:r>
    </w:p>
    <w:p>
      <w:pPr>
        <w:spacing w:after="0" w:line="115" w:lineRule="exact"/>
        <w:rPr>
          <w:sz w:val="20"/>
          <w:szCs w:val="20"/>
          <w:color w:val="auto"/>
        </w:rPr>
      </w:pPr>
    </w:p>
    <w:p>
      <w:pPr>
        <w:ind w:left="280" w:right="1999"/>
        <w:spacing w:after="0" w:line="253" w:lineRule="auto"/>
        <w:rPr>
          <w:sz w:val="20"/>
          <w:szCs w:val="20"/>
          <w:color w:val="auto"/>
        </w:rPr>
      </w:pPr>
      <w:r>
        <w:rPr>
          <w:rFonts w:ascii="Arial" w:cs="Arial" w:eastAsia="Arial" w:hAnsi="Arial"/>
          <w:sz w:val="15"/>
          <w:szCs w:val="15"/>
          <w:color w:val="auto"/>
        </w:rPr>
        <w:t>We currently do not hedge exchange rate exposure. However, we assess the anticipated foreign currency working capital requirements and capital asset acquisitions of our foreign operations and attempt to maintain a portion of our cash, cash equivalents and certificates of deposit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38" w:lineRule="exact"/>
        <w:rPr>
          <w:sz w:val="20"/>
          <w:szCs w:val="20"/>
          <w:color w:val="auto"/>
        </w:rPr>
      </w:pPr>
    </w:p>
    <w:p>
      <w:pPr>
        <w:ind w:left="280" w:right="1999"/>
        <w:spacing w:after="0" w:line="255" w:lineRule="auto"/>
        <w:rPr>
          <w:sz w:val="20"/>
          <w:szCs w:val="20"/>
          <w:color w:val="auto"/>
        </w:rPr>
      </w:pPr>
      <w:r>
        <w:rPr>
          <w:rFonts w:ascii="Arial" w:cs="Arial" w:eastAsia="Arial" w:hAnsi="Arial"/>
          <w:sz w:val="15"/>
          <w:szCs w:val="15"/>
          <w:color w:val="auto"/>
        </w:rPr>
        <w:t>We have limited potential exposure to fluctuations in prices of commodities used in the production of our buoys, such as steel. Currently, we believe our exposure is minimal since we contract for the components of our buoys on a project-by-project basis and do not yet produce in large unit volumes. We do not use long-term supply agreements nor do we use derivative instruments to hedge any potential exposure.</w:t>
      </w:r>
    </w:p>
    <w:p>
      <w:pPr>
        <w:spacing w:after="0" w:line="200" w:lineRule="exact"/>
        <w:rPr>
          <w:sz w:val="20"/>
          <w:szCs w:val="20"/>
          <w:color w:val="auto"/>
        </w:rPr>
      </w:pPr>
    </w:p>
    <w:p>
      <w:pPr>
        <w:spacing w:after="0" w:line="248"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4"/>
          <w:szCs w:val="14"/>
          <w:b w:val="1"/>
          <w:bCs w:val="1"/>
          <w:i w:val="1"/>
          <w:iCs w:val="1"/>
          <w:color w:val="auto"/>
        </w:rPr>
        <w:t>CONTROLS AND PROCEDURES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Evaluation of Disclosure Controls and Procedures</w:t>
      </w:r>
    </w:p>
    <w:p>
      <w:pPr>
        <w:spacing w:after="0" w:line="151" w:lineRule="exact"/>
        <w:rPr>
          <w:sz w:val="20"/>
          <w:szCs w:val="20"/>
          <w:color w:val="auto"/>
        </w:rPr>
      </w:pPr>
    </w:p>
    <w:p>
      <w:pPr>
        <w:ind w:left="280" w:right="2059"/>
        <w:spacing w:after="0" w:line="298" w:lineRule="auto"/>
        <w:rPr>
          <w:sz w:val="20"/>
          <w:szCs w:val="20"/>
          <w:color w:val="auto"/>
        </w:rPr>
      </w:pPr>
      <w:r>
        <w:rPr>
          <w:rFonts w:ascii="Arial" w:cs="Arial" w:eastAsia="Arial" w:hAnsi="Arial"/>
          <w:sz w:val="13"/>
          <w:szCs w:val="13"/>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00" w:lineRule="exact"/>
        <w:rPr>
          <w:sz w:val="20"/>
          <w:szCs w:val="20"/>
          <w:color w:val="auto"/>
        </w:rPr>
      </w:pPr>
    </w:p>
    <w:p>
      <w:pPr>
        <w:ind w:left="280" w:right="1979"/>
        <w:spacing w:after="0" w:line="306" w:lineRule="auto"/>
        <w:rPr>
          <w:sz w:val="20"/>
          <w:szCs w:val="20"/>
          <w:color w:val="auto"/>
        </w:rPr>
      </w:pPr>
      <w:r>
        <w:rPr>
          <w:rFonts w:ascii="Arial" w:cs="Arial" w:eastAsia="Arial" w:hAnsi="Arial"/>
          <w:sz w:val="13"/>
          <w:szCs w:val="13"/>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July 31, 2011, our Chief Executive Officer and Chief Financial Officer concluded that our disclosure controls and procedures were effective.</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Changes in Internal Control over Financial Reporting</w:t>
      </w:r>
    </w:p>
    <w:p>
      <w:pPr>
        <w:spacing w:after="0" w:line="151" w:lineRule="exact"/>
        <w:rPr>
          <w:sz w:val="20"/>
          <w:szCs w:val="20"/>
          <w:color w:val="auto"/>
        </w:rPr>
      </w:pPr>
    </w:p>
    <w:p>
      <w:pPr>
        <w:jc w:val="both"/>
        <w:ind w:left="280" w:right="2279"/>
        <w:spacing w:after="0" w:line="258" w:lineRule="auto"/>
        <w:rPr>
          <w:sz w:val="20"/>
          <w:szCs w:val="20"/>
          <w:color w:val="auto"/>
        </w:rPr>
      </w:pPr>
      <w:r>
        <w:rPr>
          <w:rFonts w:ascii="Arial" w:cs="Arial" w:eastAsia="Arial" w:hAnsi="Arial"/>
          <w:sz w:val="15"/>
          <w:szCs w:val="15"/>
          <w:color w:val="auto"/>
        </w:rPr>
        <w:t>No change in our internal control over financial reporting (as defined in Rules 13a-15(f) and 15d-15(f) under the Exchange Act) occurred during the fiscal quarter ended July 31, 2011 that has materially affected, or is reasonably likely to materially affect, our internal control over financial reporting.</w:t>
      </w:r>
    </w:p>
    <w:p>
      <w:pPr>
        <w:spacing w:after="0" w:line="119" w:lineRule="exact"/>
        <w:rPr>
          <w:sz w:val="20"/>
          <w:szCs w:val="20"/>
          <w:color w:val="auto"/>
        </w:rPr>
      </w:pPr>
    </w:p>
    <w:p>
      <w:pPr>
        <w:ind w:left="3080"/>
        <w:spacing w:after="0"/>
        <w:rPr>
          <w:sz w:val="20"/>
          <w:szCs w:val="20"/>
          <w:color w:val="auto"/>
        </w:rPr>
      </w:pPr>
      <w:r>
        <w:rPr>
          <w:rFonts w:ascii="Arial" w:cs="Arial" w:eastAsia="Arial" w:hAnsi="Arial"/>
          <w:sz w:val="15"/>
          <w:szCs w:val="15"/>
          <w:b w:val="1"/>
          <w:bCs w:val="1"/>
          <w:color w:val="auto"/>
        </w:rPr>
        <w:t>PART II — OTHER INFORMATION</w:t>
      </w:r>
    </w:p>
    <w:p>
      <w:pPr>
        <w:spacing w:after="0" w:line="162"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4"/>
          <w:szCs w:val="14"/>
          <w:b w:val="1"/>
          <w:bCs w:val="1"/>
          <w:i w:val="1"/>
          <w:iCs w:val="1"/>
          <w:color w:val="auto"/>
        </w:rPr>
        <w:t>LEGAL PROCEEDINGS</w:t>
      </w:r>
    </w:p>
    <w:p>
      <w:pPr>
        <w:spacing w:after="0" w:line="155" w:lineRule="exact"/>
        <w:rPr>
          <w:sz w:val="20"/>
          <w:szCs w:val="20"/>
          <w:color w:val="auto"/>
        </w:rPr>
      </w:pPr>
    </w:p>
    <w:p>
      <w:pPr>
        <w:ind w:left="280" w:right="2219"/>
        <w:spacing w:after="0" w:line="258" w:lineRule="auto"/>
        <w:rPr>
          <w:sz w:val="20"/>
          <w:szCs w:val="20"/>
          <w:color w:val="auto"/>
        </w:rPr>
      </w:pPr>
      <w:r>
        <w:rPr>
          <w:rFonts w:ascii="Arial" w:cs="Arial" w:eastAsia="Arial" w:hAnsi="Arial"/>
          <w:sz w:val="15"/>
          <w:szCs w:val="15"/>
          <w:color w:val="auto"/>
        </w:rPr>
        <w:t>We are subject to legal proceedings, claims and litigation arising in the ordinary course of business. While the outcome of these matters is currently not determinable, we do not expect that the ultimate costs to resolve these matters will have a material adverse effect on our financial position, results of operations or cash flows.</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 xml:space="preserve">Item 1A. </w:t>
      </w:r>
      <w:r>
        <w:rPr>
          <w:rFonts w:ascii="Arial" w:cs="Arial" w:eastAsia="Arial" w:hAnsi="Arial"/>
          <w:sz w:val="15"/>
          <w:szCs w:val="15"/>
          <w:b w:val="1"/>
          <w:bCs w:val="1"/>
          <w:i w:val="1"/>
          <w:iCs w:val="1"/>
          <w:color w:val="auto"/>
        </w:rPr>
        <w:t>RISK FACTORS</w:t>
      </w:r>
    </w:p>
    <w:p>
      <w:pPr>
        <w:spacing w:after="0" w:line="166" w:lineRule="exact"/>
        <w:rPr>
          <w:sz w:val="20"/>
          <w:szCs w:val="20"/>
          <w:color w:val="auto"/>
        </w:rPr>
      </w:pPr>
    </w:p>
    <w:p>
      <w:pPr>
        <w:ind w:left="280" w:right="1979"/>
        <w:spacing w:after="0" w:line="275" w:lineRule="auto"/>
        <w:rPr>
          <w:sz w:val="20"/>
          <w:szCs w:val="20"/>
          <w:color w:val="auto"/>
        </w:rPr>
      </w:pPr>
      <w:r>
        <w:rPr>
          <w:rFonts w:ascii="Arial" w:cs="Arial" w:eastAsia="Arial" w:hAnsi="Arial"/>
          <w:sz w:val="14"/>
          <w:szCs w:val="14"/>
          <w:color w:val="auto"/>
        </w:rPr>
        <w:t>The discussion of our business and operations should be read together with the risk factors contained in Item 1A of our Annual Report on Form 10-K for the year ended April 30, 2011.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14, 2011.</w:t>
      </w:r>
    </w:p>
    <w:p>
      <w:pPr>
        <w:spacing w:after="0" w:line="200" w:lineRule="exact"/>
        <w:rPr>
          <w:sz w:val="20"/>
          <w:szCs w:val="20"/>
          <w:color w:val="auto"/>
        </w:rPr>
      </w:pPr>
    </w:p>
    <w:p>
      <w:pPr>
        <w:spacing w:after="0" w:line="236"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4"/>
          <w:szCs w:val="14"/>
          <w:b w:val="1"/>
          <w:bCs w:val="1"/>
          <w:i w:val="1"/>
          <w:iCs w:val="1"/>
          <w:color w:val="auto"/>
        </w:rPr>
        <w:t>UNREGISTERED SALES OF EQUITY SECURITIES AND USE OF PROCEEDS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details the Company’s share repurchases during the quarter:</w:t>
      </w:r>
    </w:p>
    <w:p>
      <w:pPr>
        <w:spacing w:after="0" w:line="180" w:lineRule="exact"/>
        <w:rPr>
          <w:sz w:val="20"/>
          <w:szCs w:val="20"/>
          <w:color w:val="auto"/>
        </w:rPr>
      </w:pPr>
    </w:p>
    <w:tbl>
      <w:tblPr>
        <w:tblLayout w:type="fixed"/>
        <w:tblInd w:w="2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Approximate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Total Number of</w:t>
            </w:r>
          </w:p>
        </w:tc>
        <w:tc>
          <w:tcPr>
            <w:tcW w:w="12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Dollar Value that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Total Number</w:t>
            </w:r>
          </w:p>
        </w:tc>
        <w:tc>
          <w:tcPr>
            <w:tcW w:w="9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4"/>
              </w:rPr>
              <w:t>Average</w:t>
            </w:r>
          </w:p>
        </w:tc>
        <w:tc>
          <w:tcPr>
            <w:tcW w:w="1560" w:type="dxa"/>
            <w:vAlign w:val="bottom"/>
            <w:gridSpan w:val="3"/>
          </w:tcPr>
          <w:p>
            <w:pPr>
              <w:jc w:val="right"/>
              <w:ind w:right="280"/>
              <w:spacing w:after="0"/>
              <w:rPr>
                <w:sz w:val="20"/>
                <w:szCs w:val="20"/>
                <w:color w:val="auto"/>
              </w:rPr>
            </w:pPr>
            <w:r>
              <w:rPr>
                <w:rFonts w:ascii="Arial" w:cs="Arial" w:eastAsia="Arial" w:hAnsi="Arial"/>
                <w:sz w:val="15"/>
                <w:szCs w:val="15"/>
                <w:b w:val="1"/>
                <w:bCs w:val="1"/>
                <w:color w:val="auto"/>
                <w:w w:val="96"/>
              </w:rPr>
              <w:t>Shares Purchased</w:t>
            </w:r>
          </w:p>
        </w:tc>
        <w:tc>
          <w:tcPr>
            <w:tcW w:w="12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9"/>
              </w:rPr>
              <w:t>May Yet Be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4"/>
              </w:rPr>
              <w:t>of Shares</w:t>
            </w:r>
          </w:p>
        </w:tc>
        <w:tc>
          <w:tcPr>
            <w:tcW w:w="9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0"/>
              </w:rPr>
              <w:t>Price Paid</w:t>
            </w:r>
          </w:p>
        </w:tc>
        <w:tc>
          <w:tcPr>
            <w:tcW w:w="14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as Part of A</w:t>
            </w:r>
          </w:p>
        </w:tc>
        <w:tc>
          <w:tcPr>
            <w:tcW w:w="12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0"/>
              </w:rPr>
              <w:t>Purchased Under</w:t>
            </w:r>
          </w:p>
        </w:tc>
        <w:tc>
          <w:tcPr>
            <w:tcW w:w="0" w:type="dxa"/>
            <w:vAlign w:val="bottom"/>
          </w:tcPr>
          <w:p>
            <w:pPr>
              <w:spacing w:after="0"/>
              <w:rPr>
                <w:sz w:val="1"/>
                <w:szCs w:val="1"/>
                <w:color w:val="auto"/>
              </w:rPr>
            </w:pPr>
          </w:p>
        </w:tc>
      </w:tr>
      <w:tr>
        <w:trPr>
          <w:trHeight w:val="193"/>
        </w:trPr>
        <w:tc>
          <w:tcPr>
            <w:tcW w:w="2980" w:type="dxa"/>
            <w:vAlign w:val="bottom"/>
            <w:gridSpan w:val="2"/>
          </w:tcPr>
          <w:p>
            <w:pPr>
              <w:spacing w:after="0"/>
              <w:rPr>
                <w:sz w:val="20"/>
                <w:szCs w:val="20"/>
                <w:color w:val="auto"/>
              </w:rPr>
            </w:pPr>
            <w:r>
              <w:rPr>
                <w:rFonts w:ascii="Arial" w:cs="Arial" w:eastAsia="Arial" w:hAnsi="Arial"/>
                <w:sz w:val="15"/>
                <w:szCs w:val="15"/>
                <w:b w:val="1"/>
                <w:bCs w:val="1"/>
                <w:color w:val="auto"/>
              </w:rPr>
              <w:t>Period</w:t>
            </w:r>
          </w:p>
        </w:tc>
        <w:tc>
          <w:tcPr>
            <w:tcW w:w="2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Purchased (1)</w:t>
            </w:r>
          </w:p>
        </w:tc>
        <w:tc>
          <w:tcPr>
            <w:tcW w:w="9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9"/>
              </w:rPr>
              <w:t>per Share</w:t>
            </w:r>
          </w:p>
        </w:tc>
        <w:tc>
          <w:tcPr>
            <w:tcW w:w="14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Announced Plan</w:t>
            </w:r>
          </w:p>
        </w:tc>
        <w:tc>
          <w:tcPr>
            <w:tcW w:w="12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9"/>
              </w:rPr>
              <w:t>the Plan</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2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May 1-31, 2011</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20"/>
                <w:szCs w:val="20"/>
                <w:color w:val="auto"/>
              </w:rPr>
            </w:pPr>
            <w:r>
              <w:rPr>
                <w:rFonts w:ascii="Arial" w:cs="Arial" w:eastAsia="Arial" w:hAnsi="Arial"/>
                <w:sz w:val="15"/>
                <w:szCs w:val="15"/>
                <w:color w:val="auto"/>
              </w:rPr>
              <w:t>June 1-30, 2011</w:t>
            </w:r>
          </w:p>
        </w:tc>
        <w:tc>
          <w:tcPr>
            <w:tcW w:w="1360" w:type="dxa"/>
            <w:vAlign w:val="bottom"/>
            <w:gridSpan w:val="3"/>
          </w:tcPr>
          <w:p>
            <w:pPr>
              <w:jc w:val="right"/>
              <w:ind w:right="280"/>
              <w:spacing w:after="0"/>
              <w:rPr>
                <w:sz w:val="20"/>
                <w:szCs w:val="20"/>
                <w:color w:val="auto"/>
              </w:rPr>
            </w:pPr>
            <w:r>
              <w:rPr>
                <w:rFonts w:ascii="Arial" w:cs="Arial" w:eastAsia="Arial" w:hAnsi="Arial"/>
                <w:sz w:val="15"/>
                <w:szCs w:val="15"/>
                <w:color w:val="auto"/>
              </w:rPr>
              <w:t>5,800</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3.99</w:t>
            </w:r>
          </w:p>
        </w:tc>
        <w:tc>
          <w:tcPr>
            <w:tcW w:w="14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July 1-31, 2011</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00" w:hanging="324"/>
        <w:spacing w:after="0"/>
        <w:tabs>
          <w:tab w:leader="none" w:pos="6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shares delivered back to the Company by employees to pay taxes related to the vesting of restricted shares.</w:t>
      </w:r>
    </w:p>
    <w:p>
      <w:pPr>
        <w:spacing w:after="0" w:line="158"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4"/>
          <w:szCs w:val="14"/>
          <w:b w:val="1"/>
          <w:bCs w:val="1"/>
          <w:i w:val="1"/>
          <w:iCs w:val="1"/>
          <w:color w:val="auto"/>
        </w:rPr>
        <w:t>DEFAULTS UPON SENIOR SECURITIES</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None.</w:t>
      </w:r>
    </w:p>
    <w:p>
      <w:pPr>
        <w:spacing w:after="0" w:line="158"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4"/>
          <w:szCs w:val="14"/>
          <w:b w:val="1"/>
          <w:bCs w:val="1"/>
          <w:i w:val="1"/>
          <w:iCs w:val="1"/>
          <w:color w:val="auto"/>
        </w:rPr>
        <w:t>OTHER INFORMATION</w:t>
      </w:r>
    </w:p>
    <w:p>
      <w:pPr>
        <w:spacing w:after="0" w:line="15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85"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580" w:type="dxa"/>
            <w:vAlign w:val="bottom"/>
          </w:tcPr>
          <w:p>
            <w:pPr>
              <w:jc w:val="right"/>
              <w:ind w:right="246"/>
              <w:spacing w:after="0"/>
              <w:rPr>
                <w:sz w:val="20"/>
                <w:szCs w:val="20"/>
                <w:color w:val="auto"/>
              </w:rPr>
            </w:pPr>
            <w:r>
              <w:rPr>
                <w:rFonts w:ascii="Arial" w:cs="Arial" w:eastAsia="Arial" w:hAnsi="Arial"/>
                <w:sz w:val="15"/>
                <w:szCs w:val="15"/>
                <w:color w:val="auto"/>
                <w:w w:val="82"/>
              </w:rPr>
              <w:t>31.1</w:t>
            </w:r>
          </w:p>
        </w:tc>
        <w:tc>
          <w:tcPr>
            <w:tcW w:w="6240" w:type="dxa"/>
            <w:vAlign w:val="bottom"/>
          </w:tcPr>
          <w:p>
            <w:pPr>
              <w:ind w:left="300"/>
              <w:spacing w:after="0"/>
              <w:rPr>
                <w:sz w:val="20"/>
                <w:szCs w:val="20"/>
                <w:color w:val="auto"/>
              </w:rPr>
            </w:pPr>
            <w:r>
              <w:rPr>
                <w:rFonts w:ascii="Arial" w:cs="Arial" w:eastAsia="Arial" w:hAnsi="Arial"/>
                <w:sz w:val="15"/>
                <w:szCs w:val="15"/>
                <w:color w:val="auto"/>
                <w:w w:val="91"/>
              </w:rPr>
              <w:t>Certification of Chief Executive Officer pursuant to Section 302 of the Sarbanes-Oxley Act of 2002</w:t>
            </w:r>
          </w:p>
        </w:tc>
      </w:tr>
      <w:tr>
        <w:trPr>
          <w:trHeight w:val="356"/>
        </w:trPr>
        <w:tc>
          <w:tcPr>
            <w:tcW w:w="580" w:type="dxa"/>
            <w:vAlign w:val="bottom"/>
          </w:tcPr>
          <w:p>
            <w:pPr>
              <w:jc w:val="right"/>
              <w:ind w:right="246"/>
              <w:spacing w:after="0"/>
              <w:rPr>
                <w:sz w:val="20"/>
                <w:szCs w:val="20"/>
                <w:color w:val="auto"/>
              </w:rPr>
            </w:pPr>
            <w:r>
              <w:rPr>
                <w:rFonts w:ascii="Arial" w:cs="Arial" w:eastAsia="Arial" w:hAnsi="Arial"/>
                <w:sz w:val="15"/>
                <w:szCs w:val="15"/>
                <w:color w:val="auto"/>
                <w:w w:val="82"/>
              </w:rPr>
              <w:t>31.2</w:t>
            </w:r>
          </w:p>
        </w:tc>
        <w:tc>
          <w:tcPr>
            <w:tcW w:w="6240" w:type="dxa"/>
            <w:vAlign w:val="bottom"/>
          </w:tcPr>
          <w:p>
            <w:pPr>
              <w:ind w:left="300"/>
              <w:spacing w:after="0"/>
              <w:rPr>
                <w:sz w:val="20"/>
                <w:szCs w:val="20"/>
                <w:color w:val="auto"/>
              </w:rPr>
            </w:pPr>
            <w:r>
              <w:rPr>
                <w:rFonts w:ascii="Arial" w:cs="Arial" w:eastAsia="Arial" w:hAnsi="Arial"/>
                <w:sz w:val="15"/>
                <w:szCs w:val="15"/>
                <w:color w:val="auto"/>
                <w:w w:val="91"/>
              </w:rPr>
              <w:t>Certification of Chief Financial Officer pursuant to Section 302 of the Sarbanes-Oxley Act of 2002</w:t>
            </w:r>
          </w:p>
        </w:tc>
      </w:tr>
      <w:tr>
        <w:trPr>
          <w:trHeight w:val="356"/>
        </w:trPr>
        <w:tc>
          <w:tcPr>
            <w:tcW w:w="580" w:type="dxa"/>
            <w:vAlign w:val="bottom"/>
          </w:tcPr>
          <w:p>
            <w:pPr>
              <w:jc w:val="right"/>
              <w:ind w:right="246"/>
              <w:spacing w:after="0"/>
              <w:rPr>
                <w:sz w:val="20"/>
                <w:szCs w:val="20"/>
                <w:color w:val="auto"/>
              </w:rPr>
            </w:pPr>
            <w:r>
              <w:rPr>
                <w:rFonts w:ascii="Arial" w:cs="Arial" w:eastAsia="Arial" w:hAnsi="Arial"/>
                <w:sz w:val="15"/>
                <w:szCs w:val="15"/>
                <w:color w:val="auto"/>
                <w:w w:val="82"/>
              </w:rPr>
              <w:t>32.1</w:t>
            </w:r>
          </w:p>
        </w:tc>
        <w:tc>
          <w:tcPr>
            <w:tcW w:w="6240" w:type="dxa"/>
            <w:vAlign w:val="bottom"/>
          </w:tcPr>
          <w:p>
            <w:pPr>
              <w:ind w:left="300"/>
              <w:spacing w:after="0"/>
              <w:rPr>
                <w:sz w:val="20"/>
                <w:szCs w:val="20"/>
                <w:color w:val="auto"/>
              </w:rPr>
            </w:pPr>
            <w:r>
              <w:rPr>
                <w:rFonts w:ascii="Arial" w:cs="Arial" w:eastAsia="Arial" w:hAnsi="Arial"/>
                <w:sz w:val="15"/>
                <w:szCs w:val="15"/>
                <w:color w:val="auto"/>
                <w:w w:val="91"/>
              </w:rPr>
              <w:t>Certification of Chief Executive Officer pursuant to Section 906 of the Sarbanes-Oxley Act of 2002</w:t>
            </w:r>
          </w:p>
        </w:tc>
      </w:tr>
      <w:tr>
        <w:trPr>
          <w:trHeight w:val="356"/>
        </w:trPr>
        <w:tc>
          <w:tcPr>
            <w:tcW w:w="580" w:type="dxa"/>
            <w:vAlign w:val="bottom"/>
          </w:tcPr>
          <w:p>
            <w:pPr>
              <w:jc w:val="right"/>
              <w:ind w:right="246"/>
              <w:spacing w:after="0"/>
              <w:rPr>
                <w:sz w:val="20"/>
                <w:szCs w:val="20"/>
                <w:color w:val="auto"/>
              </w:rPr>
            </w:pPr>
            <w:r>
              <w:rPr>
                <w:rFonts w:ascii="Arial" w:cs="Arial" w:eastAsia="Arial" w:hAnsi="Arial"/>
                <w:sz w:val="15"/>
                <w:szCs w:val="15"/>
                <w:color w:val="auto"/>
                <w:w w:val="82"/>
              </w:rPr>
              <w:t>32.2</w:t>
            </w:r>
          </w:p>
        </w:tc>
        <w:tc>
          <w:tcPr>
            <w:tcW w:w="6240" w:type="dxa"/>
            <w:vAlign w:val="bottom"/>
          </w:tcPr>
          <w:p>
            <w:pPr>
              <w:ind w:left="300"/>
              <w:spacing w:after="0"/>
              <w:rPr>
                <w:sz w:val="20"/>
                <w:szCs w:val="20"/>
                <w:color w:val="auto"/>
              </w:rPr>
            </w:pPr>
            <w:r>
              <w:rPr>
                <w:rFonts w:ascii="Arial" w:cs="Arial" w:eastAsia="Arial" w:hAnsi="Arial"/>
                <w:sz w:val="15"/>
                <w:szCs w:val="15"/>
                <w:color w:val="auto"/>
                <w:w w:val="91"/>
              </w:rPr>
              <w:t>Certification of Chief Financial Officer pursuant to Section 906 of the Sarbanes-Oxley Act of 2002</w:t>
            </w:r>
          </w:p>
        </w:tc>
      </w:tr>
    </w:tbl>
    <w:p>
      <w:pPr>
        <w:spacing w:after="0" w:line="168" w:lineRule="exact"/>
        <w:rPr>
          <w:sz w:val="20"/>
          <w:szCs w:val="20"/>
          <w:color w:val="auto"/>
        </w:rPr>
      </w:pPr>
    </w:p>
    <w:p>
      <w:pPr>
        <w:ind w:left="1540" w:right="2059" w:hanging="840"/>
        <w:spacing w:after="0" w:line="294" w:lineRule="auto"/>
        <w:tabs>
          <w:tab w:leader="none" w:pos="15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following materials formatted in eXtensible Business Reporting Language (XBRL) from Ocean Power Technologies, Inc Quarterly Report on Form 10-Q for the quarter ended July 31, 2011, filed September 9, 2011:</w:t>
      </w:r>
    </w:p>
    <w:p>
      <w:pPr>
        <w:ind w:left="1540" w:right="1959"/>
        <w:spacing w:after="0" w:line="249" w:lineRule="auto"/>
        <w:rPr>
          <w:rFonts w:ascii="Arial" w:cs="Arial" w:eastAsia="Arial" w:hAnsi="Arial"/>
          <w:sz w:val="13"/>
          <w:szCs w:val="13"/>
          <w:color w:val="auto"/>
        </w:rPr>
      </w:pPr>
      <w:r>
        <w:rPr>
          <w:rFonts w:ascii="Arial" w:cs="Arial" w:eastAsia="Arial" w:hAnsi="Arial"/>
          <w:sz w:val="15"/>
          <w:szCs w:val="15"/>
          <w:color w:val="auto"/>
        </w:rPr>
        <w:t>(i) Consolidated Balance Sheets – July 31, 2011 (unaudited) and April 30, 2011, (ii) Consolidated Statements of Operations (unaudited) – Three Months Ended July 31, 2011 and 2010, (iii) Consolidated Statements of Cash Flows (unaudited) – Three Months Ended July 31, 2011 and 2010, (iv) Consolidated Statements of Stockholders’ Equity and Comprehensive Loss (unaudited) – Three Months Ended July 31, 2011 and 2010 and (v) Notes to Consolidated Financial Statements.*</w:t>
      </w:r>
    </w:p>
    <w:p>
      <w:pPr>
        <w:spacing w:after="0" w:line="164" w:lineRule="exact"/>
        <w:rPr>
          <w:sz w:val="20"/>
          <w:szCs w:val="20"/>
          <w:color w:val="auto"/>
        </w:rPr>
      </w:pPr>
    </w:p>
    <w:p>
      <w:pPr>
        <w:ind w:left="1540" w:right="2019" w:firstLine="6"/>
        <w:spacing w:after="0" w:line="255" w:lineRule="auto"/>
        <w:tabs>
          <w:tab w:leader="none" w:pos="1651" w:val="left"/>
        </w:tabs>
        <w:numPr>
          <w:ilvl w:val="0"/>
          <w:numId w:val="10"/>
        </w:numPr>
        <w:rPr>
          <w:rFonts w:ascii="Arial" w:cs="Arial" w:eastAsia="Arial" w:hAnsi="Arial"/>
          <w:sz w:val="15"/>
          <w:szCs w:val="15"/>
          <w:color w:val="auto"/>
        </w:rPr>
      </w:pPr>
      <w:r>
        <w:rPr>
          <w:rFonts w:ascii="Arial" w:cs="Arial" w:eastAsia="Arial" w:hAnsi="Arial"/>
          <w:sz w:val="15"/>
          <w:szCs w:val="15"/>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50" w:lineRule="exact"/>
        <w:rPr>
          <w:sz w:val="20"/>
          <w:szCs w:val="20"/>
          <w:color w:val="auto"/>
        </w:rPr>
      </w:pPr>
    </w:p>
    <w:p>
      <w:pPr>
        <w:ind w:left="3800"/>
        <w:spacing w:after="0"/>
        <w:rPr>
          <w:sz w:val="20"/>
          <w:szCs w:val="20"/>
          <w:color w:val="auto"/>
        </w:rPr>
      </w:pPr>
      <w:r>
        <w:rPr>
          <w:rFonts w:ascii="Arial" w:cs="Arial" w:eastAsia="Arial" w:hAnsi="Arial"/>
          <w:sz w:val="15"/>
          <w:szCs w:val="15"/>
          <w:b w:val="1"/>
          <w:bCs w:val="1"/>
          <w:color w:val="auto"/>
        </w:rPr>
        <w:t>SIGNATURES</w:t>
      </w:r>
    </w:p>
    <w:p>
      <w:pPr>
        <w:spacing w:after="0" w:line="166" w:lineRule="exact"/>
        <w:rPr>
          <w:sz w:val="20"/>
          <w:szCs w:val="20"/>
          <w:color w:val="auto"/>
        </w:rPr>
      </w:pPr>
    </w:p>
    <w:p>
      <w:pPr>
        <w:ind w:left="280" w:right="2299"/>
        <w:spacing w:after="0" w:line="269"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By: /s/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10160</wp:posOffset>
            </wp:positionV>
            <wp:extent cx="177546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75460" cy="6985"/>
                    </a:xfrm>
                    <a:prstGeom prst="rect">
                      <a:avLst/>
                    </a:prstGeom>
                    <a:noFill/>
                  </pic:spPr>
                </pic:pic>
              </a:graphicData>
            </a:graphic>
          </wp:anchor>
        </w:drawing>
      </w:r>
    </w:p>
    <w:p>
      <w:pPr>
        <w:spacing w:after="0" w:line="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Charles F. Dunleavy</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Chief Executive Officer</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(Principal Executive Officer)</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Date: September 9, 2011</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By: /s/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10160</wp:posOffset>
            </wp:positionV>
            <wp:extent cx="177546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75460" cy="6985"/>
                    </a:xfrm>
                    <a:prstGeom prst="rect">
                      <a:avLst/>
                    </a:prstGeom>
                    <a:noFill/>
                  </pic:spPr>
                </pic:pic>
              </a:graphicData>
            </a:graphic>
          </wp:anchor>
        </w:drawing>
      </w:r>
    </w:p>
    <w:p>
      <w:pPr>
        <w:spacing w:after="0" w:line="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Brian M. Posner</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Chief Financial Officer</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(Principal Financial Officer)</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Date: September 9, 2011</w:t>
      </w:r>
    </w:p>
    <w:p>
      <w:pPr>
        <w:spacing w:after="0" w:line="200" w:lineRule="exact"/>
        <w:rPr>
          <w:sz w:val="20"/>
          <w:szCs w:val="20"/>
          <w:color w:val="auto"/>
        </w:rPr>
      </w:pPr>
    </w:p>
    <w:p>
      <w:pPr>
        <w:spacing w:after="0" w:line="274"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7646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2"/>
        </w:trPr>
        <w:tc>
          <w:tcPr>
            <w:tcW w:w="1340" w:type="dxa"/>
            <w:vAlign w:val="bottom"/>
            <w:gridSpan w:val="2"/>
          </w:tcPr>
          <w:p>
            <w:pPr>
              <w:spacing w:after="0"/>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Table of Contents</w:t>
              </w:r>
            </w:hyperlink>
          </w:p>
        </w:tc>
        <w:tc>
          <w:tcPr>
            <w:tcW w:w="6140" w:type="dxa"/>
            <w:vAlign w:val="bottom"/>
          </w:tcPr>
          <w:p>
            <w:pPr>
              <w:spacing w:after="0"/>
              <w:rPr>
                <w:sz w:val="14"/>
                <w:szCs w:val="14"/>
                <w:color w:val="auto"/>
              </w:rPr>
            </w:pPr>
          </w:p>
        </w:tc>
      </w:tr>
      <w:tr>
        <w:trPr>
          <w:trHeight w:val="436"/>
        </w:trPr>
        <w:tc>
          <w:tcPr>
            <w:tcW w:w="11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140" w:type="dxa"/>
            <w:vAlign w:val="bottom"/>
          </w:tcPr>
          <w:p>
            <w:pPr>
              <w:ind w:left="2320"/>
              <w:spacing w:after="0"/>
              <w:rPr>
                <w:sz w:val="20"/>
                <w:szCs w:val="20"/>
                <w:color w:val="auto"/>
              </w:rPr>
            </w:pPr>
            <w:r>
              <w:rPr>
                <w:rFonts w:ascii="Arial" w:cs="Arial" w:eastAsia="Arial" w:hAnsi="Arial"/>
                <w:sz w:val="15"/>
                <w:szCs w:val="15"/>
                <w:b w:val="1"/>
                <w:bCs w:val="1"/>
                <w:color w:val="auto"/>
              </w:rPr>
              <w:t>EXHIBITS INDEX</w:t>
            </w:r>
          </w:p>
        </w:tc>
      </w:tr>
      <w:tr>
        <w:trPr>
          <w:trHeight w:val="356"/>
        </w:trPr>
        <w:tc>
          <w:tcPr>
            <w:tcW w:w="1120" w:type="dxa"/>
            <w:vAlign w:val="bottom"/>
          </w:tcPr>
          <w:p>
            <w:pPr>
              <w:jc w:val="right"/>
              <w:ind w:right="126"/>
              <w:spacing w:after="0"/>
              <w:rPr>
                <w:sz w:val="20"/>
                <w:szCs w:val="20"/>
                <w:color w:val="auto"/>
              </w:rPr>
            </w:pPr>
            <w:r>
              <w:rPr>
                <w:rFonts w:ascii="Arial" w:cs="Arial" w:eastAsia="Arial" w:hAnsi="Arial"/>
                <w:sz w:val="15"/>
                <w:szCs w:val="15"/>
                <w:color w:val="auto"/>
              </w:rPr>
              <w:t>31.1</w:t>
            </w:r>
          </w:p>
        </w:tc>
        <w:tc>
          <w:tcPr>
            <w:tcW w:w="220" w:type="dxa"/>
            <w:vAlign w:val="bottom"/>
          </w:tcPr>
          <w:p>
            <w:pPr>
              <w:spacing w:after="0"/>
              <w:rPr>
                <w:sz w:val="24"/>
                <w:szCs w:val="24"/>
                <w:color w:val="auto"/>
              </w:rPr>
            </w:pPr>
          </w:p>
        </w:tc>
        <w:tc>
          <w:tcPr>
            <w:tcW w:w="6140" w:type="dxa"/>
            <w:vAlign w:val="bottom"/>
          </w:tcPr>
          <w:p>
            <w:pPr>
              <w:ind w:left="200"/>
              <w:spacing w:after="0"/>
              <w:rPr>
                <w:sz w:val="20"/>
                <w:szCs w:val="20"/>
                <w:color w:val="auto"/>
              </w:rPr>
            </w:pPr>
            <w:r>
              <w:rPr>
                <w:rFonts w:ascii="Arial" w:cs="Arial" w:eastAsia="Arial" w:hAnsi="Arial"/>
                <w:sz w:val="15"/>
                <w:szCs w:val="15"/>
                <w:color w:val="auto"/>
                <w:w w:val="91"/>
              </w:rPr>
              <w:t>Certification of Chief Executive Officer pursuant to Section 302 of the Sarbanes-Oxley Act of 2002</w:t>
            </w:r>
          </w:p>
        </w:tc>
      </w:tr>
      <w:tr>
        <w:trPr>
          <w:trHeight w:val="356"/>
        </w:trPr>
        <w:tc>
          <w:tcPr>
            <w:tcW w:w="1120" w:type="dxa"/>
            <w:vAlign w:val="bottom"/>
          </w:tcPr>
          <w:p>
            <w:pPr>
              <w:jc w:val="right"/>
              <w:ind w:right="126"/>
              <w:spacing w:after="0"/>
              <w:rPr>
                <w:sz w:val="20"/>
                <w:szCs w:val="20"/>
                <w:color w:val="auto"/>
              </w:rPr>
            </w:pPr>
            <w:r>
              <w:rPr>
                <w:rFonts w:ascii="Arial" w:cs="Arial" w:eastAsia="Arial" w:hAnsi="Arial"/>
                <w:sz w:val="15"/>
                <w:szCs w:val="15"/>
                <w:color w:val="auto"/>
              </w:rPr>
              <w:t>31.2</w:t>
            </w:r>
          </w:p>
        </w:tc>
        <w:tc>
          <w:tcPr>
            <w:tcW w:w="220" w:type="dxa"/>
            <w:vAlign w:val="bottom"/>
          </w:tcPr>
          <w:p>
            <w:pPr>
              <w:spacing w:after="0"/>
              <w:rPr>
                <w:sz w:val="24"/>
                <w:szCs w:val="24"/>
                <w:color w:val="auto"/>
              </w:rPr>
            </w:pPr>
          </w:p>
        </w:tc>
        <w:tc>
          <w:tcPr>
            <w:tcW w:w="6140" w:type="dxa"/>
            <w:vAlign w:val="bottom"/>
          </w:tcPr>
          <w:p>
            <w:pPr>
              <w:ind w:left="200"/>
              <w:spacing w:after="0"/>
              <w:rPr>
                <w:sz w:val="20"/>
                <w:szCs w:val="20"/>
                <w:color w:val="auto"/>
              </w:rPr>
            </w:pPr>
            <w:r>
              <w:rPr>
                <w:rFonts w:ascii="Arial" w:cs="Arial" w:eastAsia="Arial" w:hAnsi="Arial"/>
                <w:sz w:val="15"/>
                <w:szCs w:val="15"/>
                <w:color w:val="auto"/>
                <w:w w:val="91"/>
              </w:rPr>
              <w:t>Certification of Chief Financial Officer pursuant to Section 302 of the Sarbanes-Oxley Act of 2002</w:t>
            </w:r>
          </w:p>
        </w:tc>
      </w:tr>
      <w:tr>
        <w:trPr>
          <w:trHeight w:val="356"/>
        </w:trPr>
        <w:tc>
          <w:tcPr>
            <w:tcW w:w="1120" w:type="dxa"/>
            <w:vAlign w:val="bottom"/>
          </w:tcPr>
          <w:p>
            <w:pPr>
              <w:jc w:val="right"/>
              <w:ind w:right="126"/>
              <w:spacing w:after="0"/>
              <w:rPr>
                <w:sz w:val="20"/>
                <w:szCs w:val="20"/>
                <w:color w:val="auto"/>
              </w:rPr>
            </w:pPr>
            <w:r>
              <w:rPr>
                <w:rFonts w:ascii="Arial" w:cs="Arial" w:eastAsia="Arial" w:hAnsi="Arial"/>
                <w:sz w:val="15"/>
                <w:szCs w:val="15"/>
                <w:color w:val="auto"/>
              </w:rPr>
              <w:t>32.1</w:t>
            </w:r>
          </w:p>
        </w:tc>
        <w:tc>
          <w:tcPr>
            <w:tcW w:w="220" w:type="dxa"/>
            <w:vAlign w:val="bottom"/>
          </w:tcPr>
          <w:p>
            <w:pPr>
              <w:spacing w:after="0"/>
              <w:rPr>
                <w:sz w:val="24"/>
                <w:szCs w:val="24"/>
                <w:color w:val="auto"/>
              </w:rPr>
            </w:pPr>
          </w:p>
        </w:tc>
        <w:tc>
          <w:tcPr>
            <w:tcW w:w="6140" w:type="dxa"/>
            <w:vAlign w:val="bottom"/>
          </w:tcPr>
          <w:p>
            <w:pPr>
              <w:ind w:left="200"/>
              <w:spacing w:after="0"/>
              <w:rPr>
                <w:sz w:val="20"/>
                <w:szCs w:val="20"/>
                <w:color w:val="auto"/>
              </w:rPr>
            </w:pPr>
            <w:r>
              <w:rPr>
                <w:rFonts w:ascii="Arial" w:cs="Arial" w:eastAsia="Arial" w:hAnsi="Arial"/>
                <w:sz w:val="15"/>
                <w:szCs w:val="15"/>
                <w:color w:val="auto"/>
                <w:w w:val="91"/>
              </w:rPr>
              <w:t>Certification of Chief Executive Officer pursuant to Section 906 of the Sarbanes-Oxley Act of 2002</w:t>
            </w:r>
          </w:p>
        </w:tc>
      </w:tr>
      <w:tr>
        <w:trPr>
          <w:trHeight w:val="356"/>
        </w:trPr>
        <w:tc>
          <w:tcPr>
            <w:tcW w:w="1120" w:type="dxa"/>
            <w:vAlign w:val="bottom"/>
          </w:tcPr>
          <w:p>
            <w:pPr>
              <w:jc w:val="right"/>
              <w:ind w:right="126"/>
              <w:spacing w:after="0"/>
              <w:rPr>
                <w:sz w:val="20"/>
                <w:szCs w:val="20"/>
                <w:color w:val="auto"/>
              </w:rPr>
            </w:pPr>
            <w:r>
              <w:rPr>
                <w:rFonts w:ascii="Arial" w:cs="Arial" w:eastAsia="Arial" w:hAnsi="Arial"/>
                <w:sz w:val="15"/>
                <w:szCs w:val="15"/>
                <w:color w:val="auto"/>
              </w:rPr>
              <w:t>32.2</w:t>
            </w:r>
          </w:p>
        </w:tc>
        <w:tc>
          <w:tcPr>
            <w:tcW w:w="220" w:type="dxa"/>
            <w:vAlign w:val="bottom"/>
          </w:tcPr>
          <w:p>
            <w:pPr>
              <w:spacing w:after="0"/>
              <w:rPr>
                <w:sz w:val="24"/>
                <w:szCs w:val="24"/>
                <w:color w:val="auto"/>
              </w:rPr>
            </w:pPr>
          </w:p>
        </w:tc>
        <w:tc>
          <w:tcPr>
            <w:tcW w:w="6140" w:type="dxa"/>
            <w:vAlign w:val="bottom"/>
          </w:tcPr>
          <w:p>
            <w:pPr>
              <w:ind w:left="200"/>
              <w:spacing w:after="0"/>
              <w:rPr>
                <w:sz w:val="20"/>
                <w:szCs w:val="20"/>
                <w:color w:val="auto"/>
              </w:rPr>
            </w:pPr>
            <w:r>
              <w:rPr>
                <w:rFonts w:ascii="Arial" w:cs="Arial" w:eastAsia="Arial" w:hAnsi="Arial"/>
                <w:sz w:val="15"/>
                <w:szCs w:val="15"/>
                <w:color w:val="auto"/>
                <w:w w:val="91"/>
              </w:rPr>
              <w:t>Certification of Chief Financial Officer pursuant to Section 906 of the Sarbanes-Oxley Act of 2002</w:t>
            </w:r>
          </w:p>
        </w:tc>
      </w:tr>
    </w:tbl>
    <w:p>
      <w:pPr>
        <w:spacing w:after="0" w:line="168" w:lineRule="exact"/>
        <w:rPr>
          <w:sz w:val="20"/>
          <w:szCs w:val="20"/>
          <w:color w:val="auto"/>
        </w:rPr>
      </w:pPr>
    </w:p>
    <w:p>
      <w:pPr>
        <w:ind w:left="1540" w:right="2059" w:hanging="840"/>
        <w:spacing w:after="0" w:line="294" w:lineRule="auto"/>
        <w:tabs>
          <w:tab w:leader="none" w:pos="15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following materials formatted in eXtensible Business Reporting Language (XBRL) from Ocean Power Technologies, Inc Quarterly Report on Form 10-Q for the quarter ended July 31, 2011, filed September 9, 2011:</w:t>
      </w:r>
    </w:p>
    <w:p>
      <w:pPr>
        <w:ind w:left="1540" w:right="1959"/>
        <w:spacing w:after="0" w:line="249" w:lineRule="auto"/>
        <w:rPr>
          <w:rFonts w:ascii="Arial" w:cs="Arial" w:eastAsia="Arial" w:hAnsi="Arial"/>
          <w:sz w:val="13"/>
          <w:szCs w:val="13"/>
          <w:color w:val="auto"/>
        </w:rPr>
      </w:pPr>
      <w:r>
        <w:rPr>
          <w:rFonts w:ascii="Arial" w:cs="Arial" w:eastAsia="Arial" w:hAnsi="Arial"/>
          <w:sz w:val="15"/>
          <w:szCs w:val="15"/>
          <w:color w:val="auto"/>
        </w:rPr>
        <w:t>(i) Consolidated Balance Sheets – July 31, 2011 (unaudited) and April 30, 2011, (ii) Consolidated Statements of Operations (unaudited) – Three Months Ended July 31, 2011 and 2010, (iii) Consolidated Statements of Cash Flows (unaudited) – Three Months Ended July 31, 2011 and 2010, (iv) Consolidated Statements of Stockholders’ Equity and Comprehensive Loss (unaudited) – Three Months Ended July 31, 2011 and 2010 and (v) Notes to Consolidated Financial Statements.*</w:t>
      </w:r>
    </w:p>
    <w:p>
      <w:pPr>
        <w:spacing w:after="0" w:line="164" w:lineRule="exact"/>
        <w:rPr>
          <w:sz w:val="20"/>
          <w:szCs w:val="20"/>
          <w:color w:val="auto"/>
        </w:rPr>
      </w:pPr>
    </w:p>
    <w:p>
      <w:pPr>
        <w:ind w:left="1540" w:right="2019" w:firstLine="6"/>
        <w:spacing w:after="0" w:line="255" w:lineRule="auto"/>
        <w:tabs>
          <w:tab w:leader="none" w:pos="1651" w:val="left"/>
        </w:tabs>
        <w:numPr>
          <w:ilvl w:val="0"/>
          <w:numId w:val="12"/>
        </w:numPr>
        <w:rPr>
          <w:rFonts w:ascii="Arial" w:cs="Arial" w:eastAsia="Arial" w:hAnsi="Arial"/>
          <w:sz w:val="15"/>
          <w:szCs w:val="15"/>
          <w:color w:val="auto"/>
        </w:rPr>
      </w:pPr>
      <w:r>
        <w:rPr>
          <w:rFonts w:ascii="Arial" w:cs="Arial" w:eastAsia="Arial" w:hAnsi="Arial"/>
          <w:sz w:val="15"/>
          <w:szCs w:val="15"/>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0239"/>
          </w:cols>
          <w:pgMar w:left="220" w:top="357" w:right="1440" w:bottom="1440" w:gutter="0" w:footer="0" w:header="0"/>
        </w:sectPr>
      </w:pPr>
    </w:p>
    <w:bookmarkStart w:id="33" w:name="page34"/>
    <w:bookmarkEnd w:id="33"/>
    <w:p>
      <w:pPr>
        <w:jc w:val="right"/>
        <w:ind w:right="1939"/>
        <w:spacing w:after="0"/>
        <w:rPr>
          <w:sz w:val="20"/>
          <w:szCs w:val="20"/>
          <w:color w:val="auto"/>
        </w:rPr>
      </w:pPr>
      <w:r>
        <w:rPr>
          <w:rFonts w:ascii="Arial" w:cs="Arial" w:eastAsia="Arial" w:hAnsi="Arial"/>
          <w:sz w:val="15"/>
          <w:szCs w:val="15"/>
          <w:b w:val="1"/>
          <w:bCs w:val="1"/>
          <w:color w:val="auto"/>
        </w:rPr>
        <w:t>Exhibit 31.1</w:t>
      </w:r>
    </w:p>
    <w:p>
      <w:pPr>
        <w:spacing w:after="0" w:line="151" w:lineRule="exact"/>
        <w:rPr>
          <w:sz w:val="20"/>
          <w:szCs w:val="20"/>
          <w:color w:val="auto"/>
        </w:rPr>
      </w:pPr>
    </w:p>
    <w:p>
      <w:pPr>
        <w:ind w:left="1384"/>
        <w:spacing w:after="0"/>
        <w:rPr>
          <w:sz w:val="20"/>
          <w:szCs w:val="20"/>
          <w:color w:val="auto"/>
        </w:rPr>
      </w:pPr>
      <w:r>
        <w:rPr>
          <w:rFonts w:ascii="Arial" w:cs="Arial" w:eastAsia="Arial" w:hAnsi="Arial"/>
          <w:sz w:val="15"/>
          <w:szCs w:val="15"/>
          <w:b w:val="1"/>
          <w:bCs w:val="1"/>
          <w:color w:val="auto"/>
        </w:rPr>
        <w:t>CERTIFICATION PURSUANT TO SECTION 302 OF SARBANES-OXLEY ACT</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5"/>
          <w:szCs w:val="15"/>
          <w:color w:val="auto"/>
        </w:rPr>
        <w:t>I, Charles F. Dunleavy, certify that:</w:t>
      </w:r>
    </w:p>
    <w:p>
      <w:pPr>
        <w:spacing w:after="0" w:line="151" w:lineRule="exact"/>
        <w:rPr>
          <w:sz w:val="20"/>
          <w:szCs w:val="20"/>
          <w:color w:val="auto"/>
        </w:rPr>
      </w:pPr>
    </w:p>
    <w:p>
      <w:pPr>
        <w:ind w:left="304" w:hanging="304"/>
        <w:spacing w:after="0"/>
        <w:tabs>
          <w:tab w:leader="none" w:pos="304" w:val="left"/>
        </w:tabs>
        <w:numPr>
          <w:ilvl w:val="0"/>
          <w:numId w:val="13"/>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Ocean Power Technologies, Inc.;</w:t>
      </w:r>
    </w:p>
    <w:p>
      <w:pPr>
        <w:spacing w:after="0" w:line="128" w:lineRule="exact"/>
        <w:rPr>
          <w:rFonts w:ascii="Arial" w:cs="Arial" w:eastAsia="Arial" w:hAnsi="Arial"/>
          <w:sz w:val="15"/>
          <w:szCs w:val="15"/>
          <w:color w:val="auto"/>
        </w:rPr>
      </w:pPr>
    </w:p>
    <w:p>
      <w:pPr>
        <w:ind w:left="304" w:right="2179" w:hanging="304"/>
        <w:spacing w:after="0" w:line="258" w:lineRule="auto"/>
        <w:tabs>
          <w:tab w:leader="none" w:pos="304"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5"/>
          <w:szCs w:val="15"/>
          <w:color w:val="auto"/>
        </w:rPr>
      </w:pPr>
    </w:p>
    <w:p>
      <w:pPr>
        <w:ind w:left="304" w:right="1959" w:hanging="304"/>
        <w:spacing w:after="0" w:line="258" w:lineRule="auto"/>
        <w:tabs>
          <w:tab w:leader="none" w:pos="304"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Arial" w:cs="Arial" w:eastAsia="Arial" w:hAnsi="Arial"/>
          <w:sz w:val="15"/>
          <w:szCs w:val="15"/>
          <w:color w:val="auto"/>
        </w:rPr>
      </w:pPr>
    </w:p>
    <w:p>
      <w:pPr>
        <w:ind w:left="304" w:right="1959" w:hanging="304"/>
        <w:spacing w:after="0" w:line="258" w:lineRule="auto"/>
        <w:tabs>
          <w:tab w:leader="none" w:pos="304"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304" w:right="2059" w:hanging="304"/>
        <w:spacing w:after="0" w:line="286" w:lineRule="auto"/>
        <w:tabs>
          <w:tab w:leader="none" w:pos="304"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4"/>
          <w:szCs w:val="14"/>
          <w:color w:val="auto"/>
        </w:rPr>
      </w:pPr>
    </w:p>
    <w:p>
      <w:pPr>
        <w:ind w:left="304" w:right="2159" w:hanging="304"/>
        <w:spacing w:after="0" w:line="286" w:lineRule="auto"/>
        <w:tabs>
          <w:tab w:leader="none" w:pos="304"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4"/>
          <w:szCs w:val="14"/>
          <w:color w:val="auto"/>
        </w:rPr>
      </w:pPr>
    </w:p>
    <w:p>
      <w:pPr>
        <w:ind w:left="304" w:right="1999" w:hanging="304"/>
        <w:spacing w:after="0" w:line="258" w:lineRule="auto"/>
        <w:tabs>
          <w:tab w:leader="none" w:pos="304" w:val="left"/>
        </w:tabs>
        <w:numPr>
          <w:ilvl w:val="0"/>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Arial" w:cs="Arial" w:eastAsia="Arial" w:hAnsi="Arial"/>
          <w:sz w:val="15"/>
          <w:szCs w:val="15"/>
          <w:color w:val="auto"/>
        </w:rPr>
      </w:pPr>
    </w:p>
    <w:p>
      <w:pPr>
        <w:ind w:left="304" w:right="1959" w:hanging="304"/>
        <w:spacing w:after="0" w:line="286" w:lineRule="auto"/>
        <w:tabs>
          <w:tab w:leader="none" w:pos="304" w:val="left"/>
        </w:tabs>
        <w:numPr>
          <w:ilvl w:val="0"/>
          <w:numId w:val="14"/>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sz w:val="20"/>
          <w:szCs w:val="20"/>
          <w:color w:val="auto"/>
        </w:rPr>
      </w:pPr>
    </w:p>
    <w:p>
      <w:pPr>
        <w:ind w:left="304" w:right="2259" w:hanging="304"/>
        <w:spacing w:after="0" w:line="258" w:lineRule="auto"/>
        <w:tabs>
          <w:tab w:leader="none" w:pos="304"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23" w:lineRule="exact"/>
        <w:rPr>
          <w:sz w:val="20"/>
          <w:szCs w:val="20"/>
          <w:color w:val="auto"/>
        </w:rPr>
      </w:pPr>
    </w:p>
    <w:p>
      <w:pPr>
        <w:ind w:left="304" w:right="2039" w:hanging="304"/>
        <w:spacing w:after="0" w:line="258" w:lineRule="auto"/>
        <w:tabs>
          <w:tab w:leader="none" w:pos="304" w:val="left"/>
        </w:tabs>
        <w:numPr>
          <w:ilvl w:val="0"/>
          <w:numId w:val="1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Arial" w:cs="Arial" w:eastAsia="Arial" w:hAnsi="Arial"/>
          <w:sz w:val="15"/>
          <w:szCs w:val="15"/>
          <w:color w:val="auto"/>
        </w:rPr>
      </w:pPr>
    </w:p>
    <w:p>
      <w:pPr>
        <w:ind w:left="304" w:right="2059" w:hanging="304"/>
        <w:spacing w:after="0" w:line="269" w:lineRule="auto"/>
        <w:tabs>
          <w:tab w:leader="none" w:pos="304" w:val="left"/>
        </w:tabs>
        <w:numPr>
          <w:ilvl w:val="0"/>
          <w:numId w:val="16"/>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5"/>
          <w:szCs w:val="15"/>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178943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8" w:lineRule="exact"/>
        <w:rPr>
          <w:sz w:val="20"/>
          <w:szCs w:val="20"/>
          <w:color w:val="auto"/>
        </w:rPr>
      </w:pPr>
    </w:p>
    <w:p>
      <w:pPr>
        <w:ind w:left="4"/>
        <w:spacing w:after="0"/>
        <w:rPr>
          <w:sz w:val="20"/>
          <w:szCs w:val="20"/>
          <w:color w:val="auto"/>
        </w:rPr>
      </w:pPr>
      <w:r>
        <w:rPr>
          <w:rFonts w:ascii="Arial" w:cs="Arial" w:eastAsia="Arial" w:hAnsi="Arial"/>
          <w:sz w:val="15"/>
          <w:szCs w:val="15"/>
          <w:color w:val="auto"/>
        </w:rPr>
        <w:t>Charles F. Dunleavy</w:t>
      </w:r>
    </w:p>
    <w:p>
      <w:pPr>
        <w:spacing w:after="0" w:line="16" w:lineRule="exact"/>
        <w:rPr>
          <w:sz w:val="20"/>
          <w:szCs w:val="20"/>
          <w:color w:val="auto"/>
        </w:rPr>
      </w:pPr>
    </w:p>
    <w:p>
      <w:pPr>
        <w:ind w:left="4"/>
        <w:spacing w:after="0"/>
        <w:rPr>
          <w:sz w:val="20"/>
          <w:szCs w:val="20"/>
          <w:color w:val="auto"/>
        </w:rPr>
      </w:pPr>
      <w:r>
        <w:rPr>
          <w:rFonts w:ascii="Arial" w:cs="Arial" w:eastAsia="Arial" w:hAnsi="Arial"/>
          <w:sz w:val="15"/>
          <w:szCs w:val="15"/>
          <w:i w:val="1"/>
          <w:iCs w:val="1"/>
          <w:color w:val="auto"/>
        </w:rPr>
        <w:t>Chief Executive Officer</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5"/>
          <w:szCs w:val="15"/>
          <w:color w:val="auto"/>
        </w:rPr>
        <w:t>Date: September 9, 2011</w:t>
      </w:r>
    </w:p>
    <w:p>
      <w:pPr>
        <w:sectPr>
          <w:pgSz w:w="11900" w:h="16838" w:orient="portrait"/>
          <w:cols w:equalWidth="0" w:num="1">
            <w:col w:w="9963"/>
          </w:cols>
          <w:pgMar w:left="496" w:top="125" w:right="1440" w:bottom="1440" w:gutter="0" w:footer="0" w:header="0"/>
        </w:sectPr>
      </w:pPr>
    </w:p>
    <w:bookmarkStart w:id="34" w:name="page35"/>
    <w:bookmarkEnd w:id="34"/>
    <w:p>
      <w:pPr>
        <w:jc w:val="right"/>
        <w:ind w:right="1939"/>
        <w:spacing w:after="0"/>
        <w:rPr>
          <w:sz w:val="20"/>
          <w:szCs w:val="20"/>
          <w:color w:val="auto"/>
        </w:rPr>
      </w:pPr>
      <w:r>
        <w:rPr>
          <w:rFonts w:ascii="Arial" w:cs="Arial" w:eastAsia="Arial" w:hAnsi="Arial"/>
          <w:sz w:val="15"/>
          <w:szCs w:val="15"/>
          <w:b w:val="1"/>
          <w:bCs w:val="1"/>
          <w:color w:val="auto"/>
        </w:rPr>
        <w:t>Exhibit 31.2</w:t>
      </w:r>
    </w:p>
    <w:p>
      <w:pPr>
        <w:spacing w:after="0" w:line="151" w:lineRule="exact"/>
        <w:rPr>
          <w:sz w:val="20"/>
          <w:szCs w:val="20"/>
          <w:color w:val="auto"/>
        </w:rPr>
      </w:pPr>
    </w:p>
    <w:p>
      <w:pPr>
        <w:ind w:left="1384"/>
        <w:spacing w:after="0"/>
        <w:rPr>
          <w:sz w:val="20"/>
          <w:szCs w:val="20"/>
          <w:color w:val="auto"/>
        </w:rPr>
      </w:pPr>
      <w:r>
        <w:rPr>
          <w:rFonts w:ascii="Arial" w:cs="Arial" w:eastAsia="Arial" w:hAnsi="Arial"/>
          <w:sz w:val="15"/>
          <w:szCs w:val="15"/>
          <w:b w:val="1"/>
          <w:bCs w:val="1"/>
          <w:color w:val="auto"/>
        </w:rPr>
        <w:t>CERTIFICATION PURSUANT TO SECTION 302 OF SARBANES-OXLEY ACT</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5"/>
          <w:szCs w:val="15"/>
          <w:color w:val="auto"/>
        </w:rPr>
        <w:t>I, Brian M. Posner, certify that:</w:t>
      </w:r>
    </w:p>
    <w:p>
      <w:pPr>
        <w:spacing w:after="0" w:line="151" w:lineRule="exact"/>
        <w:rPr>
          <w:sz w:val="20"/>
          <w:szCs w:val="20"/>
          <w:color w:val="auto"/>
        </w:rPr>
      </w:pPr>
    </w:p>
    <w:p>
      <w:pPr>
        <w:ind w:left="304" w:hanging="304"/>
        <w:spacing w:after="0"/>
        <w:tabs>
          <w:tab w:leader="none" w:pos="304" w:val="left"/>
        </w:tabs>
        <w:numPr>
          <w:ilvl w:val="0"/>
          <w:numId w:val="17"/>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Ocean Power Technologies, Inc.;</w:t>
      </w:r>
    </w:p>
    <w:p>
      <w:pPr>
        <w:spacing w:after="0" w:line="128" w:lineRule="exact"/>
        <w:rPr>
          <w:rFonts w:ascii="Arial" w:cs="Arial" w:eastAsia="Arial" w:hAnsi="Arial"/>
          <w:sz w:val="15"/>
          <w:szCs w:val="15"/>
          <w:color w:val="auto"/>
        </w:rPr>
      </w:pPr>
    </w:p>
    <w:p>
      <w:pPr>
        <w:ind w:left="304" w:right="2179" w:hanging="304"/>
        <w:spacing w:after="0" w:line="258" w:lineRule="auto"/>
        <w:tabs>
          <w:tab w:leader="none" w:pos="304"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5"/>
          <w:szCs w:val="15"/>
          <w:color w:val="auto"/>
        </w:rPr>
      </w:pPr>
    </w:p>
    <w:p>
      <w:pPr>
        <w:ind w:left="304" w:right="1959" w:hanging="304"/>
        <w:spacing w:after="0" w:line="258" w:lineRule="auto"/>
        <w:tabs>
          <w:tab w:leader="none" w:pos="304"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Arial" w:cs="Arial" w:eastAsia="Arial" w:hAnsi="Arial"/>
          <w:sz w:val="15"/>
          <w:szCs w:val="15"/>
          <w:color w:val="auto"/>
        </w:rPr>
      </w:pPr>
    </w:p>
    <w:p>
      <w:pPr>
        <w:ind w:left="304" w:right="1959" w:hanging="304"/>
        <w:spacing w:after="0" w:line="258" w:lineRule="auto"/>
        <w:tabs>
          <w:tab w:leader="none" w:pos="304"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sz w:val="20"/>
          <w:szCs w:val="20"/>
          <w:color w:val="auto"/>
        </w:rPr>
      </w:pPr>
    </w:p>
    <w:p>
      <w:pPr>
        <w:ind w:left="304" w:right="2059" w:hanging="304"/>
        <w:spacing w:after="0" w:line="286" w:lineRule="auto"/>
        <w:tabs>
          <w:tab w:leader="none" w:pos="3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4"/>
          <w:szCs w:val="14"/>
          <w:color w:val="auto"/>
        </w:rPr>
      </w:pPr>
    </w:p>
    <w:p>
      <w:pPr>
        <w:ind w:left="304" w:right="2159" w:hanging="304"/>
        <w:spacing w:after="0" w:line="286" w:lineRule="auto"/>
        <w:tabs>
          <w:tab w:leader="none" w:pos="3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4"/>
          <w:szCs w:val="14"/>
          <w:color w:val="auto"/>
        </w:rPr>
      </w:pPr>
    </w:p>
    <w:p>
      <w:pPr>
        <w:ind w:left="304" w:right="1999" w:hanging="304"/>
        <w:spacing w:after="0" w:line="258" w:lineRule="auto"/>
        <w:tabs>
          <w:tab w:leader="none" w:pos="304" w:val="left"/>
        </w:tabs>
        <w:numPr>
          <w:ilvl w:val="0"/>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Arial" w:cs="Arial" w:eastAsia="Arial" w:hAnsi="Arial"/>
          <w:sz w:val="15"/>
          <w:szCs w:val="15"/>
          <w:color w:val="auto"/>
        </w:rPr>
      </w:pPr>
    </w:p>
    <w:p>
      <w:pPr>
        <w:ind w:left="304" w:right="1959" w:hanging="304"/>
        <w:spacing w:after="0" w:line="286" w:lineRule="auto"/>
        <w:tabs>
          <w:tab w:leader="none" w:pos="3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sz w:val="20"/>
          <w:szCs w:val="20"/>
          <w:color w:val="auto"/>
        </w:rPr>
      </w:pPr>
    </w:p>
    <w:p>
      <w:pPr>
        <w:ind w:left="304" w:right="2259" w:hanging="304"/>
        <w:spacing w:after="0" w:line="258" w:lineRule="auto"/>
        <w:tabs>
          <w:tab w:leader="none" w:pos="304"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01" w:lineRule="exact"/>
        <w:rPr>
          <w:sz w:val="20"/>
          <w:szCs w:val="20"/>
          <w:color w:val="auto"/>
        </w:rPr>
      </w:pPr>
    </w:p>
    <w:p>
      <w:pPr>
        <w:ind w:left="304" w:right="2039" w:hanging="304"/>
        <w:spacing w:after="0" w:line="258" w:lineRule="auto"/>
        <w:tabs>
          <w:tab w:leader="none" w:pos="304" w:val="left"/>
        </w:tabs>
        <w:numPr>
          <w:ilvl w:val="0"/>
          <w:numId w:val="2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Arial" w:cs="Arial" w:eastAsia="Arial" w:hAnsi="Arial"/>
          <w:sz w:val="15"/>
          <w:szCs w:val="15"/>
          <w:color w:val="auto"/>
        </w:rPr>
      </w:pPr>
    </w:p>
    <w:p>
      <w:pPr>
        <w:ind w:left="304" w:right="2059" w:hanging="304"/>
        <w:spacing w:after="0" w:line="269" w:lineRule="auto"/>
        <w:tabs>
          <w:tab w:leader="none" w:pos="304"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5"/>
          <w:szCs w:val="15"/>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178943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8" w:lineRule="exact"/>
        <w:rPr>
          <w:sz w:val="20"/>
          <w:szCs w:val="20"/>
          <w:color w:val="auto"/>
        </w:rPr>
      </w:pPr>
    </w:p>
    <w:p>
      <w:pPr>
        <w:ind w:left="4"/>
        <w:spacing w:after="0"/>
        <w:rPr>
          <w:sz w:val="20"/>
          <w:szCs w:val="20"/>
          <w:color w:val="auto"/>
        </w:rPr>
      </w:pPr>
      <w:r>
        <w:rPr>
          <w:rFonts w:ascii="Arial" w:cs="Arial" w:eastAsia="Arial" w:hAnsi="Arial"/>
          <w:sz w:val="15"/>
          <w:szCs w:val="15"/>
          <w:color w:val="auto"/>
        </w:rPr>
        <w:t>Brian M. Posner</w:t>
      </w:r>
    </w:p>
    <w:p>
      <w:pPr>
        <w:spacing w:after="0" w:line="16" w:lineRule="exact"/>
        <w:rPr>
          <w:sz w:val="20"/>
          <w:szCs w:val="20"/>
          <w:color w:val="auto"/>
        </w:rPr>
      </w:pPr>
    </w:p>
    <w:p>
      <w:pPr>
        <w:ind w:left="4"/>
        <w:spacing w:after="0"/>
        <w:rPr>
          <w:sz w:val="20"/>
          <w:szCs w:val="20"/>
          <w:color w:val="auto"/>
        </w:rPr>
      </w:pPr>
      <w:r>
        <w:rPr>
          <w:rFonts w:ascii="Arial" w:cs="Arial" w:eastAsia="Arial" w:hAnsi="Arial"/>
          <w:sz w:val="15"/>
          <w:szCs w:val="15"/>
          <w:i w:val="1"/>
          <w:iCs w:val="1"/>
          <w:color w:val="auto"/>
        </w:rPr>
        <w:t>Chief Financial Officer</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5"/>
          <w:szCs w:val="15"/>
          <w:color w:val="auto"/>
        </w:rPr>
        <w:t>Date: September 9, 2011</w:t>
      </w:r>
    </w:p>
    <w:p>
      <w:pPr>
        <w:sectPr>
          <w:pgSz w:w="11900" w:h="16838" w:orient="portrait"/>
          <w:cols w:equalWidth="0" w:num="1">
            <w:col w:w="9963"/>
          </w:cols>
          <w:pgMar w:left="496" w:top="125" w:right="1440" w:bottom="1440" w:gutter="0" w:footer="0" w:header="0"/>
        </w:sectPr>
      </w:pPr>
    </w:p>
    <w:bookmarkStart w:id="35" w:name="page36"/>
    <w:bookmarkEnd w:id="35"/>
    <w:p>
      <w:pPr>
        <w:jc w:val="right"/>
        <w:ind w:right="1939"/>
        <w:spacing w:after="0"/>
        <w:rPr>
          <w:sz w:val="20"/>
          <w:szCs w:val="20"/>
          <w:color w:val="auto"/>
        </w:rPr>
      </w:pPr>
      <w:r>
        <w:rPr>
          <w:rFonts w:ascii="Arial" w:cs="Arial" w:eastAsia="Arial" w:hAnsi="Arial"/>
          <w:sz w:val="15"/>
          <w:szCs w:val="15"/>
          <w:b w:val="1"/>
          <w:bCs w:val="1"/>
          <w:color w:val="auto"/>
        </w:rPr>
        <w:t>Exhibit 32.1</w:t>
      </w:r>
    </w:p>
    <w:p>
      <w:pPr>
        <w:spacing w:after="0" w:line="151" w:lineRule="exact"/>
        <w:rPr>
          <w:sz w:val="20"/>
          <w:szCs w:val="20"/>
          <w:color w:val="auto"/>
        </w:rPr>
      </w:pPr>
    </w:p>
    <w:p>
      <w:pPr>
        <w:jc w:val="center"/>
        <w:ind w:right="1936"/>
        <w:spacing w:after="0"/>
        <w:rPr>
          <w:sz w:val="20"/>
          <w:szCs w:val="20"/>
          <w:color w:val="auto"/>
        </w:rPr>
      </w:pPr>
      <w:r>
        <w:rPr>
          <w:rFonts w:ascii="Arial" w:cs="Arial" w:eastAsia="Arial" w:hAnsi="Arial"/>
          <w:sz w:val="15"/>
          <w:szCs w:val="15"/>
          <w:b w:val="1"/>
          <w:bCs w:val="1"/>
          <w:color w:val="auto"/>
        </w:rPr>
        <w:t>CERTIFICATION PURSUANT TO 18 U.S.C. SECTION 1350,</w:t>
      </w:r>
    </w:p>
    <w:p>
      <w:pPr>
        <w:spacing w:after="0" w:line="20" w:lineRule="exact"/>
        <w:rPr>
          <w:sz w:val="20"/>
          <w:szCs w:val="20"/>
          <w:color w:val="auto"/>
        </w:rPr>
      </w:pPr>
    </w:p>
    <w:p>
      <w:pPr>
        <w:jc w:val="center"/>
        <w:ind w:right="1936"/>
        <w:spacing w:after="0"/>
        <w:rPr>
          <w:sz w:val="20"/>
          <w:szCs w:val="20"/>
          <w:color w:val="auto"/>
        </w:rPr>
      </w:pPr>
      <w:r>
        <w:rPr>
          <w:rFonts w:ascii="Arial" w:cs="Arial" w:eastAsia="Arial" w:hAnsi="Arial"/>
          <w:sz w:val="15"/>
          <w:szCs w:val="15"/>
          <w:b w:val="1"/>
          <w:bCs w:val="1"/>
          <w:color w:val="auto"/>
        </w:rPr>
        <w:t>AS ADOPTED PURSUANT TO</w:t>
      </w:r>
    </w:p>
    <w:p>
      <w:pPr>
        <w:spacing w:after="0" w:line="6" w:lineRule="exact"/>
        <w:rPr>
          <w:sz w:val="20"/>
          <w:szCs w:val="20"/>
          <w:color w:val="auto"/>
        </w:rPr>
      </w:pPr>
    </w:p>
    <w:p>
      <w:pPr>
        <w:jc w:val="center"/>
        <w:ind w:right="1936"/>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52" w:lineRule="exact"/>
        <w:rPr>
          <w:sz w:val="20"/>
          <w:szCs w:val="20"/>
          <w:color w:val="auto"/>
        </w:rPr>
      </w:pPr>
    </w:p>
    <w:p>
      <w:pPr>
        <w:ind w:left="4" w:right="2159"/>
        <w:spacing w:after="0" w:line="317" w:lineRule="auto"/>
        <w:rPr>
          <w:sz w:val="20"/>
          <w:szCs w:val="20"/>
          <w:color w:val="auto"/>
        </w:rPr>
      </w:pPr>
      <w:r>
        <w:rPr>
          <w:rFonts w:ascii="Arial" w:cs="Arial" w:eastAsia="Arial" w:hAnsi="Arial"/>
          <w:sz w:val="13"/>
          <w:szCs w:val="13"/>
          <w:color w:val="auto"/>
        </w:rPr>
        <w:t>In connection with the Quarterly Report on Form 10-Q of Ocean Power Technologies, Inc. (the “Company”) for the period ended July 31, 2011, as filed with the Securities and Exchange Commission on the date hereof (the “Report”), the undersigned, Charles F. Dunleavy, Chief Executive Officer of the Company, hereby certifies, pursuant to 18 U.S.C. Section 1350, that:</w:t>
      </w:r>
    </w:p>
    <w:p>
      <w:pPr>
        <w:spacing w:after="0" w:line="87" w:lineRule="exact"/>
        <w:rPr>
          <w:sz w:val="20"/>
          <w:szCs w:val="20"/>
          <w:color w:val="auto"/>
        </w:rPr>
      </w:pPr>
    </w:p>
    <w:p>
      <w:pPr>
        <w:ind w:left="304" w:right="2059" w:hanging="304"/>
        <w:spacing w:after="0" w:line="269" w:lineRule="auto"/>
        <w:tabs>
          <w:tab w:leader="none" w:pos="304"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92" w:lineRule="exact"/>
        <w:rPr>
          <w:rFonts w:ascii="Arial" w:cs="Arial" w:eastAsia="Arial" w:hAnsi="Arial"/>
          <w:sz w:val="15"/>
          <w:szCs w:val="15"/>
          <w:color w:val="auto"/>
        </w:rPr>
      </w:pPr>
    </w:p>
    <w:p>
      <w:pPr>
        <w:ind w:left="304" w:right="2059" w:hanging="304"/>
        <w:spacing w:after="0" w:line="269" w:lineRule="auto"/>
        <w:tabs>
          <w:tab w:leader="none" w:pos="304"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5"/>
          <w:szCs w:val="15"/>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178943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8" w:lineRule="exact"/>
        <w:rPr>
          <w:sz w:val="20"/>
          <w:szCs w:val="20"/>
          <w:color w:val="auto"/>
        </w:rPr>
      </w:pPr>
    </w:p>
    <w:p>
      <w:pPr>
        <w:ind w:left="4"/>
        <w:spacing w:after="0"/>
        <w:rPr>
          <w:sz w:val="20"/>
          <w:szCs w:val="20"/>
          <w:color w:val="auto"/>
        </w:rPr>
      </w:pPr>
      <w:r>
        <w:rPr>
          <w:rFonts w:ascii="Arial" w:cs="Arial" w:eastAsia="Arial" w:hAnsi="Arial"/>
          <w:sz w:val="15"/>
          <w:szCs w:val="15"/>
          <w:color w:val="auto"/>
        </w:rPr>
        <w:t>Charles F. Dunleavy</w:t>
      </w:r>
    </w:p>
    <w:p>
      <w:pPr>
        <w:spacing w:after="0" w:line="16" w:lineRule="exact"/>
        <w:rPr>
          <w:sz w:val="20"/>
          <w:szCs w:val="20"/>
          <w:color w:val="auto"/>
        </w:rPr>
      </w:pPr>
    </w:p>
    <w:p>
      <w:pPr>
        <w:ind w:left="4"/>
        <w:spacing w:after="0"/>
        <w:rPr>
          <w:sz w:val="20"/>
          <w:szCs w:val="20"/>
          <w:color w:val="auto"/>
        </w:rPr>
      </w:pPr>
      <w:r>
        <w:rPr>
          <w:rFonts w:ascii="Arial" w:cs="Arial" w:eastAsia="Arial" w:hAnsi="Arial"/>
          <w:sz w:val="15"/>
          <w:szCs w:val="15"/>
          <w:i w:val="1"/>
          <w:iCs w:val="1"/>
          <w:color w:val="auto"/>
        </w:rPr>
        <w:t>Chief Executive Officer</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5"/>
          <w:szCs w:val="15"/>
          <w:color w:val="auto"/>
        </w:rPr>
        <w:t>Date: September 9, 2011</w:t>
      </w:r>
    </w:p>
    <w:p>
      <w:pPr>
        <w:sectPr>
          <w:pgSz w:w="11900" w:h="16838" w:orient="portrait"/>
          <w:cols w:equalWidth="0" w:num="1">
            <w:col w:w="9963"/>
          </w:cols>
          <w:pgMar w:left="496" w:top="125" w:right="1440" w:bottom="1440" w:gutter="0" w:footer="0" w:header="0"/>
        </w:sectPr>
      </w:pPr>
    </w:p>
    <w:bookmarkStart w:id="36" w:name="page37"/>
    <w:bookmarkEnd w:id="36"/>
    <w:p>
      <w:pPr>
        <w:jc w:val="right"/>
        <w:ind w:right="1939"/>
        <w:spacing w:after="0"/>
        <w:rPr>
          <w:sz w:val="20"/>
          <w:szCs w:val="20"/>
          <w:color w:val="auto"/>
        </w:rPr>
      </w:pPr>
      <w:r>
        <w:rPr>
          <w:rFonts w:ascii="Arial" w:cs="Arial" w:eastAsia="Arial" w:hAnsi="Arial"/>
          <w:sz w:val="15"/>
          <w:szCs w:val="15"/>
          <w:b w:val="1"/>
          <w:bCs w:val="1"/>
          <w:color w:val="auto"/>
        </w:rPr>
        <w:t>Exhibit 32.2</w:t>
      </w:r>
    </w:p>
    <w:p>
      <w:pPr>
        <w:spacing w:after="0" w:line="151" w:lineRule="exact"/>
        <w:rPr>
          <w:sz w:val="20"/>
          <w:szCs w:val="20"/>
          <w:color w:val="auto"/>
        </w:rPr>
      </w:pPr>
    </w:p>
    <w:p>
      <w:pPr>
        <w:jc w:val="center"/>
        <w:ind w:right="1936"/>
        <w:spacing w:after="0"/>
        <w:rPr>
          <w:sz w:val="20"/>
          <w:szCs w:val="20"/>
          <w:color w:val="auto"/>
        </w:rPr>
      </w:pPr>
      <w:r>
        <w:rPr>
          <w:rFonts w:ascii="Arial" w:cs="Arial" w:eastAsia="Arial" w:hAnsi="Arial"/>
          <w:sz w:val="15"/>
          <w:szCs w:val="15"/>
          <w:b w:val="1"/>
          <w:bCs w:val="1"/>
          <w:color w:val="auto"/>
        </w:rPr>
        <w:t>CERTIFICATION PURSUANT TO 18 U.S.C. SECTION 1350,</w:t>
      </w:r>
    </w:p>
    <w:p>
      <w:pPr>
        <w:spacing w:after="0" w:line="20" w:lineRule="exact"/>
        <w:rPr>
          <w:sz w:val="20"/>
          <w:szCs w:val="20"/>
          <w:color w:val="auto"/>
        </w:rPr>
      </w:pPr>
    </w:p>
    <w:p>
      <w:pPr>
        <w:jc w:val="center"/>
        <w:ind w:right="1936"/>
        <w:spacing w:after="0"/>
        <w:rPr>
          <w:sz w:val="20"/>
          <w:szCs w:val="20"/>
          <w:color w:val="auto"/>
        </w:rPr>
      </w:pPr>
      <w:r>
        <w:rPr>
          <w:rFonts w:ascii="Arial" w:cs="Arial" w:eastAsia="Arial" w:hAnsi="Arial"/>
          <w:sz w:val="15"/>
          <w:szCs w:val="15"/>
          <w:b w:val="1"/>
          <w:bCs w:val="1"/>
          <w:color w:val="auto"/>
        </w:rPr>
        <w:t>AS ADOPTED PURSUANT TO</w:t>
      </w:r>
    </w:p>
    <w:p>
      <w:pPr>
        <w:spacing w:after="0" w:line="6" w:lineRule="exact"/>
        <w:rPr>
          <w:sz w:val="20"/>
          <w:szCs w:val="20"/>
          <w:color w:val="auto"/>
        </w:rPr>
      </w:pPr>
    </w:p>
    <w:p>
      <w:pPr>
        <w:jc w:val="center"/>
        <w:ind w:right="1936"/>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52" w:lineRule="exact"/>
        <w:rPr>
          <w:sz w:val="20"/>
          <w:szCs w:val="20"/>
          <w:color w:val="auto"/>
        </w:rPr>
      </w:pPr>
    </w:p>
    <w:p>
      <w:pPr>
        <w:jc w:val="both"/>
        <w:ind w:left="4" w:right="2239"/>
        <w:spacing w:after="0" w:line="317" w:lineRule="auto"/>
        <w:rPr>
          <w:sz w:val="20"/>
          <w:szCs w:val="20"/>
          <w:color w:val="auto"/>
        </w:rPr>
      </w:pPr>
      <w:r>
        <w:rPr>
          <w:rFonts w:ascii="Arial" w:cs="Arial" w:eastAsia="Arial" w:hAnsi="Arial"/>
          <w:sz w:val="13"/>
          <w:szCs w:val="13"/>
          <w:color w:val="auto"/>
        </w:rPr>
        <w:t>In connection with the Quarterly Report on Form 10-Q of Ocean Power Technologies, Inc. (the “Company”) for the period ended July 31, 2011, as filed with the Securities and Exchange Commission on the date hereof (the “Report”), the undersigned, Brian M. Posner, Chief Financial Officer of the Company, hereby certifies, pursuant to 18 U.S.C. Section 1350, that:</w:t>
      </w:r>
    </w:p>
    <w:p>
      <w:pPr>
        <w:spacing w:after="0" w:line="87" w:lineRule="exact"/>
        <w:rPr>
          <w:sz w:val="20"/>
          <w:szCs w:val="20"/>
          <w:color w:val="auto"/>
        </w:rPr>
      </w:pPr>
    </w:p>
    <w:p>
      <w:pPr>
        <w:ind w:left="304" w:right="2059" w:hanging="304"/>
        <w:spacing w:after="0" w:line="269" w:lineRule="auto"/>
        <w:tabs>
          <w:tab w:leader="none" w:pos="304"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92" w:lineRule="exact"/>
        <w:rPr>
          <w:rFonts w:ascii="Arial" w:cs="Arial" w:eastAsia="Arial" w:hAnsi="Arial"/>
          <w:sz w:val="15"/>
          <w:szCs w:val="15"/>
          <w:color w:val="auto"/>
        </w:rPr>
      </w:pPr>
    </w:p>
    <w:p>
      <w:pPr>
        <w:ind w:left="304" w:right="2059" w:hanging="304"/>
        <w:spacing w:after="0" w:line="269" w:lineRule="auto"/>
        <w:tabs>
          <w:tab w:leader="none" w:pos="304"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5"/>
          <w:szCs w:val="15"/>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178943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8" w:lineRule="exact"/>
        <w:rPr>
          <w:sz w:val="20"/>
          <w:szCs w:val="20"/>
          <w:color w:val="auto"/>
        </w:rPr>
      </w:pPr>
    </w:p>
    <w:p>
      <w:pPr>
        <w:ind w:left="4"/>
        <w:spacing w:after="0"/>
        <w:rPr>
          <w:sz w:val="20"/>
          <w:szCs w:val="20"/>
          <w:color w:val="auto"/>
        </w:rPr>
      </w:pPr>
      <w:r>
        <w:rPr>
          <w:rFonts w:ascii="Arial" w:cs="Arial" w:eastAsia="Arial" w:hAnsi="Arial"/>
          <w:sz w:val="15"/>
          <w:szCs w:val="15"/>
          <w:color w:val="auto"/>
        </w:rPr>
        <w:t>Brian M. Posner</w:t>
      </w:r>
    </w:p>
    <w:p>
      <w:pPr>
        <w:spacing w:after="0" w:line="16" w:lineRule="exact"/>
        <w:rPr>
          <w:sz w:val="20"/>
          <w:szCs w:val="20"/>
          <w:color w:val="auto"/>
        </w:rPr>
      </w:pPr>
    </w:p>
    <w:p>
      <w:pPr>
        <w:ind w:left="4"/>
        <w:spacing w:after="0"/>
        <w:rPr>
          <w:sz w:val="20"/>
          <w:szCs w:val="20"/>
          <w:color w:val="auto"/>
        </w:rPr>
      </w:pPr>
      <w:r>
        <w:rPr>
          <w:rFonts w:ascii="Arial" w:cs="Arial" w:eastAsia="Arial" w:hAnsi="Arial"/>
          <w:sz w:val="15"/>
          <w:szCs w:val="15"/>
          <w:i w:val="1"/>
          <w:iCs w:val="1"/>
          <w:color w:val="auto"/>
        </w:rPr>
        <w:t>Chief Financial Officer</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5"/>
          <w:szCs w:val="15"/>
          <w:color w:val="auto"/>
        </w:rPr>
        <w:t>Date: September 9, 2011</w:t>
      </w:r>
    </w:p>
    <w:sectPr>
      <w:pgSz w:w="11900" w:h="16838" w:orient="portrait"/>
      <w:cols w:equalWidth="0" w:num="1">
        <w:col w:w="9963"/>
      </w:cols>
      <w:pgMar w:left="496"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0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0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2019-12-11T03:43:05Z</dcterms:created>
  <dcterms:modified xsi:type="dcterms:W3CDTF">2019-12-11T03:43:05Z</dcterms:modified>
</cp:coreProperties>
</file>