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ind w:left="340" w:right="2120" w:hanging="332"/>
        <w:spacing w:after="0" w:line="500"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April 30, 2021</w:t>
      </w:r>
    </w:p>
    <w:p>
      <w:pPr>
        <w:sectPr>
          <w:pgSz w:w="11900" w:h="16838" w:orient="portrait"/>
          <w:cols w:equalWidth="0" w:num="1">
            <w:col w:w="11240"/>
          </w:cols>
          <w:pgMar w:left="320" w:top="746" w:right="339" w:bottom="0" w:gutter="0" w:footer="0" w:header="0"/>
        </w:sect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 w:lineRule="exact"/>
        <w:rPr>
          <w:sz w:val="24"/>
          <w:szCs w:val="24"/>
          <w:color w:val="auto"/>
        </w:rPr>
      </w:pPr>
      <w:r>
        <w:rPr>
          <w:sz w:val="24"/>
          <w:szCs w:val="24"/>
          <w:color w:val="auto"/>
        </w:rPr>
        <w:br w:type="column"/>
      </w:r>
    </w:p>
    <w:p>
      <w:pPr>
        <w:ind w:left="536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2660" w:val="left"/>
          <w:tab w:leader="none" w:pos="3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0" w:lineRule="exact"/>
        <w:rPr>
          <w:sz w:val="24"/>
          <w:szCs w:val="24"/>
          <w:color w:val="auto"/>
        </w:rPr>
      </w:pPr>
    </w:p>
    <w:p>
      <w:pPr>
        <w:sectPr>
          <w:pgSz w:w="11900" w:h="16838" w:orient="portrait"/>
          <w:cols w:equalWidth="0" w:num="2">
            <w:col w:w="220" w:space="120"/>
            <w:col w:w="10900"/>
          </w:cols>
          <w:pgMar w:left="320" w:top="746" w:right="339" w:bottom="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Ocean Power Technologies, Inc.</w:t>
      </w:r>
    </w:p>
    <w:p>
      <w:pPr>
        <w:sectPr>
          <w:pgSz w:w="11900" w:h="16838" w:orient="portrait"/>
          <w:cols w:equalWidth="0" w:num="1">
            <w:col w:w="11240"/>
          </w:cols>
          <w:pgMar w:left="320" w:top="746" w:right="339" w:bottom="0" w:gutter="0" w:footer="0" w:header="0"/>
          <w:type w:val="continuous"/>
        </w:sectPr>
      </w:pPr>
    </w:p>
    <w:p>
      <w:pPr>
        <w:spacing w:after="0" w:line="281"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66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6" w:right="33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 ENGELHARD DRIVE, SUITE B</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MONROE TOWNSHIP, NJ 08831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(609) 730-0400</w:t>
      </w:r>
    </w:p>
    <w:p>
      <w:pPr>
        <w:spacing w:after="0" w:line="22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p>
      <w:pPr>
        <w:ind w:left="2040"/>
        <w:spacing w:after="0"/>
        <w:tabs>
          <w:tab w:leader="none" w:pos="692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6"/>
          <w:szCs w:val="16"/>
          <w:b w:val="1"/>
          <w:bCs w:val="1"/>
          <w:color w:val="auto"/>
        </w:rPr>
        <w:t>Name of Exchange on Which Registered</w:t>
      </w:r>
    </w:p>
    <w:p>
      <w:pPr>
        <w:spacing w:after="0" w:line="27" w:lineRule="exact"/>
        <w:rPr>
          <w:sz w:val="24"/>
          <w:szCs w:val="24"/>
          <w:color w:val="auto"/>
        </w:rPr>
      </w:pPr>
    </w:p>
    <w:p>
      <w:pPr>
        <w:ind w:left="1560"/>
        <w:spacing w:after="0"/>
        <w:tabs>
          <w:tab w:leader="none" w:pos="7860" w:val="left"/>
        </w:tabs>
        <w:rPr>
          <w:sz w:val="20"/>
          <w:szCs w:val="20"/>
          <w:color w:val="auto"/>
        </w:rPr>
      </w:pPr>
      <w:r>
        <w:rPr>
          <w:rFonts w:ascii="Arial" w:cs="Arial" w:eastAsia="Arial" w:hAnsi="Arial"/>
          <w:sz w:val="18"/>
          <w:szCs w:val="18"/>
          <w:color w:val="auto"/>
        </w:rPr>
        <w:t>Common Stock, par value $0.001</w:t>
      </w:r>
      <w:r>
        <w:rPr>
          <w:sz w:val="20"/>
          <w:szCs w:val="20"/>
          <w:color w:val="auto"/>
        </w:rPr>
        <w:tab/>
      </w:r>
      <w:r>
        <w:rPr>
          <w:rFonts w:ascii="Arial" w:cs="Arial" w:eastAsia="Arial" w:hAnsi="Arial"/>
          <w:sz w:val="16"/>
          <w:szCs w:val="16"/>
          <w:color w:val="auto"/>
        </w:rPr>
        <w:t>NYSE American</w:t>
      </w:r>
    </w:p>
    <w:p>
      <w:pPr>
        <w:sectPr>
          <w:pgSz w:w="11900" w:h="16838" w:orient="portrait"/>
          <w:cols w:equalWidth="0" w:num="1">
            <w:col w:w="11240"/>
          </w:cols>
          <w:pgMar w:left="320" w:top="746" w:right="339" w:bottom="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0" w:gutter="0" w:footer="0" w:header="0"/>
          <w:type w:val="continuous"/>
        </w:sectPr>
      </w:pP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right"/>
        <w:spacing w:after="0" w:line="342" w:lineRule="auto"/>
        <w:rPr>
          <w:sz w:val="20"/>
          <w:szCs w:val="20"/>
          <w:color w:val="auto"/>
        </w:rPr>
      </w:pPr>
      <w:r>
        <w:rPr>
          <w:rFonts w:ascii="Arial" w:cs="Arial" w:eastAsia="Arial" w:hAnsi="Arial"/>
          <w:sz w:val="16"/>
          <w:szCs w:val="16"/>
          <w:color w:val="auto"/>
        </w:rPr>
        <w:t>Smaller reporting company [X] Emerging growth company [</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4"/>
          <w:szCs w:val="24"/>
          <w:color w:val="auto"/>
        </w:rPr>
      </w:pPr>
    </w:p>
    <w:p>
      <w:pPr>
        <w:sectPr>
          <w:pgSz w:w="11900" w:h="16838" w:orient="portrait"/>
          <w:cols w:equalWidth="0" w:num="5">
            <w:col w:w="2100" w:space="720"/>
            <w:col w:w="1540" w:space="720"/>
            <w:col w:w="2080" w:space="720"/>
            <w:col w:w="2260" w:space="80"/>
            <w:col w:w="1020"/>
          </w:cols>
          <w:pgMar w:left="320" w:top="746" w:right="339" w:bottom="0" w:gutter="0" w:footer="0" w:header="0"/>
          <w:type w:val="continuous"/>
        </w:sect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2020, the last business day of the registrant’s most recently completed second fiscal quarter, was $40.8 million based on the closing sale price of the registrant’s common stock on that date as reported on the Nasdaq Capital Market.</w:t>
      </w:r>
    </w:p>
    <w:p>
      <w:pPr>
        <w:sectPr>
          <w:pgSz w:w="11900" w:h="16838" w:orient="portrait"/>
          <w:cols w:equalWidth="0" w:num="1">
            <w:col w:w="11240"/>
          </w:cols>
          <w:pgMar w:left="320" w:top="746"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registrant’s common stock as of July 15, 2021 was 52,458,011.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rPr>
              <w:t>OCEAN POWER TECHNOLOGIES, INC.</w:t>
            </w:r>
          </w:p>
        </w:tc>
        <w:tc>
          <w:tcPr>
            <w:tcW w:w="6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9"/>
          </w:tcPr>
          <w:p>
            <w:pPr>
              <w:jc w:val="center"/>
              <w:ind w:right="3360"/>
              <w:spacing w:after="0"/>
              <w:rPr>
                <w:sz w:val="20"/>
                <w:szCs w:val="20"/>
                <w:color w:val="auto"/>
              </w:rPr>
            </w:pPr>
            <w:r>
              <w:rPr>
                <w:rFonts w:ascii="Arial" w:cs="Arial" w:eastAsia="Arial" w:hAnsi="Arial"/>
                <w:sz w:val="18"/>
                <w:szCs w:val="18"/>
                <w:b w:val="1"/>
                <w:bCs w:val="1"/>
                <w:color w:val="auto"/>
                <w:w w:val="99"/>
              </w:rPr>
              <w:t>ANNUAL REPORT ON FORM 10-K</w:t>
            </w:r>
          </w:p>
        </w:tc>
        <w:tc>
          <w:tcPr>
            <w:tcW w:w="6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80" w:type="dxa"/>
            <w:vAlign w:val="bottom"/>
            <w:gridSpan w:val="8"/>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r>
      <w:tr>
        <w:trPr>
          <w:trHeight w:val="453"/>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6"/>
        </w:trPr>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50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220" w:type="dxa"/>
            <w:vAlign w:val="bottom"/>
          </w:tcPr>
          <w:p>
            <w:pPr>
              <w:spacing w:after="0"/>
              <w:rPr>
                <w:sz w:val="15"/>
                <w:szCs w:val="15"/>
                <w:color w:val="auto"/>
              </w:rPr>
            </w:pPr>
          </w:p>
        </w:tc>
        <w:tc>
          <w:tcPr>
            <w:tcW w:w="9500" w:type="dxa"/>
            <w:vAlign w:val="bottom"/>
            <w:gridSpan w:val="2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220" w:type="dxa"/>
            <w:vAlign w:val="bottom"/>
            <w:shd w:val="clear" w:color="auto" w:fill="CCEEFF"/>
          </w:tcPr>
          <w:p>
            <w:pPr>
              <w:spacing w:after="0"/>
              <w:rPr>
                <w:sz w:val="15"/>
                <w:szCs w:val="15"/>
                <w:color w:val="auto"/>
              </w:rPr>
            </w:pPr>
          </w:p>
        </w:tc>
        <w:tc>
          <w:tcPr>
            <w:tcW w:w="9500" w:type="dxa"/>
            <w:vAlign w:val="bottom"/>
            <w:gridSpan w:val="23"/>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220" w:type="dxa"/>
            <w:vAlign w:val="bottom"/>
          </w:tcPr>
          <w:p>
            <w:pPr>
              <w:spacing w:after="0"/>
              <w:rPr>
                <w:sz w:val="15"/>
                <w:szCs w:val="15"/>
                <w:color w:val="auto"/>
              </w:rPr>
            </w:pPr>
          </w:p>
        </w:tc>
        <w:tc>
          <w:tcPr>
            <w:tcW w:w="9500" w:type="dxa"/>
            <w:vAlign w:val="bottom"/>
            <w:gridSpan w:val="2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876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24"/>
          </w:tcPr>
          <w:p>
            <w:pPr>
              <w:ind w:left="2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20" w:type="dxa"/>
            <w:vAlign w:val="bottom"/>
            <w:gridSpan w:val="24"/>
            <w:shd w:val="clear" w:color="auto" w:fill="CCEEFF"/>
          </w:tcPr>
          <w:p>
            <w:pPr>
              <w:ind w:left="2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88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720" w:type="dxa"/>
            <w:vAlign w:val="bottom"/>
            <w:gridSpan w:val="24"/>
          </w:tcPr>
          <w:p>
            <w:pPr>
              <w:ind w:left="2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2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Financial Data</w:t>
              </w:r>
            </w:hyperlink>
          </w:p>
        </w:tc>
        <w:tc>
          <w:tcPr>
            <w:tcW w:w="77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720" w:type="dxa"/>
            <w:vAlign w:val="bottom"/>
            <w:gridSpan w:val="24"/>
          </w:tcPr>
          <w:p>
            <w:pPr>
              <w:ind w:left="2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2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51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9720" w:type="dxa"/>
            <w:vAlign w:val="bottom"/>
            <w:gridSpan w:val="24"/>
          </w:tcPr>
          <w:p>
            <w:pPr>
              <w:ind w:left="2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22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Changes in and Disagreements with Accountants on Accounting and Financial Disclosure</w:t>
              </w:r>
            </w:hyperlink>
          </w:p>
        </w:tc>
        <w:tc>
          <w:tcPr>
            <w:tcW w:w="302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720" w:type="dxa"/>
            <w:vAlign w:val="bottom"/>
            <w:gridSpan w:val="24"/>
          </w:tcPr>
          <w:p>
            <w:pPr>
              <w:ind w:left="2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720" w:type="dxa"/>
            <w:vAlign w:val="bottom"/>
            <w:gridSpan w:val="24"/>
            <w:shd w:val="clear" w:color="auto" w:fill="CCEEFF"/>
          </w:tcPr>
          <w:p>
            <w:pPr>
              <w:ind w:left="2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50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III</w:t>
              </w:r>
            </w:hyperlink>
          </w:p>
        </w:tc>
        <w:tc>
          <w:tcPr>
            <w:tcW w:w="64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220" w:type="dxa"/>
            <w:vAlign w:val="bottom"/>
          </w:tcPr>
          <w:p>
            <w:pPr>
              <w:spacing w:after="0"/>
              <w:rPr>
                <w:sz w:val="15"/>
                <w:szCs w:val="15"/>
                <w:color w:val="auto"/>
              </w:rPr>
            </w:pPr>
          </w:p>
        </w:tc>
        <w:tc>
          <w:tcPr>
            <w:tcW w:w="9500" w:type="dxa"/>
            <w:vAlign w:val="bottom"/>
            <w:gridSpan w:val="23"/>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Directors, Executive Officers and Corporate Governance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220" w:type="dxa"/>
            <w:vAlign w:val="bottom"/>
            <w:shd w:val="clear" w:color="auto" w:fill="CCEEFF"/>
          </w:tcPr>
          <w:p>
            <w:pPr>
              <w:spacing w:after="0"/>
              <w:rPr>
                <w:sz w:val="15"/>
                <w:szCs w:val="15"/>
                <w:color w:val="auto"/>
              </w:rPr>
            </w:pPr>
          </w:p>
        </w:tc>
        <w:tc>
          <w:tcPr>
            <w:tcW w:w="9500" w:type="dxa"/>
            <w:vAlign w:val="bottom"/>
            <w:gridSpan w:val="23"/>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220" w:type="dxa"/>
            <w:vAlign w:val="bottom"/>
          </w:tcPr>
          <w:p>
            <w:pPr>
              <w:spacing w:after="0"/>
              <w:rPr>
                <w:sz w:val="15"/>
                <w:szCs w:val="15"/>
                <w:color w:val="auto"/>
              </w:rPr>
            </w:pPr>
          </w:p>
        </w:tc>
        <w:tc>
          <w:tcPr>
            <w:tcW w:w="9500" w:type="dxa"/>
            <w:vAlign w:val="bottom"/>
            <w:gridSpan w:val="23"/>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2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Certain Relationships and Related Transactions, and Director Independence</w:t>
              </w:r>
            </w:hyperlink>
          </w:p>
        </w:tc>
        <w:tc>
          <w:tcPr>
            <w:tcW w:w="40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720" w:type="dxa"/>
            <w:vAlign w:val="bottom"/>
            <w:gridSpan w:val="24"/>
          </w:tcPr>
          <w:p>
            <w:pPr>
              <w:ind w:left="2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Principal Accountant Fees and Services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80" w:type="dxa"/>
            <w:vAlign w:val="bottom"/>
          </w:tcPr>
          <w:p>
            <w:pPr>
              <w:spacing w:after="0"/>
              <w:rPr>
                <w:sz w:val="15"/>
                <w:szCs w:val="15"/>
                <w:color w:val="auto"/>
              </w:rPr>
            </w:pPr>
          </w:p>
        </w:tc>
        <w:tc>
          <w:tcPr>
            <w:tcW w:w="9720" w:type="dxa"/>
            <w:vAlign w:val="bottom"/>
            <w:gridSpan w:val="24"/>
          </w:tcPr>
          <w:p>
            <w:pPr>
              <w:ind w:left="220"/>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720" w:type="dxa"/>
            <w:vAlign w:val="bottom"/>
            <w:gridSpan w:val="24"/>
            <w:shd w:val="clear" w:color="auto" w:fill="CCEEFF"/>
          </w:tcPr>
          <w:p>
            <w:pPr>
              <w:ind w:left="2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Exhibits, Financial Statement Schedules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annual report are the property of their respective 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fiscal year begins on May 1 and ends on April 30. When we refer to a particular fiscal year, we are referring to the fiscal year ending on April 30 of that year. References to fiscal 2021 are to the fiscal year ended April 30, 2021. When the term “twelve month ended” is used, this is synonymous with “fiscal year ended.”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indicates otherwise, the terms “Company,” “Ocean Power Technologies,” “OPT,” “we,” “our” or “us” as used herein refers to Ocean Power Technologies Inc. and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 marine power equipment, data solutions and service provider. We control the design, manufacture, sales, installation, operations and maintenance of our solutions and services while working closely with commercial, technical, and other development partners that provide software, controls, mechatronics, sensors, integration services, and marine installation services. We believe our renewable autonomous ocean solutions deliver power and data collection, analysis and communication in remote ocean environments, allowing users to gather actionable intelligence with their ocean jurisdictions. Our mission and purpose are to provide intelligent maritime solutions and services that enable safer and more productive ocean operations for the defense and security, offshore oil and gas, science and research, and offshore wind markets. We achieve this through our proprietary, state-of-the-art technologies that are at the core of our clean and renewable energy platforms upon which we offer our solutions and services.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continue to develop and commercialize our proprietary systems that generate electricity by harnessing the renewable energy of ocean waves for our PowerBuoy® (“PB3”), and solar power for our hybrid PowerBuoy® (the “hybrid”). The PB3 uses proprietary technologies that convert the kinetic energy created by the heaving motion of ocean waves into electricity. Our strategy includes developing complete solutions and services, including cloud-based delivery systems for ocean data and predictive analytics to provide actionable intelligence for our clients. Based on feedback from our current customers, discussions with potential customers in the defense and security, offshore oil and gas, science and research, and offshore wind markets, as well as government applications in fishery protection and protected marine areas, together with our market research and publicly available data, we believe that numerous markets have a direct need for our solutions. Our recent projects have been in the offshore oil and gas and science and research industries. We believe there is an increasing need for our products and services in areas such as fishery protection, offshore windfarm support, and maritime domain awareness applications.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and communications, either by supplying electric power to payloads that are integrated directly with our product or located in its vicinity, such as on the seabed and in the water column. We believe we are the leader in offshore autonomous ocean wave power conversion technology which provides renewable power for offshore operations that were previously logistically problematic and difficult to decarbonize.</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continuing to build upon our mission of connecting the oceans with those who operate and manager the resource in the environment. We do this through our solution offerings, that are based on our proprietary renewable power platforms and engineering skills. Our solutions focus on three major services areas, Data as a Service, supported and enabled by Power as a Service, and underpinned by our Strategic Consulting Services, which we expanded with the acquisition of 3dent Technology, LLC (“3Dent”), in February 2021. Over the course of fiscal 2022, we intend to continue to grow our service sectors and develop, evolve, and strengthen our solutions.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Our Power as a Service segment delivers value to customers by utilizing our managed power platforms, such as the PB3 PowerBuoy® or hybrid PowerBuoy®, and subsea battery for topside and subsea power applications. Our focus for this segment is on bringing autonomous clean power to our customers wherever it is required. On our project with Eni S.p.A. (“Eni”), we utilized our PB3 PowerBuoy®, which </w:t>
      </w:r>
      <w:r>
        <w:rPr>
          <w:rFonts w:ascii="Arial" w:cs="Arial" w:eastAsia="Arial" w:hAnsi="Arial"/>
          <w:sz w:val="17"/>
          <w:szCs w:val="17"/>
          <w:color w:val="333333"/>
        </w:rPr>
        <w:t>operated in the</w:t>
      </w:r>
      <w:r>
        <w:rPr>
          <w:rFonts w:ascii="Arial" w:cs="Arial" w:eastAsia="Arial" w:hAnsi="Arial"/>
          <w:sz w:val="17"/>
          <w:szCs w:val="17"/>
          <w:color w:val="auto"/>
        </w:rPr>
        <w:t xml:space="preserve"> Adriatic Sea </w:t>
      </w:r>
      <w:r>
        <w:rPr>
          <w:rFonts w:ascii="Arial" w:cs="Arial" w:eastAsia="Arial" w:hAnsi="Arial"/>
          <w:sz w:val="17"/>
          <w:szCs w:val="17"/>
          <w:color w:val="333333"/>
        </w:rPr>
        <w:t>for over</w:t>
      </w:r>
      <w:r>
        <w:rPr>
          <w:rFonts w:ascii="Arial" w:cs="Arial" w:eastAsia="Arial" w:hAnsi="Arial"/>
          <w:sz w:val="17"/>
          <w:szCs w:val="17"/>
          <w:color w:val="auto"/>
        </w:rPr>
        <w:t xml:space="preserve"> </w:t>
      </w:r>
      <w:r>
        <w:rPr>
          <w:rFonts w:ascii="Arial" w:cs="Arial" w:eastAsia="Arial" w:hAnsi="Arial"/>
          <w:sz w:val="17"/>
          <w:szCs w:val="17"/>
          <w:color w:val="333333"/>
        </w:rPr>
        <w:t xml:space="preserve">600 days of continuous operation </w:t>
      </w:r>
      <w:r>
        <w:rPr>
          <w:rFonts w:ascii="Arial" w:cs="Arial" w:eastAsia="Arial" w:hAnsi="Arial"/>
          <w:sz w:val="17"/>
          <w:szCs w:val="17"/>
          <w:color w:val="000000"/>
        </w:rPr>
        <w:t>as part of Eni’s resident autonomous underwater vehicle (“AUV”) feasibility studies. During commercial operations, an</w:t>
      </w:r>
      <w:r>
        <w:rPr>
          <w:rFonts w:ascii="Arial" w:cs="Arial" w:eastAsia="Arial" w:hAnsi="Arial"/>
          <w:sz w:val="17"/>
          <w:szCs w:val="17"/>
          <w:color w:val="333333"/>
        </w:rPr>
        <w:t xml:space="preserve"> </w:t>
      </w:r>
      <w:r>
        <w:rPr>
          <w:rFonts w:ascii="Arial" w:cs="Arial" w:eastAsia="Arial" w:hAnsi="Arial"/>
          <w:sz w:val="17"/>
          <w:szCs w:val="17"/>
          <w:color w:val="000000"/>
        </w:rPr>
        <w:t>AUV would remain on site to perform various inspection, maintenance, and repair tasks. As demonstrated during our project with Eni, our Power solutions generated sufficient power that could, with client assets extend missions for longer durations.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Data as a Service segment is an evolution of the work we did for Premium Oil (now known as Harbour Energy) in the North Sea in 2019. Since then, we have been developing a Maritime Domain Awareness solution (“MDA-S” or “MDA”) to introduce edge computing and artificial intelligence modules that can be delivered to customers via cyber secure cloud environments.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Strategic Consulting Services, materially strengthened by the acquired 3Dent team, focus on delivering value to our customers in the areas of ocean engineering, structural and dynamic analysis, Front End Engineering and Design (“FEED”) studies, and motion simulation. These services can be delivered as part of our broader Power and/or Data as a Service utilizing our solutions or on a standalone basis. In the near term, we are focusing on increasing our market share in the floating offshore wind market and the broader floating foundation design market, as well as our business with offshore oil and gas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ind w:firstLine="648"/>
        <w:spacing w:after="0" w:line="263" w:lineRule="auto"/>
        <w:rPr>
          <w:sz w:val="20"/>
          <w:szCs w:val="20"/>
          <w:color w:val="auto"/>
        </w:rPr>
      </w:pPr>
      <w:r>
        <w:rPr>
          <w:rFonts w:ascii="Arial" w:cs="Arial" w:eastAsia="Arial" w:hAnsi="Arial"/>
          <w:sz w:val="18"/>
          <w:szCs w:val="18"/>
          <w:color w:val="auto"/>
        </w:rPr>
        <w:t>Throughout FY21 we delivered several transactions and projects laying the foundations for our growth in FY22. In February 2021, the Company acquired all the outstanding equity interest of 3Dent, a company based in Houston, Texas, that offers offshore engineering and design services that are complementary to our technology and products and strengthen our Strategic Consulting Services.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November 2020, the Company entered into an agreement with the Offshore Operators Committee (“OOC”) under which the Company will provide engineering and technical services for a new project under the DeepStar Global Technology Consortium Program. This forms part of our Power as a Service offering.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2020, the Company entered into an agreement with Adams Communication &amp; Engineering Technology, Inc. (“ACET”) to conduct a feasibility study for the evaluation of a PB3 power and 5G communications solution in support of the U.S. Navy’s Naval Postgraduate School’s Sea, Land, Air, Military Research Initiative (“SLAMR”). This forms part of our Data as a Service division.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strengthened our balance sheet by raising over $81.0 million of cash through At the Market (“ATM”) and equity line of credit (“ELOC”) programs with Alliance Group Partners (“AGP”) and Aspire Capital (“Aspire”).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incorporated under the laws of the State of New Jersey in April 1984 and began commercial operations in 1994. On April 23, 2007, we reincorporated in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Power Generating Platform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r>
        <w:rPr>
          <w:rFonts w:ascii="Arial" w:cs="Arial" w:eastAsia="Arial" w:hAnsi="Arial"/>
          <w:sz w:val="29"/>
          <w:szCs w:val="29"/>
          <w:color w:val="auto"/>
          <w:vertAlign w:val="superscript"/>
        </w:rPr>
        <w:t>®</w:t>
      </w:r>
    </w:p>
    <w:p>
      <w:pPr>
        <w:spacing w:after="0" w:line="1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PB3 generates electricity by harnessing the renewable energy of ocean waves. The PB3 features a unique onboard power take-off (“PTO”) system, which incorporates both energy storage and energy management and control systems. The PB3 generates a nominal name-plated capacity rating of up to 3 kilowatts (“kW”)of peak power during recharging of the onboard batteries. Power generation is deployment-site dependent. Our standard energy storage system (“ESS”) has an energy capacity of up to a nominal 150 kW-hours to meet specific application requirements.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PB3 is designed to generate power for use independent of the power grid in remote offshore locations. The hull consists of a main spar structure loosely moored to the seabed and surrounded by a floating annular structure that can freely move up and down in response to the passage of the waves. The PTO system includes a mechanical actuating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 The operation of the PB3 is controlled by our customized, proprietary control system.</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that using wave energy for electricity generation has the following potential benefits, compared to existing incumbent solutions.</w:t>
      </w:r>
    </w:p>
    <w:p>
      <w:pPr>
        <w:spacing w:after="0" w:line="237" w:lineRule="exact"/>
        <w:rPr>
          <w:sz w:val="20"/>
          <w:szCs w:val="20"/>
          <w:color w:val="auto"/>
        </w:rPr>
      </w:pPr>
    </w:p>
    <w:p>
      <w:pPr>
        <w:jc w:val="both"/>
        <w:ind w:left="780" w:hanging="651"/>
        <w:spacing w:after="0" w:line="263" w:lineRule="auto"/>
        <w:tabs>
          <w:tab w:leader="none" w:pos="7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the electricity may be aggregated to supply larger</w:t>
      </w:r>
      <w:r>
        <w:rPr>
          <w:rFonts w:ascii="Arial" w:cs="Arial" w:eastAsia="Arial" w:hAnsi="Arial"/>
          <w:sz w:val="18"/>
          <w:szCs w:val="18"/>
          <w:i w:val="1"/>
          <w:iCs w:val="1"/>
          <w:color w:val="auto"/>
        </w:rPr>
        <w:t xml:space="preserve"> </w:t>
      </w:r>
      <w:r>
        <w:rPr>
          <w:rFonts w:ascii="Arial" w:cs="Arial" w:eastAsia="Arial" w:hAnsi="Arial"/>
          <w:sz w:val="18"/>
          <w:szCs w:val="18"/>
          <w:color w:val="auto"/>
        </w:rPr>
        <w:t>payloads, as a result, for example, of multiple PB3 which are placed in an array, occupying a relatively small area. We believe the array of a larger number of PB3 could offer end users a variety of advantages in availability, reliability and scalability.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both"/>
        <w:ind w:left="780" w:hanging="651"/>
        <w:spacing w:after="0" w:line="259" w:lineRule="auto"/>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Predictability. </w:t>
      </w:r>
      <w:r>
        <w:rPr>
          <w:rFonts w:ascii="Arial" w:cs="Arial" w:eastAsia="Arial" w:hAnsi="Arial"/>
          <w:sz w:val="18"/>
          <w:szCs w:val="18"/>
          <w:color w:val="auto"/>
        </w:rPr>
        <w:t>The generation of power from wave energy can be forecasted several days in advance. Available wave energy can be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high degree of accuracy based on satellite images and meteorological data, even when the wave field is hundreds of miles away and days from reaching a PB3. Therefore, we believe end-users relying on PB3 for power may be able to proactively plan their logistics, payload scheduling and other operational activities based on such data,</w:t>
      </w:r>
    </w:p>
    <w:p>
      <w:pPr>
        <w:spacing w:after="0" w:line="186" w:lineRule="exact"/>
        <w:rPr>
          <w:rFonts w:ascii="Arial" w:cs="Arial" w:eastAsia="Arial" w:hAnsi="Arial"/>
          <w:sz w:val="18"/>
          <w:szCs w:val="18"/>
          <w:i w:val="1"/>
          <w:iCs w:val="1"/>
          <w:color w:val="auto"/>
        </w:rPr>
      </w:pPr>
    </w:p>
    <w:p>
      <w:pPr>
        <w:jc w:val="both"/>
        <w:ind w:left="780" w:hanging="651"/>
        <w:spacing w:after="0" w:line="263" w:lineRule="auto"/>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occurrence of waves at specific sites can be relatively persistent and defined with relatively high accuracy.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studies and analyses of various sites of interest, we believe that we will be able to deploy our PB3 in locations where the waves could produce usable electricity for most of the year.</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that numerous markets may have a direct need for our PB3 including defense and security, offshore oil and gas, science and research, and offshore wind, as well as government applications in fishery protection and marine protected areas. Depending on payload power requirements, sensor types and other considerations, we have found that our PB3 could satisfy several application requirements within these markets. We believe that the PB3 can generates sufficient power to meet the requirements of many potential customer applications within our target markets, and that the hybrid could provide ample power in geographies where wave conditions may not be sufficient to allow the PB3 to generate sufficient power.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hybrid PowerBuoy®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has product launched a hybrid PowerBuoy® that is a solar powered surface buoy, compared to the wave power generating PB3. The hybrid PowerBuoy® is powered primarily through solar panels with an efficient and clean burning external combustion Stirling engine to provide back-up power and is capable of providing reliable power in remote offshore locations, regardless of ocean wave conditions. We believe this product is complementary to the PB3 by providing the Company the opportunity to address a broader spectrum of customer deployment needs, including low-wave environments, with the potential for greater product integration within each customer project. It is primarily intended for shorter term deployment applications, such as electric remotely operated vehicle (“eROV”) and autonomous underwater vehicle (“AUV”) inspections and short-term maintenance, topside surveillance and communications, and subsea equipment and controls. The hybrid can be quickly deployed and offers customers a cost-effective solution. The design has a high payload capacity for communications and surveillance, with the capability of being tethered to subsea payloads such as batteries, or with a conventional anchor mooring system. The hybrid generates power from both an array of solar panels and an efficient, clean burning 1 kW Stirling engine fueled by liquid propane. This energy is stored in onboard batteries which power subsea and topside payloads. The Company has designed the hybrid with a Stirling engine backup system to outperform traditional diesel buoys, which we believe have more frequent service and refueling intervals and higher carbon intensities. We believe the hybrid will be able to operate over a broad range of temperature and ocean wave conditions.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towable, boat-shaped hull design of the hybrid is appropriate for deployment throughout the world. Power is generated independent of wave activity, making it a good solution for providing power through extreme weather and in heaving seas, or in calm, low wave environments and is complimentary to the PB3.</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with the PB3, the control system uses sensors and an onboard computer to continuously monitor the hybrid subsystems. We believe that this ability to optimize and manage the electric power output of the hybrid is a significant advantage of our technology. In the event of extended cloudy periods, the control system automatically switches electricity generation from the solar panels to the backup engine. However, the load center, either the on-board payload or one in the vicinity of the hybrid, may continue to receive power from the on-board ESS. When more suitable solar power generation conditions return, the control system automatically stops the backup up engine and ESS replenishment recommences by way of solar electricity generation.</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hybrid is designed for use with a single point umbilical and mooring but can be adapted for a 3-point mooring installation for use as a temporary replacement for PB3 installations during planned maintenance or repairs.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hybrid can be transported over land to the deployment port using conventional transportation methods. Once at port, the hybrid can be lifted into the water or onboard a vessel using a readily available crane of appropriate capacity. The hybrid may then be towed to site using a standard vessel (if the location is within an appropriate distance from the port), or the hybrid may be carried aboard a vessel to its offshore location and craned into the water at site. The hybrid is then attached to the single point mooring system, which is installed during a separate operation, after which a brief commissioning process places the hybrid into operation.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hybrid is configured with a nominal 30 kW-hours of battery energy storage and approximately 1 megawatt-hour (“MWh”) of stored energy in the propane system. While the batteries are primarily charged through solar power generation, the propane powered Stirling engine system on the hybrid can be considered reserve energy storage, with propane having a much higher energy storage density than lithium-ion batteries. It can be utilized when needed based on load demand and will provide approximately 1 MWh of stored energy capacity. We believe that this amount of stored energy offers an attractive local, autonomous energy solution for clients in a range of industries, including but not limited to offshore oil and gas and marine observation, particularly for shorter term deployments.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Subsea Battery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product launched a subsea battery that is complementary to both of our PB3 and hybrid products and can be deployed together with our PowerBuoys® or on its own. It offers customers the option of placing additional modular and expandable energy storage on the seabed near existing or to be installed subsea equipment. Our lithium-ion subsea batteries supply power that can enable subsea equipment, sensors, communications and AUV and eROV recharge. Our PB3 and hybrid are complimentary to the subsea batteries by providing a means for recharging during longer term deployments, or the batteries can be used independently for shorter term deployments.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 kW-hours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subsea battery can be integrated into other subsea equipment on land prior to deployment. The battery is then connected to the other components on the seabed with the use of an eROV.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Maritime Domain Awareness Solution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International Maritime Organization defines Maritime Domain Awareness as the effective understanding of any activity that could impact upon the security, safety, economy, or environment. Since 2002 the United States of America, for example, has had an active strategy to secure the Maritime Domain. Furthermore, in 2020 US Coast Guard elevated Illegal, Unreported and Unregulated (“IUU”) fisheries, one aspect of MDA security, as the leading global maritime threat. It is estimated that tens of billions of Dollars are lost every year to IUU fishing alone.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our MDA Solution payload to consist of a high-definition radar, gyro-stabilized high-definition optical and thermal imaging cameras, vessel automatic identification system (“AIS”) detection, and integrated command and control software and as customer needs dictate. Capabilities include 24/7 vessel tracking, automatic radar plotting, automated vessel warnings, and high-definition optical and thermal video surveillance capable of providing evidentiary backup of activity to aid in prosecution.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data from our MDA solution will be processed onboard our buoys using edge computing, developed together with our software partners, transmitted to shore-based command stations via cyber-secure Wi-Fi, cellular, and/or satellite systems, depending upon location, and then further processed in our cloud-based analytics platform. Surveillance data can be integrated with readily available marine monitoring software or with our own MDA software solution developed together with leading partners in the technology industry to provide command and control features of a multi-buoy surveillance network. The data can also be integrated with satellite, weather, bathymetric, and other data feeds to form a detailed surface and subsea picture of a monitored area.</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single buoy Maritime Domain Awareness Solution, coupled with a PB3 PowerBuoy®, can monitor vessel traffic, with or without AIS turned on, across an area approximately 1,300 square nautical miles of ocean territory on a permanent or temporary basis, with the ability to link multiple surveillance assets together over large ocean areas giving end-users visibility into potentially damaging environmental or illegal activities. Customized solutions are also available including the addition of subsea sensors to monitor for acoustic signatures, tsunami, and water quality.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Consulting Services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work being performed by OPT for the DeepStar project, through our technology subsidiary, 3Dent, we also offer a full range of high-level offshore engineering, including providing consulting engineering and design services to offshore wind developers, offshore construction companies, drilling contractors, major oil companies, service companies, shipyards, and engineering firms. 3Dent’s team of dedicated consultants/designers has expertise in structural engineering, hydrodynamics and naval architecture. Among its services is a focus on addressing the issues current or would-be owners of offshore floaters, jackups, and lift boats have with their fleet. 3Dent’sservices include simulation engineering, software engineering, concept design and motion analysis.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Competitive Advantages</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We intend to commercializing our products and solutions by targeting customers in our principal markets (defense and security, offshore oil and gas, science and research, and offshore wind, as well as government applications in fishery protection and marine protected areas) that require reliable and persistent power sources in remote offshore locations for short and long-term deployments. We believe that our solutions and our existing commercial relationships provide the following competitive advantages in our target markets:</w:t>
      </w:r>
    </w:p>
    <w:p>
      <w:pPr>
        <w:spacing w:after="0" w:line="187" w:lineRule="exact"/>
        <w:rPr>
          <w:sz w:val="20"/>
          <w:szCs w:val="20"/>
          <w:color w:val="auto"/>
        </w:rPr>
      </w:pPr>
    </w:p>
    <w:p>
      <w:pPr>
        <w:jc w:val="both"/>
        <w:ind w:left="660" w:hanging="652"/>
        <w:spacing w:after="0" w:line="276"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Numerous applications within multiple major market segments. </w:t>
      </w:r>
      <w:r>
        <w:rPr>
          <w:rFonts w:ascii="Arial" w:cs="Arial" w:eastAsia="Arial" w:hAnsi="Arial"/>
          <w:sz w:val="16"/>
          <w:szCs w:val="16"/>
          <w:color w:val="auto"/>
        </w:rPr>
        <w:t>We have designed our products to address multiple offshore applications around</w:t>
      </w:r>
      <w:r>
        <w:rPr>
          <w:rFonts w:ascii="Arial" w:cs="Arial" w:eastAsia="Arial" w:hAnsi="Arial"/>
          <w:sz w:val="16"/>
          <w:szCs w:val="16"/>
          <w:i w:val="1"/>
          <w:iCs w:val="1"/>
          <w:color w:val="auto"/>
        </w:rPr>
        <w:t xml:space="preserve"> </w:t>
      </w:r>
      <w:r>
        <w:rPr>
          <w:rFonts w:ascii="Arial" w:cs="Arial" w:eastAsia="Arial" w:hAnsi="Arial"/>
          <w:sz w:val="16"/>
          <w:szCs w:val="16"/>
          <w:color w:val="auto"/>
        </w:rPr>
        <w:t>the world. We are targeting customers with multiple applications within the defense and security, offshore oil and gas, science and research, and offshore wind markets as well as government applications in fishery protection and marine protected areas (“MPAs”). Our PB3 is designed for longer-term deployment in high ocean wave climates. Our hybrid is designed to meet the needs of customers with projects in low sea state locations and/or those requiring short-term deployments. We believe our subsea battery enables persistent power to be delivered from the seabed to support autonomous, all-electric subsea operations. Together, all these products can be integrated to provide customized power solutions for our customers. Our PowerBuoy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can also act as self-powered solution platforms for payloads, such as our MDA package which can provide real-time perimeter security, vessel tracking and area surveillance for government defense and fishery protection.</w:t>
      </w:r>
    </w:p>
    <w:p>
      <w:pPr>
        <w:spacing w:after="0" w:line="159" w:lineRule="exact"/>
        <w:rPr>
          <w:rFonts w:ascii="Arial" w:cs="Arial" w:eastAsia="Arial" w:hAnsi="Arial"/>
          <w:sz w:val="16"/>
          <w:szCs w:val="16"/>
          <w:i w:val="1"/>
          <w:iCs w:val="1"/>
          <w:color w:val="auto"/>
        </w:rPr>
      </w:pPr>
    </w:p>
    <w:p>
      <w:pPr>
        <w:jc w:val="both"/>
        <w:ind w:left="660" w:hanging="652"/>
        <w:spacing w:after="0" w:line="296"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Considerable life-cycle cost savings over current solutions for many applications. </w:t>
      </w:r>
      <w:r>
        <w:rPr>
          <w:rFonts w:ascii="Arial" w:cs="Arial" w:eastAsia="Arial" w:hAnsi="Arial"/>
          <w:sz w:val="16"/>
          <w:szCs w:val="16"/>
          <w:color w:val="auto"/>
        </w:rPr>
        <w:t>Our PB3 is designed to operate over extended intervals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servicing. We believe that our PB3 reduces costs over multi-year operations. These cost reductions are mostly due to reduced vessel and personnel servicing activities. For short term deployments, our hybrid is a cost-efficient means of providing MDA and subsea power solutions. Our subsea battery can provide power to sea floor systems when combined with either the PB3 or hybrid for power regeneration, thus reducing or even potentially eliminating the need for manned vessels to replace expended subsea batteries during mission life.</w:t>
      </w:r>
    </w:p>
    <w:p>
      <w:pPr>
        <w:spacing w:after="0" w:line="161" w:lineRule="exact"/>
        <w:rPr>
          <w:rFonts w:ascii="Arial" w:cs="Arial" w:eastAsia="Arial" w:hAnsi="Arial"/>
          <w:sz w:val="16"/>
          <w:szCs w:val="16"/>
          <w:i w:val="1"/>
          <w:iCs w:val="1"/>
          <w:color w:val="auto"/>
        </w:rPr>
      </w:pPr>
    </w:p>
    <w:p>
      <w:pPr>
        <w:jc w:val="both"/>
        <w:ind w:left="660" w:hanging="652"/>
        <w:spacing w:after="0" w:line="25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Real-time data communications. </w:t>
      </w:r>
      <w:r>
        <w:rPr>
          <w:rFonts w:ascii="Arial" w:cs="Arial" w:eastAsia="Arial" w:hAnsi="Arial"/>
          <w:sz w:val="18"/>
          <w:szCs w:val="18"/>
          <w:color w:val="auto"/>
        </w:rPr>
        <w:t>Our PowerBuoys® can be equipped with a variety of communications equipment, such as 5G, 4G LTE,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(VSAT) and Wi-Fi, which enables the transmission of data on a frequent or near-continuous basis. We believe that more frequent data communication could enable an end-user to more quickly and proactively make data-driven decisions which could result in economic advantages. Real-time data communications are an essential component of our MDA payload, allowing continued autonomous remote monitoring of marine traffic from land.</w:t>
      </w:r>
    </w:p>
    <w:p>
      <w:pPr>
        <w:spacing w:after="0" w:line="187" w:lineRule="exact"/>
        <w:rPr>
          <w:rFonts w:ascii="Arial" w:cs="Arial" w:eastAsia="Arial" w:hAnsi="Arial"/>
          <w:sz w:val="18"/>
          <w:szCs w:val="18"/>
          <w:i w:val="1"/>
          <w:iCs w:val="1"/>
          <w:color w:val="auto"/>
        </w:rPr>
      </w:pPr>
    </w:p>
    <w:p>
      <w:pPr>
        <w:jc w:val="both"/>
        <w:ind w:left="660" w:hanging="652"/>
        <w:spacing w:after="0" w:line="301"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Increased power and persistence compared to certain current solutions</w:t>
      </w:r>
      <w:r>
        <w:rPr>
          <w:rFonts w:ascii="Arial" w:cs="Arial" w:eastAsia="Arial" w:hAnsi="Arial"/>
          <w:sz w:val="16"/>
          <w:szCs w:val="16"/>
          <w:color w:val="auto"/>
        </w:rPr>
        <w:t>. We have found that our PowerBuoys® may provide substantial power and</w:t>
      </w:r>
      <w:r>
        <w:rPr>
          <w:rFonts w:ascii="Arial" w:cs="Arial" w:eastAsia="Arial" w:hAnsi="Arial"/>
          <w:sz w:val="16"/>
          <w:szCs w:val="16"/>
          <w:i w:val="1"/>
          <w:iCs w:val="1"/>
          <w:color w:val="auto"/>
        </w:rPr>
        <w:t xml:space="preserve"> </w:t>
      </w:r>
      <w:r>
        <w:rPr>
          <w:rFonts w:ascii="Arial" w:cs="Arial" w:eastAsia="Arial" w:hAnsi="Arial"/>
          <w:sz w:val="16"/>
          <w:szCs w:val="16"/>
          <w:color w:val="auto"/>
        </w:rPr>
        <w:t>persistence for long term deployments. We believe that this may allow additional sensors to be employed at the same site, a higher sensor data transmission rate to be achieved, extended operation and reduced downtime, and improved operational costs for the customer. Enabling these new capabilities may contribute to enhanced operations through real-time decision making and increased life-cycle cost savings.</w:t>
      </w:r>
    </w:p>
    <w:p>
      <w:pPr>
        <w:spacing w:after="0" w:line="157" w:lineRule="exact"/>
        <w:rPr>
          <w:rFonts w:ascii="Arial" w:cs="Arial" w:eastAsia="Arial" w:hAnsi="Arial"/>
          <w:sz w:val="16"/>
          <w:szCs w:val="16"/>
          <w:i w:val="1"/>
          <w:iCs w:val="1"/>
          <w:color w:val="auto"/>
        </w:rPr>
      </w:pPr>
    </w:p>
    <w:p>
      <w:pPr>
        <w:jc w:val="both"/>
        <w:ind w:left="660" w:hanging="652"/>
        <w:spacing w:after="0" w:line="293"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Modular and scalable designs. </w:t>
      </w:r>
      <w:r>
        <w:rPr>
          <w:rFonts w:ascii="Arial" w:cs="Arial" w:eastAsia="Arial" w:hAnsi="Arial"/>
          <w:sz w:val="16"/>
          <w:szCs w:val="16"/>
          <w:color w:val="auto"/>
        </w:rPr>
        <w:t>Our PB3 and hybrid are designed with a modular ESS which allows us to tailor its configuration to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requirements, including expansion of energy storage capacity, potentially allowing for a more customized solution and potential cost savings for our customers. We believe that our power technology is scalable to higher power levels We have developed concepts for multiple PB3s to be installed in an array in order to achieve higher levels of aggregate power in remote areas where other power sources become cost prohibitive, although to date we have not yet demonstrated a PB3 array. We believe that the modular design of our subsea battery enables clients to specify larger energy storage than would be possible with just buoys and have this placed at the seabed and near existing electric subsea equipment.</w:t>
      </w:r>
    </w:p>
    <w:p>
      <w:pPr>
        <w:spacing w:after="0" w:line="164" w:lineRule="exact"/>
        <w:rPr>
          <w:rFonts w:ascii="Arial" w:cs="Arial" w:eastAsia="Arial" w:hAnsi="Arial"/>
          <w:sz w:val="16"/>
          <w:szCs w:val="16"/>
          <w:i w:val="1"/>
          <w:iCs w:val="1"/>
          <w:color w:val="auto"/>
        </w:rPr>
      </w:pPr>
    </w:p>
    <w:p>
      <w:pPr>
        <w:jc w:val="both"/>
        <w:ind w:left="800" w:hanging="792"/>
        <w:spacing w:after="0" w:line="216" w:lineRule="auto"/>
        <w:tabs>
          <w:tab w:leader="none" w:pos="8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Flexible electrical, mechanical and communication interfaces for sensors. </w:t>
      </w:r>
      <w:r>
        <w:rPr>
          <w:rFonts w:ascii="Arial" w:cs="Arial" w:eastAsia="Arial" w:hAnsi="Arial"/>
          <w:sz w:val="18"/>
          <w:szCs w:val="18"/>
          <w:color w:val="auto"/>
        </w:rPr>
        <w:t>The PB3 and hybrid can be equipped with payloads, either mounted</w:t>
      </w:r>
      <w:r>
        <w:rPr>
          <w:rFonts w:ascii="Arial" w:cs="Arial" w:eastAsia="Arial" w:hAnsi="Arial"/>
          <w:sz w:val="18"/>
          <w:szCs w:val="18"/>
          <w:i w:val="1"/>
          <w:iCs w:val="1"/>
          <w:color w:val="auto"/>
        </w:rPr>
        <w:t xml:space="preserve"> </w:t>
      </w:r>
      <w:r>
        <w:rPr>
          <w:rFonts w:ascii="Arial" w:cs="Arial" w:eastAsia="Arial" w:hAnsi="Arial"/>
          <w:sz w:val="18"/>
          <w:szCs w:val="18"/>
          <w:color w:val="auto"/>
        </w:rPr>
        <w:t>on or within the PowerBuoy®, or tethered to the PowerBuoy®. The PowerBuoys® have mechanical and electrical interfaces which allow for simplified integration of payloads, creating flexibility for the end-user. Our subsea battery will have specific interfaces for simplified integration with our PowerBuoys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electric power recharging, as well as for surface communications. Our PowerBuoys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will also have standard interfaces for subsea batteries of other providers for charging as well as multiple payloads. Flexible interfaces reduce cost through simplified integration and deployment.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left="800" w:hanging="792"/>
        <w:spacing w:after="0" w:line="259" w:lineRule="auto"/>
        <w:tabs>
          <w:tab w:leader="none" w:pos="8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Zero carbon emission, environmentally benign and aesthetically non-intrusive system design. </w:t>
      </w:r>
      <w:r>
        <w:rPr>
          <w:rFonts w:ascii="Arial" w:cs="Arial" w:eastAsia="Arial" w:hAnsi="Arial"/>
          <w:sz w:val="18"/>
          <w:szCs w:val="18"/>
          <w:color w:val="auto"/>
        </w:rPr>
        <w:t>Our PB3 emits no carbon. We further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PB3 does not present significant risks to marine life, nor does it emit significant levels of pollutants, and therefore has minimal environmental impact. We believe there is no significant audible impact to the surrounding environment. We believe that our PB3 produces renewable electricity through the conversion of renewable ocean wave energy.</w:t>
      </w:r>
    </w:p>
    <w:p>
      <w:pPr>
        <w:spacing w:after="0" w:line="186" w:lineRule="exact"/>
        <w:rPr>
          <w:rFonts w:ascii="Arial" w:cs="Arial" w:eastAsia="Arial" w:hAnsi="Arial"/>
          <w:sz w:val="18"/>
          <w:szCs w:val="18"/>
          <w:i w:val="1"/>
          <w:iCs w:val="1"/>
          <w:color w:val="auto"/>
        </w:rPr>
      </w:pPr>
    </w:p>
    <w:p>
      <w:pPr>
        <w:jc w:val="both"/>
        <w:ind w:left="800" w:hanging="792"/>
        <w:spacing w:after="0" w:line="273" w:lineRule="auto"/>
        <w:tabs>
          <w:tab w:leader="none" w:pos="8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Ocean and factory-tested technology. </w:t>
      </w:r>
      <w:r>
        <w:rPr>
          <w:rFonts w:ascii="Arial" w:cs="Arial" w:eastAsia="Arial" w:hAnsi="Arial"/>
          <w:sz w:val="17"/>
          <w:szCs w:val="17"/>
          <w:color w:val="auto"/>
        </w:rPr>
        <w:t>Our PB3 is designed to be durable, with a three-year interval between required maintenance activities.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PB3 has survived hurricanes, tropical storms and North Sea winter storms. The PB3 has been successfully deployed for Harbour Energy, Mitsui Engineering &amp; Shipbuilding Co., Ltd (“MES”) and Eni. The MES PB3 performed well in a challenging shallow-water, high-current environment, and achieved its performance and duration objectives. The Eni PB3 was deployed in the Adriatic Sea for twenty-four months and has generated approximately 3.0 megawatt hours of energy. Further, we continue to focus on standardizing manufacturing and production testing procedures and have work closely with our supply base to ensure production repeatability.</w:t>
      </w:r>
    </w:p>
    <w:p>
      <w:pPr>
        <w:spacing w:after="0" w:line="177" w:lineRule="exact"/>
        <w:rPr>
          <w:rFonts w:ascii="Arial" w:cs="Arial" w:eastAsia="Arial" w:hAnsi="Arial"/>
          <w:sz w:val="17"/>
          <w:szCs w:val="17"/>
          <w:i w:val="1"/>
          <w:iCs w:val="1"/>
          <w:color w:val="auto"/>
        </w:rPr>
      </w:pPr>
    </w:p>
    <w:p>
      <w:pPr>
        <w:jc w:val="both"/>
        <w:ind w:left="800" w:hanging="747"/>
        <w:spacing w:after="0" w:line="257" w:lineRule="auto"/>
        <w:tabs>
          <w:tab w:leader="none" w:pos="845" w:val="left"/>
        </w:tabs>
        <w:numPr>
          <w:ilvl w:val="1"/>
          <w:numId w:val="5"/>
        </w:numPr>
        <w:rPr>
          <w:rFonts w:ascii="Arial" w:cs="Arial" w:eastAsia="Arial" w:hAnsi="Arial"/>
          <w:sz w:val="18"/>
          <w:szCs w:val="18"/>
          <w:color w:val="auto"/>
        </w:rPr>
      </w:pPr>
      <w:r>
        <w:rPr>
          <w:rFonts w:ascii="Arial" w:cs="Arial" w:eastAsia="Arial" w:hAnsi="Arial"/>
          <w:sz w:val="18"/>
          <w:szCs w:val="18"/>
          <w:color w:val="auto"/>
        </w:rPr>
        <w:t>Efficient design in harnessing renewable energy. We have designed and validated our PB3 for maximized power generation in average ocean wave conditions through optimized mechanical to electrical wave energy conversion. We have designed the onboard ESS to provide several days of continuous rated power during periods of low or no wave activity, depending on payload power consumption. For locations with consistent periods of low or no wave activity, or for locations with short-term power requirements, our hybrid can generate power using solar panels and a liquid-fuel backup power generation system.</w:t>
      </w:r>
    </w:p>
    <w:p>
      <w:pPr>
        <w:spacing w:after="0" w:line="187" w:lineRule="exact"/>
        <w:rPr>
          <w:rFonts w:ascii="Arial" w:cs="Arial" w:eastAsia="Arial" w:hAnsi="Arial"/>
          <w:sz w:val="18"/>
          <w:szCs w:val="18"/>
          <w:color w:val="auto"/>
        </w:rPr>
      </w:pPr>
    </w:p>
    <w:p>
      <w:pPr>
        <w:jc w:val="both"/>
        <w:ind w:left="800" w:hanging="792"/>
        <w:spacing w:after="0" w:line="255" w:lineRule="auto"/>
        <w:tabs>
          <w:tab w:leader="none" w:pos="8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Prior commercial relationships enabled the development of our technology. </w:t>
      </w:r>
      <w:r>
        <w:rPr>
          <w:rFonts w:ascii="Arial" w:cs="Arial" w:eastAsia="Arial" w:hAnsi="Arial"/>
          <w:sz w:val="18"/>
          <w:szCs w:val="18"/>
          <w:color w:val="auto"/>
        </w:rPr>
        <w:t>Our prior and existing relationships with the U.S. Navy, DOE, U.S.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Homeland Security, MES, Eni, Enel Green Power (“EGP”), and Harbour Energy have allowed us to further develop our solutions for a variety of needs in various industries. We believe these relationships have helped position us within the private sector for future commercial opportunities, which we believe enhances our market visibility and attractiveness to our prospective customers. We believe that our deployments with MES, Eni and Harbour Energy have provided commercial market credibility and allowed us to develop and market end-user solutions which we believe are valued in our principal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takes a rigorous approach to market evaluation. Utilizing publicly available and purchased data, we evaluate total addressable market sizes. We apply screening criteria to narrow our focus within these markets and identify sub-segments and associated service addressable market sizes. These market evaluations are updated on an ongoing basis throughout the year and more formally twice annually in line with our financial calendar. In 2019 the DOE’s Water Power Technology Office (WPTO) released the report </w:t>
      </w:r>
      <w:r>
        <w:rPr>
          <w:rFonts w:ascii="Arial" w:cs="Arial" w:eastAsia="Arial" w:hAnsi="Arial"/>
          <w:sz w:val="17"/>
          <w:szCs w:val="17"/>
          <w:i w:val="1"/>
          <w:iCs w:val="1"/>
          <w:color w:val="auto"/>
        </w:rPr>
        <w:t>Powering the Blue Economy: Exploring Opportunities for Marine</w:t>
      </w:r>
      <w:r>
        <w:rPr>
          <w:rFonts w:ascii="Arial" w:cs="Arial" w:eastAsia="Arial" w:hAnsi="Arial"/>
          <w:sz w:val="17"/>
          <w:szCs w:val="17"/>
          <w:color w:val="auto"/>
        </w:rPr>
        <w:t xml:space="preserve"> </w:t>
      </w:r>
      <w:r>
        <w:rPr>
          <w:rFonts w:ascii="Arial" w:cs="Arial" w:eastAsia="Arial" w:hAnsi="Arial"/>
          <w:sz w:val="17"/>
          <w:szCs w:val="17"/>
          <w:i w:val="1"/>
          <w:iCs w:val="1"/>
          <w:color w:val="auto"/>
        </w:rPr>
        <w:t>Renewable Energy in Maritime Markets</w:t>
      </w:r>
      <w:r>
        <w:rPr>
          <w:rFonts w:ascii="Arial" w:cs="Arial" w:eastAsia="Arial" w:hAnsi="Arial"/>
          <w:sz w:val="17"/>
          <w:szCs w:val="17"/>
          <w:color w:val="auto"/>
        </w:rPr>
        <w:t>. The report described eight non-grid applications where renewable marine energy could provide consistent, reliable</w:t>
      </w:r>
      <w:r>
        <w:rPr>
          <w:rFonts w:ascii="Arial" w:cs="Arial" w:eastAsia="Arial" w:hAnsi="Arial"/>
          <w:sz w:val="17"/>
          <w:szCs w:val="17"/>
          <w:i w:val="1"/>
          <w:iCs w:val="1"/>
          <w:color w:val="auto"/>
        </w:rPr>
        <w:t xml:space="preserve"> </w:t>
      </w:r>
      <w:r>
        <w:rPr>
          <w:rFonts w:ascii="Arial" w:cs="Arial" w:eastAsia="Arial" w:hAnsi="Arial"/>
          <w:sz w:val="17"/>
          <w:szCs w:val="17"/>
          <w:color w:val="auto"/>
        </w:rPr>
        <w:t>power. The identified marine energy applications are ocean observation, underwater vehicle charging, marine aquaculture, marine algae, seawater mining, seawater desalination, coastal resiliency and disaster recovery, and isolated communities. We have been focused on addressing the energy needs of many of these applications (e.g., ocean observation, underwater vehicle charging), and other offshore applications (e.g., maritime domain awareness, well-head monitoring and subsea equipment control).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Offshore Oil and Gas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believe the offshore oil and gas industry is undergoing a significant transformation as it continues to invest in new technologies that enable carbon reduction, cost savings and the electrification and digitization of operations. The industry encompasses more than 10,000 offshore sites, including exploration, production, reservoir management, and sites pending decommissioning based on information from organizations such as the U.S. Bureau of Safety and Environmental Enforcement (“BSEE”) and industry organizations and publications. We believe that we have opportunities to implement one or more PB3s at some of these sites to provide power in applications that are not currently possible, displace current power solutions, or augment existing technologies. This is partially driven by the growing demand for electrification. For example, according to a 2019 Rystads report, Norway is estimated to have 40% of its oil and gas production from electrified fields, as well as a growing desire for decarbonization and autonomous operations. Similarly, the market for remote and autonomous charging of subsea assets, such as ROVs and AUVs, is rapidly taking shape. Based on various reports, other applications in the oil and gas market include providing power to unmanned platforms and area surveillance during decommissioning activities. Although estimates vary in these reports, they generally point towards more than 4,000 platforms (and corresponding wells) that need to be decommissioned over the next 10 years across the globe. We see this market materializing primarily in the North Sea and regions such as Brazil and Australia. Furthermore, there is an increasing market demand for providing interim power solutions for tie-backs where umbilicals are exhibiting failures.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i w:val="1"/>
          <w:iCs w:val="1"/>
          <w:color w:val="auto"/>
        </w:rPr>
        <w:t>Defense and Security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that our PB3 is uniquely positioned to be used to provide power and communications for multiple applications within the defense and security markets. The PB3’s ability to power multiple payloads may be an attractive feature for these markets, as their systems can be easily integrated into other PowerBuoy® applications allowing their operation to be concealed. An example application for domestic and international defense departments and defense contractors includes forward deployed energy and communications outposts (which is a current U.S. Department of Defense program), both above and below sea surface, as indicated in the completed study for the Naval Postgraduate School. Other example of applications includes perimeter security, early detection and warning systems, remote sensing stations, high frequency radar, sonar, electro-optical and infrared sensors for maritime security, network communications systems, and unmanned underwater vehicle docking stations.</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IUU fishing has become a global issue with both environmental and economic consequences. According to a report published in Sciences Advances by The University of British Columbia in February 2020, it is estimated the global economic impact from illegal fishing to be as high as $50 billion. Most exclusive economic zone monitoring is done by offshore patrol vessels (“OPV”), which is one of the fastest growing naval product markets with around 1,242 OPVs in service currently. We believe that our autonomous surveillance solution, which can be combined with satellite imagery, can deliver substantial economic impact to governments over incumbent solutions in securing remote fisheries and MPAs. In the USA specifically, IUU fishing is considered a major maritime threat by the Department of Homeland Security.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Science and Research</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science and research market provides environmental intelligence to the entire ocean enterprise, which supports ocean measurement, observation and forecasting, and is an important provider of information to maritime commerce and the entire “blue economy.” Maritime commerce and the scientific community depend on information in areas such as meteorology, climate change, ocean currents, and biological processes to inform operations and development. These groups often require a power and communications solution in remote offshore locations. Additionally, the increased interest in protecting marine habitats offers opportunities to collaborate with governments and NGOs to monitor marine sanctuaries. The European Union’s Copernicus Program is estimated to have enabled € 190 million in revenues during 2018 for ocean monitoring alone and this is expected to reach € 206 million in 2020 with an average growth rate of 4% annually.</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Offshore Wind and Other Markets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opportunities also exist in other markets such as supporting offshore windfarm development and aquaculture. Based on an article in Wind Power Monthly in October 2019, the offshore wind fleet is forecast to grow 15-fold by 2040 and move further offshore with Europe alone connecting over 500 turbines in 2019. Whilst these turbines develop significant power, there are opportunities pre-installation of the turbines; to autonomously collect ocean data during the early stages and monitoring of marine habitats during construction. To mitigate carbon emissions there are also opportunities to support ongoing survey work once windfarms are operational and to provide communication stations for aerial drones providing maintenance materials. Furthermore, the United States of America recently approved the permits for the first major utility scale offshore windfarm. Providing wave power solutions to utility scale renewable developments offers an attractive proposition to support renewable power and autonomous operations. We believe that our solutions can support aquaculture development with systems such as species escape tracking, effluent monitoring, and other water quality considerations.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fiscal 2021, we advanced our marketing programs, products, and solutions. We have made progress in transitioning from R&amp;D to commercialization and we intend to build on these efforts by implementing processes and solutions that cover the entire life cycle, from demand generation to close of contract, and from channel strategies to customer care.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Most of the Company’s opportunities with potential customers have been for projects in Western Europe, including the North Sea, as well as North America and Asia. Nearly two-thirds of these opportunities have progressed past initial feasibility and non-disclosure agreement stages to more detailed, confidential discussions around specific customer applications.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Many proposal requests are for projects where one of our PowerBuoy® products, either the PB3, the hybrid, or our subsea battery is part of a larger solution deployment, and typically include the potential lease or sale of one or more PowerBuoys®, as well as required services and maintenance support. A majority of hybrid inquiries are for shorter term deployments in calmer waters. Historically, demonstration projects have been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our company and capabilities and may include negotiation of standard terms and conditions. Many proposals contain provisions which would mandate the sale or lease of our PowerBuoy® product upon successful conclusion of the demonstration project.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this is an accurate depiction of the overall sales cycle for new technology in each of our target markets, including our products and solutions. Cycle times for each step of the sales cycle will vary depending on several customer factors, including, but not limited to, technical evaluation, project priorities, project funding approval process, and alignment of new technology integration with the customer’s broader operational strategy. We believe that the resulting evidence of potential demand, vis-à-vis specific application proposal requests, is indicative of progress in our commercialization strategy. We believe that we have the potential for growth as a result of our positioning for higher volume production of our PowerBuoy® products and the initial indications of demand for our PowerBuoy® products in multiple customer applications.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pursuing a long-term growth strategy to expand its market value proposition while building the Company’s revenue base. This strategy includes partnerships with leading companies in adjacent and complementary markets. We continue to commercialize our PowerBuoy® products for use in remote offshore power and real-time data communications applications, and in order to achieve this goal, we are pursuing the following business objectives:</w:t>
      </w:r>
    </w:p>
    <w:p>
      <w:pPr>
        <w:spacing w:after="0" w:line="187" w:lineRule="exact"/>
        <w:rPr>
          <w:sz w:val="20"/>
          <w:szCs w:val="20"/>
          <w:color w:val="auto"/>
        </w:rPr>
      </w:pPr>
    </w:p>
    <w:p>
      <w:pPr>
        <w:jc w:val="both"/>
        <w:ind w:left="660" w:hanging="652"/>
        <w:spacing w:after="0" w:line="270" w:lineRule="auto"/>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Integrated turn-key solutions sales or leases incorporating our products and services. </w:t>
      </w:r>
      <w:r>
        <w:rPr>
          <w:rFonts w:ascii="Arial" w:cs="Arial" w:eastAsia="Arial" w:hAnsi="Arial"/>
          <w:sz w:val="17"/>
          <w:szCs w:val="17"/>
          <w:color w:val="auto"/>
        </w:rPr>
        <w:t>We believe our PB3 hybrid and our subsea battery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our MDA Solutions, are well suited to enable many uncrewed, autonomous (non-grid connected) offshore solutions, such as topside and subsea surveillance and communications, subsea equipment monitoring, early warning systems platform and subsea power and buffering, and weather and climate data collection. We have investigated and realized market demand for some of these solutions and we intend to sell and lease our products to these markets as part of these broader integrated solutions. Additionally, we intend to provide services associated with our solution offerings such as paid engineering studies, value-added engineering, maintenance, remote monitoring and diagnostic, application engineering, planning, training, project management, and marine and logistics support required for our solution life cycle. We continue to increase our commercial capabilities through new hires in sales and application support, and through engagement of expert market consultants in various geographies.</w:t>
      </w:r>
    </w:p>
    <w:p>
      <w:pPr>
        <w:spacing w:after="0" w:line="180" w:lineRule="exact"/>
        <w:rPr>
          <w:rFonts w:ascii="Arial" w:cs="Arial" w:eastAsia="Arial" w:hAnsi="Arial"/>
          <w:sz w:val="17"/>
          <w:szCs w:val="17"/>
          <w:i w:val="1"/>
          <w:iCs w:val="1"/>
          <w:color w:val="auto"/>
        </w:rPr>
      </w:pPr>
    </w:p>
    <w:p>
      <w:pPr>
        <w:jc w:val="both"/>
        <w:ind w:left="660" w:hanging="652"/>
        <w:spacing w:after="0" w:line="289"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customer system solution offerings through new complimentary products that enable shorter and more cost-efficient deployments.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hybrid is highly complementary to the PB3 by providing the Company the opportunity to address a broader spectrum of customer deployment needs, including low-wave environments, with the potential for greater system integration within each customer project. The hybrid is primarily intended for shorter term deployment applications such as eROV and AUV inspections and short-term maintenance, topside surveillance and communications, and subsea equipment and controls. The Company has developed a subsea battery system that is complimentary to the Company’s PowerBuoy® products. The subsea battery system offers the possibility of creating a sea floor energy storage solution for remote offshore operations. These subsea battery systems contain lithium-ion batteries, which provide high power density to supply power to subsea equipment, sensors, communications, and the recharging of AUVs and eROVs. Ideal for many remote offshore customer applications, these subsea battery systems are anticipated to be safe, high performance, cost-efficient, and quickly deployable.</w:t>
      </w:r>
    </w:p>
    <w:p>
      <w:pPr>
        <w:spacing w:after="0" w:line="166" w:lineRule="exact"/>
        <w:rPr>
          <w:rFonts w:ascii="Arial" w:cs="Arial" w:eastAsia="Arial" w:hAnsi="Arial"/>
          <w:sz w:val="16"/>
          <w:szCs w:val="16"/>
          <w:i w:val="1"/>
          <w:iCs w:val="1"/>
          <w:color w:val="auto"/>
        </w:rPr>
      </w:pPr>
    </w:p>
    <w:p>
      <w:pPr>
        <w:jc w:val="both"/>
        <w:ind w:left="660" w:hanging="652"/>
        <w:spacing w:after="0" w:line="259" w:lineRule="auto"/>
        <w:tabs>
          <w:tab w:leader="none" w:pos="706"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globally.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these areas has demand for our solutions, sizable end market opportunities, political and economic stability, and high levels of industrialization and economic development. In fiscal 2021, we opened an office in Houston, Texas to further support our customers and strengthen our dialogue with our solution partners.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left="660" w:hanging="652"/>
        <w:spacing w:after="0" w:line="254"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commercializing new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Following our acquisition of 3Dent, we have been actively pursuing additional opportunities to bring in-house skills, capabilities, and solutions that are complementary to our strategy and enable us to scale more quickly.</w:t>
      </w:r>
    </w:p>
    <w:p>
      <w:pPr>
        <w:spacing w:after="0" w:line="191" w:lineRule="exact"/>
        <w:rPr>
          <w:rFonts w:ascii="Arial" w:cs="Arial" w:eastAsia="Arial" w:hAnsi="Arial"/>
          <w:sz w:val="18"/>
          <w:szCs w:val="18"/>
          <w:i w:val="1"/>
          <w:iCs w:val="1"/>
          <w:color w:val="auto"/>
        </w:rPr>
      </w:pPr>
    </w:p>
    <w:p>
      <w:pPr>
        <w:jc w:val="both"/>
        <w:ind w:left="660" w:hanging="652"/>
        <w:spacing w:after="0" w:line="25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In order to minimize our capital requirement as we scale our business, 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outsource all fabrication, anchoring, mooring, cabling supply, and in some cases deployment of our products and solutions. Our PTO is a proprietary subsystem that is assembled and tested at our facility. We believe this distributed manufacturing and assembly approach enables us to focus on our core competencies and ensure a cost-effective product by leveraging a larger more established supply base. We continue to seek strategic partnerships with regard to servicing of our products and solutions.</w:t>
      </w:r>
    </w:p>
    <w:p>
      <w:pPr>
        <w:spacing w:after="0" w:line="187" w:lineRule="exact"/>
        <w:rPr>
          <w:rFonts w:ascii="Arial" w:cs="Arial" w:eastAsia="Arial" w:hAnsi="Arial"/>
          <w:sz w:val="18"/>
          <w:szCs w:val="18"/>
          <w:i w:val="1"/>
          <w:iCs w:val="1"/>
          <w:color w:val="auto"/>
        </w:rPr>
      </w:pPr>
    </w:p>
    <w:p>
      <w:pPr>
        <w:jc w:val="both"/>
        <w:ind w:left="660" w:hanging="652"/>
        <w:spacing w:after="0" w:line="301"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Cost reduction and PowerBuoy</w:t>
      </w:r>
      <w:r>
        <w:rPr>
          <w:rFonts w:ascii="Arial" w:cs="Arial" w:eastAsia="Arial" w:hAnsi="Arial"/>
          <w:sz w:val="16"/>
          <w:szCs w:val="16"/>
          <w:color w:val="auto"/>
        </w:rPr>
        <w:t>®</w:t>
      </w:r>
      <w:r>
        <w:rPr>
          <w:rFonts w:ascii="Arial" w:cs="Arial" w:eastAsia="Arial" w:hAnsi="Arial"/>
          <w:sz w:val="16"/>
          <w:szCs w:val="16"/>
          <w:i w:val="1"/>
          <w:iCs w:val="1"/>
          <w:color w:val="auto"/>
        </w:rPr>
        <w:t xml:space="preserve"> solution development. </w:t>
      </w:r>
      <w:r>
        <w:rPr>
          <w:rFonts w:ascii="Arial" w:cs="Arial" w:eastAsia="Arial" w:hAnsi="Arial"/>
          <w:sz w:val="16"/>
          <w:szCs w:val="16"/>
          <w:color w:val="auto"/>
        </w:rPr>
        <w:t>Our engineering efforts are mainly focused on addressing customer solutions; product and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 sales; reducing production, installation, and product life-cycle costs; and improving the energy output, reliability, maintenance interval and expected operating life of our products. We continue to optimize manufacturability of our designs with a focus on cost competitiveness, and we believe we will be able to address new applications by developing new payloads and solutions that address customer needs.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its 3Dent Technology subsidiary, the Company plans to expand its customer base and increase its revenue base, by providing consulting engineering and design services to offshore wind developers, offshore construction companies, drilling contractors, major oil companies, service companies, and engineering firms.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continue to enhance our marketing capabilities across our target markets, and we are actively marketing our products and </w:t>
      </w:r>
      <w:r>
        <w:rPr>
          <w:rFonts w:ascii="Arial" w:cs="Arial" w:eastAsia="Arial" w:hAnsi="Arial"/>
          <w:sz w:val="18"/>
          <w:szCs w:val="18"/>
          <w:color w:val="333333"/>
        </w:rPr>
        <w:t>solutions</w:t>
      </w:r>
      <w:r>
        <w:rPr>
          <w:rFonts w:ascii="Arial" w:cs="Arial" w:eastAsia="Arial" w:hAnsi="Arial"/>
          <w:sz w:val="18"/>
          <w:szCs w:val="18"/>
          <w:color w:val="auto"/>
        </w:rPr>
        <w:t>. We currently use a direct sales force consisting of employees and industry expert consultants. Because our solutions use technology which is not yet fully adopted by our target markets, we expect that the customer decision process could require us to spend substantial time educating end-users and stakeholders, which may result in a lengthy sales cycle.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past year, given the global pandemic COVID-19 restrictions, many conferences and trade shows were cancelled, rescheduled, or held virtually. OPT attended and presented at a number of these virtual conferences. Given the progress being made globally in reducing COVID through vaccines and other practices, we are starting to see in person conferences being scheduled for the second half of 2021. We have plans to attend and present at a few conferences and trade shows in the U.S., Europe, and Asia.</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market our products and solutions to companies and entities requiring remote offshore power and data services, including for example, offshore oil and gas companies. We also see opportunities for defense and security applications such as maritime domain awareness solutions that require autonomous offshore power and data gateways.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we seek to enter into strategic relationships to develop application solutions with commercial and military sensor and equipment manufacturers.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expect to compete with other providers of in-ocean autonomous power sources, primarily consisting of subsea batteries, solar and fossil-fuel power sources, where many of the providers are substantially larger than OPT and may have access to greater financial resources. Incumbent sources of in-ocean power may also represent established and reliable power sources and may have already gained customer acceptance. Our ability to compete successfully for business from applications seeking in-ocean power will depend on (a) our ability to produce and store energy reliably and at a total cost that is competitive with or lower than that of other sources, and (b) the demonstrated reliability of our products and positive customer perception of our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company. We also may have the opportunity to cooperate with other solution providers, such as other suppliers of subsea batteries where our PowerBuoys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could provide recharging capabilities or other providers of autonomous surface vessels where our PowerBuoys</w:t>
      </w:r>
      <w:r>
        <w:rPr>
          <w:rFonts w:ascii="Arial" w:cs="Arial" w:eastAsia="Arial" w:hAnsi="Arial"/>
          <w:sz w:val="18"/>
          <w:szCs w:val="18"/>
          <w:color w:val="333333"/>
        </w:rPr>
        <w:t>®</w:t>
      </w:r>
      <w:r>
        <w:rPr>
          <w:rFonts w:ascii="Arial" w:cs="Arial" w:eastAsia="Arial" w:hAnsi="Arial"/>
          <w:sz w:val="18"/>
          <w:szCs w:val="18"/>
          <w:color w:val="auto"/>
        </w:rPr>
        <w:t xml:space="preserve"> could provide charging and enhanced communications capabilities.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jc w:val="both"/>
        <w:ind w:firstLine="648"/>
        <w:spacing w:after="0" w:line="272" w:lineRule="auto"/>
        <w:rPr>
          <w:sz w:val="20"/>
          <w:szCs w:val="20"/>
          <w:color w:val="auto"/>
        </w:rPr>
      </w:pPr>
      <w:r>
        <w:rPr>
          <w:rFonts w:ascii="Arial" w:cs="Arial" w:eastAsia="Arial" w:hAnsi="Arial"/>
          <w:sz w:val="17"/>
          <w:szCs w:val="17"/>
          <w:color w:val="auto"/>
        </w:rPr>
        <w:t>As of April 2021, there were over 400 companies, some with institutional funding, listed in the OpenEi Marine Renewable Energy (“MRE”) Database. The MRE database is developed and maintained by the National Renewable Energy Laboratories with support from DOE and other partners. Many of these companies are located in the U.K., continental Europe, Japan, Israel, the U.S. and Australia, and many of those companies are pursuing the utility, grid-connected energy market. The MRE industry continues to evolve as participants strive to differentiate themselves by promoting their specific technology focusing on cost and efficiency. The companies are subdivided by implementation: wave power, current power, tidal and ocean thermal energy conversion. Within wave power, the technologies are classified as point absorber, oscillating wave column, overtopping device, attenuator and oscillating wave surge converter. Our PowerBuoy</w:t>
      </w:r>
      <w:r>
        <w:rPr>
          <w:rFonts w:ascii="Arial" w:cs="Arial" w:eastAsia="Arial" w:hAnsi="Arial"/>
          <w:sz w:val="17"/>
          <w:szCs w:val="17"/>
          <w:color w:val="333333"/>
        </w:rPr>
        <w:t>®</w:t>
      </w:r>
      <w:r>
        <w:rPr>
          <w:rFonts w:ascii="Arial" w:cs="Arial" w:eastAsia="Arial" w:hAnsi="Arial"/>
          <w:sz w:val="17"/>
          <w:szCs w:val="17"/>
          <w:color w:val="auto"/>
        </w:rPr>
        <w:t xml:space="preserve"> wave energy converter is classified as a point absorber.</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vast majority of the companies in the DOE’s database are small, start-up type companies with a small number of employees and in early-stage development that do not have our in-ocean validation experience. Only a few of these companies have conducted testing similar to us, such as accelerated life testing and extensive wave tank testing on reduced scale models of their devices. We believe our in-ocean experience is critical towards proving the reliability, survivability and performance of any wave energy system, which we believe our future customers will require before adopting any wave generated energy solution. We believe our experience gained through full scale in-ocean deployments, coupled with other types of factory and laboratory testing, and our resulting understanding of risks and failure modes provides us with an advantage compared to potential wave energy competitors.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market and industry observations, we believe there are only a small number of companies that are developing systems to compete in the offshore autonomous power market; however, their technologies are in earlier stage development with limited commercial deployments. Through our ongoing product development and building upon our years of commercial deployment data, we believe that we continue to maintain a first mover advantage in the smaller scale autonomous offshore power market.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continuously monitor non-traditional competitive threats, such as multi domain drones and artificial intelligence tools utilizing satellite data. We are in active discussions with companies in these markets to evaluate synergistic solution development where we believe there may be a demand for cooperative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The table below shows the percentage of the Company’s revenues derived from customers whose revenues accounted for at least 10% of the Company’s consolidated revenues for at least one of the periods indicated:</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Twelve months ended April 30,</w:t>
            </w:r>
          </w:p>
        </w:tc>
      </w:tr>
      <w:tr>
        <w:trPr>
          <w:trHeight w:val="236"/>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4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4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Eni S.p.A.</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EGP</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61%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 cutomer over 10%)</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3"/>
        </w:trPr>
        <w:tc>
          <w:tcPr>
            <w:tcW w:w="4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tcPr>
          <w:p>
            <w:pPr>
              <w:jc w:val="right"/>
              <w:ind w:right="70"/>
              <w:spacing w:after="0" w:line="203" w:lineRule="exact"/>
              <w:rPr>
                <w:sz w:val="20"/>
                <w:szCs w:val="20"/>
                <w:color w:val="auto"/>
              </w:rPr>
            </w:pPr>
            <w:r>
              <w:rPr>
                <w:rFonts w:ascii="Arial" w:cs="Arial" w:eastAsia="Arial" w:hAnsi="Arial"/>
                <w:sz w:val="18"/>
                <w:szCs w:val="18"/>
                <w:color w:val="auto"/>
                <w:w w:val="87"/>
              </w:rPr>
              <w:t>%</w:t>
            </w: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order to achieve success in commercializing our products, we must expand our customer base and obtain commercial contracts to lease or sell our solutions and services to customers. Our potential customer base for our </w:t>
      </w:r>
      <w:r>
        <w:rPr>
          <w:rFonts w:ascii="Arial" w:cs="Arial" w:eastAsia="Arial" w:hAnsi="Arial"/>
          <w:sz w:val="17"/>
          <w:szCs w:val="17"/>
          <w:color w:val="333333"/>
        </w:rPr>
        <w:t>solutions</w:t>
      </w:r>
      <w:r>
        <w:rPr>
          <w:rFonts w:ascii="Arial" w:cs="Arial" w:eastAsia="Arial" w:hAnsi="Arial"/>
          <w:sz w:val="17"/>
          <w:szCs w:val="17"/>
          <w:color w:val="auto"/>
        </w:rPr>
        <w:t xml:space="preserve">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as well as consultative and other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Current and Recent Customers</w:t>
      </w:r>
    </w:p>
    <w:p>
      <w:pPr>
        <w:spacing w:after="0" w:line="225"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2020, the Company entered into an agreement with the OOC under which the Company will provide engineering and technical services for a new project under the DeepStar Global Technology Consortium Program.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2020, the Company entered into an agreement with ACET to conduct a feasibility study for the evaluation of a PB3 power and 5G communications solution in support of the U.S. Navy Naval Postgraduate School’s SLAMR.</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March 2020, Eni exercised their option from the March 2018 contract to extend their lease of the PB3 for an additional 18 months. The initial provision in March 2018 agreement provided for a minimum 24-month contract that included an 18-month PB3 lease and associated project management. In November 2020, Eni retrieved the PB3 and returned it to shore due to a mooring issue.</w:t>
      </w:r>
    </w:p>
    <w:p>
      <w:pPr>
        <w:spacing w:after="0" w:line="165"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September 2019, we entered two contracts with subsidiaries of EGP, which included the sale of a PB3 and the development and supply of a turn-key integrated Open Sea Lab (“OSL”) that was expected to be the Company’s first deployment off the coast of Chile. Due to the COVID-19 pandemic, EGPdeclared force majeure in April 2020 and delayed the deployment. In March 2021, the Company began the deployment process and placed the PB3 in the water. Additional deployment activities are planned in the summer of 2021.</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2019, we entered into an agreement with a leading oil and gas operator to conduct a detailed feasibility study of using the Company’s technology to monitor subsea wells.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2019, we entered a contract with the U.S. Navy to carry out the first phase of a project to design and develop a buoy mooring system, which incorporates fiber optics for the transmission of subsea sensor data to airplanes, ships, and satellites.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June 2018, we entered into a contract with Harbour Energy for the lease of a PB3 to be deployed in one of Harbour Energy’s offshore fields in the North Sea. </w:t>
      </w:r>
      <w:r>
        <w:rPr>
          <w:rFonts w:ascii="Arial" w:cs="Arial" w:eastAsia="Arial" w:hAnsi="Arial"/>
          <w:sz w:val="18"/>
          <w:szCs w:val="18"/>
          <w:color w:val="222222"/>
        </w:rPr>
        <w:t>During its deployment, the PB3 provided unmanned EZM service. In early March 2020 the Company and Harbour Energy</w:t>
      </w:r>
      <w:r>
        <w:rPr>
          <w:rFonts w:ascii="Arial" w:cs="Arial" w:eastAsia="Arial" w:hAnsi="Arial"/>
          <w:sz w:val="18"/>
          <w:szCs w:val="18"/>
          <w:color w:val="auto"/>
        </w:rPr>
        <w:t xml:space="preserve"> </w:t>
      </w:r>
      <w:r>
        <w:rPr>
          <w:rFonts w:ascii="Arial" w:cs="Arial" w:eastAsia="Arial" w:hAnsi="Arial"/>
          <w:sz w:val="18"/>
          <w:szCs w:val="18"/>
          <w:color w:val="222222"/>
        </w:rPr>
        <w:t>retrieved the PB3.</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our solutions are best developed, sold, deployed, and maintained together with subject matter experts in their respective fields. This enables OPT to protect, maintain, and evolve our power platforms and integrate them with surface and subsea payloads. OPT has previously entered into partnerships focusing on including, but not limited to, deployment and installations, sourcing of surface payloads, and integration with autonomous vehicles. OPT is also entering into software and robotics partnerships to further develop the MDA solution offering.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we are in active discussions with larger systems integrators to develop partnerships focusing on selling our platforms and solutions as part of larger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April 30, 2021, our backlog was $0.2 million compared to a backlog of $1.0 million as of April 30, 2020.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Larger Power</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there is a near and longer-term demand for larger power for applications in several markets. The continued electrification of the seabed, together with the increased volume of sensors and vehicles available on the market, requires larger power devices in the &lt;20kW range.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innovate through our research and development efforts to bring to market devices with power ranges larger than the hybrid and including other wave energy converter platforms beyond our current offerings. In parallel, the Company is investigating larger power alternatives, in cooperation with design and installation contractors, and other technical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MDA-S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Expanding on our experience with our own initial prototype MSS system, we intend development of the next generation MDA-S, which will combine radar, marine automatic identification system (“AIS”) and camera data with a custom developed command and control system to provide actionable information for our end users. We believe the sensor suite will be a combination of off-the-shelf components selected to optimize performance and cost.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system could be utilized as a standalone node or in an array, which we believe will provide near real-time information about the marine activity within a customer’s area of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engaged our resources to improve PB3 efficiency, reliability and power output, and improve manufacturability while reducing cost and complexity. Our recent efforts have been focused on reducing the cost of our PB3 systems and their deployment costs in order to balance customer cost with our solution value proposition. We continue to seek to increase the capabilities of our PB3 systems by designing flexible interfaces and rendering them sensor and payload agnostic.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our technology differentiates us from other providers of wave energy conversion technologies. As a result, our success depends in part on our ability to obtain and maintain proprietary protection for our products, technology and know-how, to operate without infringing upon the proprietary rights of others, and to prevent others from infringing upon our proprietary rights. Our policy is to seek to protect our proprietary position by, among other methods, filing U.S.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April 2021, we have been issued 66 U.S. patents, of which 41 are active, 14 have expired and 9 were abandoned. Outside of the U.S., we have been issued 239 patents across 15 countries with 20 of the active U.S. patents having at least one corresponding issued foreign patent. We have filed one additional U.S. patent application since April 29, 2020, and such patent application has four corresponding foreign patent applications at this time. Our patent portfolio includes patents and patent applications with claims directed to:</w:t>
      </w:r>
    </w:p>
    <w:p>
      <w:pPr>
        <w:spacing w:after="0" w:line="187" w:lineRule="exact"/>
        <w:rPr>
          <w:sz w:val="20"/>
          <w:szCs w:val="20"/>
          <w:color w:val="auto"/>
        </w:rPr>
      </w:pPr>
    </w:p>
    <w:p>
      <w:pPr>
        <w:ind w:left="780" w:hanging="65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 design;</w:t>
      </w:r>
    </w:p>
    <w:p>
      <w:pPr>
        <w:spacing w:after="0" w:line="23" w:lineRule="exact"/>
        <w:rPr>
          <w:rFonts w:ascii="Arial" w:cs="Arial" w:eastAsia="Arial" w:hAnsi="Arial"/>
          <w:sz w:val="18"/>
          <w:szCs w:val="18"/>
          <w:color w:val="auto"/>
        </w:rPr>
      </w:pPr>
    </w:p>
    <w:p>
      <w:pPr>
        <w:ind w:left="780" w:hanging="65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systems;</w:t>
      </w:r>
    </w:p>
    <w:p>
      <w:pPr>
        <w:spacing w:after="0" w:line="9" w:lineRule="exact"/>
        <w:rPr>
          <w:rFonts w:ascii="Arial" w:cs="Arial" w:eastAsia="Arial" w:hAnsi="Arial"/>
          <w:sz w:val="18"/>
          <w:szCs w:val="18"/>
          <w:color w:val="auto"/>
        </w:rPr>
      </w:pPr>
    </w:p>
    <w:p>
      <w:pPr>
        <w:ind w:left="780" w:hanging="65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conversion;</w:t>
      </w:r>
    </w:p>
    <w:p>
      <w:pPr>
        <w:spacing w:after="0" w:line="9" w:lineRule="exact"/>
        <w:rPr>
          <w:rFonts w:ascii="Arial" w:cs="Arial" w:eastAsia="Arial" w:hAnsi="Arial"/>
          <w:sz w:val="18"/>
          <w:szCs w:val="18"/>
          <w:color w:val="auto"/>
        </w:rPr>
      </w:pPr>
    </w:p>
    <w:p>
      <w:pPr>
        <w:ind w:left="780" w:hanging="65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anchoring and mooring; and</w:t>
      </w:r>
    </w:p>
    <w:p>
      <w:pPr>
        <w:spacing w:after="0" w:line="9" w:lineRule="exact"/>
        <w:rPr>
          <w:rFonts w:ascii="Arial" w:cs="Arial" w:eastAsia="Arial" w:hAnsi="Arial"/>
          <w:sz w:val="18"/>
          <w:szCs w:val="18"/>
          <w:color w:val="auto"/>
        </w:rPr>
      </w:pPr>
    </w:p>
    <w:p>
      <w:pPr>
        <w:ind w:left="780" w:hanging="65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wave farm architecture.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expiration dates for our issued U.S. patents range from 2021 to 2039.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8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We use trademarks on nearly all our products and believe that having distinctive marks is an important factor in marketing our products. We have registered our 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PB-Vue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PowerTower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Making Waves in Power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Talk on Water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marks in the United States. Trademark ownership is generally of indefinite duration when marks are properly maintained in commercial use.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PowerBuoys</w:t>
      </w:r>
      <w:r>
        <w:rPr>
          <w:rFonts w:ascii="Arial" w:cs="Arial" w:eastAsia="Arial" w:hAnsi="Arial"/>
          <w:sz w:val="17"/>
          <w:szCs w:val="17"/>
          <w:color w:val="333333"/>
        </w:rPr>
        <w:t>®</w:t>
      </w:r>
      <w:r>
        <w:rPr>
          <w:rFonts w:ascii="Arial" w:cs="Arial" w:eastAsia="Arial" w:hAnsi="Arial"/>
          <w:sz w:val="17"/>
          <w:szCs w:val="17"/>
          <w:color w:val="auto"/>
        </w:rPr>
        <w:t xml:space="preserve"> are subject to regulation in the U.S. and in foreign jurisdictions concerning, among other areas, site approval and environmental approval and compliance. In order to encourage the adoption of offshore power solutions, many governments offer subsidies and other financial incentives and have mandated renewable energy targets, which some of our customers may be able to leverage. However, these subsidies, incentives and targets may not be applicable to our technology and therefore may not be available to our customers.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renewable energy industry has also been subject to increasing regulation. As the renewable energy industry continues to evolve and as the wave energy industry continues to evolve, we anticipate that wave energy technology and our PowerBuoys</w:t>
      </w:r>
      <w:r>
        <w:rPr>
          <w:rFonts w:ascii="Arial" w:cs="Arial" w:eastAsia="Arial" w:hAnsi="Arial"/>
          <w:sz w:val="16"/>
          <w:szCs w:val="16"/>
          <w:color w:val="333333"/>
        </w:rPr>
        <w:t>®</w:t>
      </w:r>
      <w:r>
        <w:rPr>
          <w:rFonts w:ascii="Arial" w:cs="Arial" w:eastAsia="Arial" w:hAnsi="Arial"/>
          <w:sz w:val="16"/>
          <w:szCs w:val="16"/>
          <w:color w:val="auto"/>
        </w:rPr>
        <w:t xml:space="preserve"> and their deployment will be subject to increased oversight and regulation in accordance with international, national and local regulations relating to safety, sites, and environmental protection.</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Site Approval. </w:t>
      </w:r>
      <w:r>
        <w:rPr>
          <w:rFonts w:ascii="Arial" w:cs="Arial" w:eastAsia="Arial" w:hAnsi="Arial"/>
          <w:sz w:val="16"/>
          <w:szCs w:val="16"/>
          <w:color w:val="auto"/>
        </w:rPr>
        <w:t>In the U.S., federal agencies regulate the siting of long-term renewable energy projects and related-uses located on the outer</w:t>
      </w:r>
      <w:r>
        <w:rPr>
          <w:rFonts w:ascii="Arial" w:cs="Arial" w:eastAsia="Arial" w:hAnsi="Arial"/>
          <w:sz w:val="16"/>
          <w:szCs w:val="16"/>
          <w:i w:val="1"/>
          <w:iCs w:val="1"/>
          <w:color w:val="auto"/>
        </w:rPr>
        <w:t xml:space="preserve"> </w:t>
      </w:r>
      <w:r>
        <w:rPr>
          <w:rFonts w:ascii="Arial" w:cs="Arial" w:eastAsia="Arial" w:hAnsi="Arial"/>
          <w:sz w:val="16"/>
          <w:szCs w:val="16"/>
          <w:color w:val="auto"/>
        </w:rPr>
        <w:t>continental shelf (“OCS”), which is generally more than three miles offshore. OCS projects longer than one-year in duration are regulated by the U.S. Bureau of Ocean Energy Management (“BOEM”). For projects located within three miles of the U.S. shore regardless of duration, the adjacent state would be responsible for issuing a lease and other required authorizations for the location of the project. In either case, an assessment of the potential environmental impact of the project would be conducted in addition to other requirements. Generally, the same process applies to foreign sites where site approval is contingent on meeting both national and local regulatory and environmental requirements. In connection with issuing permits or leases enabling project use, the respective government agency often requires site restoration or other activities at the conclusion of the permit or lease period.</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Environmental Approval, Compliance, and Health and Safety. </w:t>
      </w:r>
      <w:r>
        <w:rPr>
          <w:rFonts w:ascii="Arial" w:cs="Arial" w:eastAsia="Arial" w:hAnsi="Arial"/>
          <w:sz w:val="16"/>
          <w:szCs w:val="16"/>
          <w:color w:val="auto"/>
        </w:rPr>
        <w:t>We are subject to various foreign, federal, state and local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health and safety laws and regulations governing, among other things: the generation, storage, handling, use and transportation of hazardous materials; the emission and discharge of hazardous materials into the ground, air or water; and the health and safety of our employees. In addition, in the U.S., the construction and operation of PowerBuoys® offshore would require permits and approvals from the U.S. Coast Guard, the U.S. Army Corps of Engineers and other governmental authorities. These required permits and approvals evaluate, among other things, whether a project is in the public interest and ensure that the project would not create a hazard to navigation. Other foreign and international laws may require similar approvals.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Subsidies and Incentives. </w:t>
      </w:r>
      <w:r>
        <w:rPr>
          <w:rFonts w:ascii="Arial" w:cs="Arial" w:eastAsia="Arial" w:hAnsi="Arial"/>
          <w:sz w:val="18"/>
          <w:szCs w:val="18"/>
          <w:color w:val="auto"/>
        </w:rPr>
        <w:t>Renewable energy subsidies and incentives are generally applicable only to electric generation and supply to the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grid. However, our autonomous applications may permit a customer to reduce its carbon emissions, which our potential customers may be able to publicize in their environmental stewardship reports.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engage in two types of manufacturing activities: 1) the manufacturing of the high value-added PTO components for systems control, power generation and conversion, and energy storage for each PB3; and 2) contracting with outside companies for the fabrication of the buoy structure, mooring system, and cabling.</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core in-house manufacturing activity is the assembly, final systems integration and testing of the PTO and its components, which is conducted at our New Jersey facility. The power generation system consists of electro-mechanical components, and the control modules include the critical electrical and electronic systems that convert the mechanical energy into usable electricity. The sensors and control systems use sophisticated technology to optimize the performance of the PB3 in response to changing operating conditions and payload power demand. We maintain a portfolio of patents, including those that cover our power generation, power conversion and control technologies.</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purchase the remaining components and materials for each PB3 from various vendors. We provide specifications to each vendor, and they are responsible for performing quality analysis and quality control over the course of construction, subject to our review of the quality and test procedure results. After the vendor completes the testing of the buoy structure, it is transported to our facility for final integration of the PTO. We do not believe that we are dependent on any single vendor for manufacturing the components of and materials for our PB3, and we believe that there are many available manufacturers for our component parts if a particular manufacturing partner should become unavailable or too expensive. However, we have only manufactured our PB3 in limited quantities for use in development and testing and have limited commercial manufacturing experience, and our work with our vendors has not included work on multiple orders on time-critical deadlines. Moreover, we do not have long-term contracts with our third-party manufacturers or vendors. In order to be successful in our efforts to commercialize our PB3, we will need to secure stable relationships with a variety of manufacturers and vendors that can supply component parts and materials for our PB3 products.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corporate headquarters and manufacturing operations are located in Monroe Township, New Jersey. Our facility offers approximately 56,000 square feet of manufacturing and office space. This facility allows for expansion of our manufacturing capabilities and a move toward higher volume production of our solutions. The Company also has a lease for office workspace located in Houston, Texas which is used by business development and sales personnel. The Company also has one lease for 2,046 square feet of office space, also located in Houston, Texas that was acquired as part of the 3Dent acquisition. We believe these offices are suitable, adequate and provide productive capacity for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believes that its future success is dependent in part on its continued ability to attract, hire and retain qualified personnel. Therefore, investing, developing and maintaining human capital is critical to our success. The Company strives to provide its employees with a safe and healthy workplace. On April 30, 2021, the Company had 46 full-time employees as compared to 36 at April 30, 2020. None of the Company’s employees are covered by collective bargaining agreements. The Company is an equal opportunity employer. It is the Company’s policy to recruit, hire, train and promote personnel in all job classifications, without regard to race, religion, color, national origin, sex or age. The Company is committed to inclusivity and diversity across its entire operation and fostering a culture where everyone feels empowered to do their best work. Cultivating a diverse and inclusive workplace helps us embrace different perspectives, talents and experiences. We believe achieving a culture of integrity and transparency starts with leadership and encourages every employee to work in support of the Company’s goals. Continuous employee engagement helps us understand our employees’ perspectives and identify areas for additional focus.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aims to ensure that its employees have a healthy and safe work environment, which include policies to guide our efforts. We take a proactive approach to the identification and control of environment, health and safety risks. We work to continuously improve our Health, Safety, and Environment (“HSE”) performance through methodologies that aim to prevent workplace injuries and illness and provide ongoing education to employees. On June 2, 2021, the Company achieved ISO 45001 certification for a 3-year term, expiring on June 1, 2024. Additionally, our safety focus was evident during our response to the coronavirus pandemic, where we implemented additional health and safety measures, including rigorous cleaning protocols at our facility, enhanced sanitization, social distancing, temperature screenings, cloth facemasks and hand sanitizers.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recognizes the importance of Environmental, Social and Governance (“ESG”) as essential elements to its success and it strives to deliver innovative products and solutions while working with high integrity, a strong governance culture and respect for human rights. The Company believes that consideration of ESG matters is important to how it, and its solutions and services affect the environments and societies in which it operates around the world. In addition, the Company consistently drives to meet its regulatory standards and requirements around HSE protection. The Company also views itself as a responsible corporate citizen throughout the execution of its operations, which is emphasized in its goal to provide zero-carbon and low-carbon power and data solutions for offshore industries, scientific research and territorial security. It is the goal that all Company products have minimal environmental impact when compared to other potential solutions. Lastly, the Company also has had a growing commitment to its local communities through volunteering and internship programs. The Company has volunteer days for its employees and provides internship opportunities to local college students, and in 2020, the Company fabricated and donated face shields for first responders and medical personnel throughout New Jersey.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and all amendments to those reports are made available free of charge through the Investor Relations section of the Company’s website (www.oceanpowertechnologies.com) as soon as practicable after such material is electronically filed with, or furnished to, the SEC. Material contained on our website is not incorporated by reference in this report. Our executive offices are located at 28 Engelhard Drive, Suite B, Monroe Township, New Jersey, 08831, and our telephone number is (609) 730-0400. The information on our website is not a part of this Annual Report. Our common stock has been listed under the symbol “OPTT” on Nasdaq since April 24, 2007, and since July 2015, our common stock was listed on the Nasdaq Capital Market until June 2021, when the listing was transferred to the NYSE American. The public may also read and copy any materials that we file with the Securities and Exchange Commission (“SEC”) at the SEC’s Public Reference Room at 100 F Street, NE, Washington, D.C. 20549. The public may obtain information on the operation of the Public Reference Room by calling the SEC at 1-800-SEC-0330. The SEC also maintains an Internet website that contains reports and other information regarding issuers that file electronically with the SEC located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Business Update Regarding COVID-19</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COVID-19 pandemic presented substantial health and economic risks, uncertainties and challenges to our business, the global economy, and financial markets. In March 2020, one of the Company’s customers cancelled a portion of their contract due to the outbreak of COVID-19 and instead extended an existing lease. In April 2020, the Company declared force majeure on a contract with a different customer and delayed the deployment of its PB3 PowerBouy® in Chile. For additional information on various uncertainties and risks posed by the COVID-19 pandemic, see Part I, Item 1A “Risk Factors” of this report.</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Bank, N.A. (“Santander”) as the lender for $890,347 in support through the Small Business Association (“SBA”) under the PPP loan. The PPP loan is unsecured and evidenced by a note in favor of Santander as the lender and governed by a Loan Agreement with Santander. The interest rate is 1% and the loan is repayable over two years. The loan contains customary events of defaults relating to, among other things, payment defaults or breaches of the terms of the loan. Upon the occurrence of an event of default, the lender may require immediate repayment of all outstanding amounts under the loan. Interest and principal payments are deferred for the first 6 months from the date of the loan. Principal and interest are payable monthly commencing 6 months after the disbursement date and may be repaid by the Company at any time prior to maturity with no prepayment penalties. The Company received the proceeds on May 5, 2020.</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and the loan is now fully forgiven.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carefully consider the following risk factors together with the other information contained in this Annual Report, and in prior periodic and current reports. If any of the following risks actually occur, they may materially harm our business and our financial condition and results of operations. In this event, the market price of our common stock could decline, and your investment could be lost.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$14.7 million and $10.4 million in fiscal 2021 and 2020, respectively. As of April 30, 2021, we had an accumulated deficit of $234.8 million. To date, our activities have consisted primarily of activities related to the development and testing of our technologies and commercializing our products and solutions. Thus, our losses to date have resulted primarily from costs incurred in our research and development programs and from our selling, general and administrative costs. As we continue to develop our proprietary technologies, we expect to continue to have a net loss and use of cash from operating activities unless or until we achieve positive cash flow from the commercialization of our products and services.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products or whether we can achieve profitability. There is significant uncertainty about our ability to successfully commercialize our products in our targeted markets. Even if we do achieve commercialization of our products and solutions and become profitable, we may not be able to achieve or, if achieved, sustain profitability on a quarterly or annual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from quarter to quarter, which may make it difficult to predict our future performance.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financial results may fluctuate as a result of several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192" w:lineRule="exact"/>
        <w:rPr>
          <w:sz w:val="20"/>
          <w:szCs w:val="20"/>
          <w:color w:val="auto"/>
        </w:rPr>
      </w:pPr>
    </w:p>
    <w:p>
      <w:pPr>
        <w:ind w:left="780" w:hanging="651"/>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permitting or acquiring necessary regulatory consents;</w:t>
      </w:r>
    </w:p>
    <w:p>
      <w:pPr>
        <w:spacing w:after="0" w:line="225" w:lineRule="exact"/>
        <w:rPr>
          <w:rFonts w:ascii="Arial" w:cs="Arial" w:eastAsia="Arial" w:hAnsi="Arial"/>
          <w:sz w:val="18"/>
          <w:szCs w:val="18"/>
          <w:color w:val="auto"/>
        </w:rPr>
      </w:pPr>
    </w:p>
    <w:p>
      <w:pPr>
        <w:ind w:left="5540" w:right="5140" w:hanging="5411"/>
        <w:spacing w:after="0" w:line="659" w:lineRule="auto"/>
        <w:tabs>
          <w:tab w:leader="none" w:pos="7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in the timing of contract awards and determinations of work scope;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funding for or deployment of wave energy projects;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COVID-19 on our customers and contracts;</w:t>
      </w:r>
    </w:p>
    <w:p>
      <w:pPr>
        <w:spacing w:after="0" w:line="225"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170" w:lineRule="exact"/>
        <w:rPr>
          <w:rFonts w:ascii="Arial" w:cs="Arial" w:eastAsia="Arial" w:hAnsi="Arial"/>
          <w:sz w:val="18"/>
          <w:szCs w:val="18"/>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successfully develop and market new products;</w:t>
      </w:r>
    </w:p>
    <w:p>
      <w:pPr>
        <w:spacing w:after="0" w:line="225"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meeting, or the failure to meet, specified contractual milestones or other performance criteria under project contracts or in completing project contracts that could delay or prevent the recognition of revenue that would otherwise be earned;</w:t>
      </w:r>
    </w:p>
    <w:p>
      <w:pPr>
        <w:spacing w:after="0" w:line="170" w:lineRule="exact"/>
        <w:rPr>
          <w:rFonts w:ascii="Arial" w:cs="Arial" w:eastAsia="Arial" w:hAnsi="Arial"/>
          <w:sz w:val="18"/>
          <w:szCs w:val="18"/>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made by parties with whom we have commercial relationships not to proceed with anticipated projects;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length of our sales cycle; and</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inherent uncertainties in our manufacturing processes.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translation and transaction risk may adversely affect our business, financial condition and results of operations.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reporting currency is the U.S. dollar, and sometimes we incur costs in the local currency of countries in which our customers and suppliers are located. As a result, we are subject to currency translation risk. A large percentage of our revenues have historically been generated outside the United States and can be denominated in foreign currencies of our customers. Changes in exchange rates between foreign currencies and the U.S. dollar could affect our revenues and cost of revenues and could result in exchange losses.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we have funded our business operations through sales of equity securities. While we have raised approximately $83.4 million since April 30, 2021, and believe that this is sufficient to fund our operations for the foreseeable future, we do not know whether we will be able to secure additional funding if needed in the future or, if secured, whether the terms will be favorable to us or our investors. Our ability to obtain additional funding will be subject to several factors, including market conditions, our operating performance, litigation and investor sentiment. These factors may make additional funding unavailability, or the timing, dollar amount, and terms and conditions of additional funding unattractive.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issue additional securities to raise capital, our existing stockholders could experience dilution or may be subordinated to any rights, preferences or privileges granted to the new security holders. In particular, any new securities issued could have rights senior to those associated with our common stock and could contain covenants that would restrict our operations. Should the financing we require to sustain our working capital needs be unavailable or prohibitively expensive when we require it, our business, operating results, financial condition and prospects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affect the Company’s business, financial condition and results of operation.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COVID-19 outbreak has caused significant disruption in the financial markets both globally and in the U.S., as well as increased travel restrictions and disruption and shutdown of certain businesses in the U.S. and abroad, including disruptions to our own business. Although COVID is no longer having a significant impact on our business, we may continue to experience impacts from changes in customer behavior. Our business is dependent upon the willingness and ability of our customers to conduct transactions, as well as the ability of customers to meet existing payment or other obligations. The extent to which COVID-19 impacts our results will ultimately depend on future developments and will include future actions which may be taken by governments and private businesses to attempt to contain COVID-19.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Growth Of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for substantially all of our revenues. The loss of, or a significant reduction in revenues from, any of these customers could significantly reduce our revenues and harm our operating results.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a small number of customers have provided substantially all of our revenues, and we expect that such concentration will continue for the foreseeable future. In fiscal 2021, revenue from commercial contracts accounted for 100% of our revenues and governmental contracts accounted for 0%. In fiscal 2020, revenues from commercial contacts accounted for 94% of our revenues and governmental contracts accounted for 6%. Because we currently have a small number of customers and contracts, problems with a single contract would adversely affect our business, financial condition and results of operations.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customer’s payment default, or the loss of a customer as a result of competition, creditworthiness, our failure to perform, our inability to negotiate extensions or replacements of contracts, or otherwise, would adversely affect our business, financial condition and results of operations. We cannot assure you that we will be successful in our efforts to secure additional commercial customers, or additional revenue-generating contracts.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Wave energy technology may not gain broad commercial acceptance and, therefore, our revenues may not increase, and we may be unable to achieve and, even if achieved, sustain profitability.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Wave energy technology may not gain commercial acceptance, and the extent to which wave energy power generation will be commercially viable is uncertain. Many factors may affect the commercial acceptance of wave energy technology, including the following:</w:t>
      </w:r>
    </w:p>
    <w:p>
      <w:pPr>
        <w:spacing w:after="0" w:line="170" w:lineRule="exact"/>
        <w:rPr>
          <w:sz w:val="20"/>
          <w:szCs w:val="20"/>
          <w:color w:val="auto"/>
        </w:rPr>
      </w:pPr>
    </w:p>
    <w:p>
      <w:pPr>
        <w:ind w:left="780" w:hanging="65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reliability and cost-effectiveness of wave energy technology compared to conventional sources and products;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economic and market conditions, such as increases or decreases in the prices of oil and other fossil fuels;</w:t>
      </w:r>
    </w:p>
    <w:p>
      <w:pPr>
        <w:spacing w:after="0" w:line="225"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new and profitable applications requiring the type of remote electric power provided by our autonomous wave energy systems.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wave energy technology does not gain broad commercial acceptance, it is unlikely that we will be able to commercialize our solutions and power generating platform services and our business will be materially harmed, in which case, we may curtail or cease operations.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sufficient demand for our solutions and power generating platform services or new products does not develop or takes longer to develop than we anticipate, our revenue generation will be limited, and it is unlikely that we will be able to achieve and, if achieved, then sustain profitability.</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if wave energy technology achieves broad commercial acceptance, our PowerBuoys® may not prove to be a commercially viable technology for generating electricity from ocean waves. We have invested a significant portion of our time and financial resources since our inception in the development of our PowerBuoys® but have not yet achieved successful commercialization of our PowerBuoys. As we seek to manufacture, market, sell and deploy our PowerBuoys® in greater quantities, we may encounter unforeseen hurdles that would limit the commercial viability of our PowerBuoys®, including unanticipated manufacturing, deployment, operating, maintenance and other costs. Our target customers and we may also encounter technical obstacles to deploying, operating and maintaining PowerBuoys®.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demand for our PowerBuoys® or new products fails to develop sufficiently, it is unlikely that we will be able to grow our business or generate sufficient revenues to achieve and then sustain profitability. In addition, demand for PowerBuoys® in our presently targeted markets, including parts of North and South America, Europe and Asia, may not develop or may develop to a lesser extent than we anticipate.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not successful in commercializing our PowerBuoy® or new products, or are significantly delayed in doing so, our business, financial condition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and retain management and other qualified personnel, we may not be able to achieve our business objectives.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success depends on the skills, experience and efforts of our senior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Changes in senior management are inherently disruptive, and efforts to implement any new strategic or operating goals may not succeed in the absence of a long-term management team. Changes to strategic or operating goals with the appointment of new executives may themselves prove to be disruptive. Periods of transition in senior management leadership are often difficult as new executives gain detailed knowledge of our operations, b because of cultural differences, that may result from changes in strategy and style. Without consistent and experienced leadership, customers, employees, creditors, stockholders and others may lose confidence in us.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be successful, we need to retain key personnel. Qualified individuals, including engineers and project managers, are in high demand, and we may incur significant costs to attract and retain them. With the exception of our President and Chief Executive Officer, all of our employees are at-will employees, which means they can terminate their employment relationship with us at any time, and their knowledge of our business and industry would be difficult to replace. If we lose the services of key personnel, or do not hire or retain other personnel for key positions, our business, results of operations and stock price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this could adversely affect our business and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scope of our operations to date has been limited, and we do not have experience operating on the scale that we believe may be necessary to achieve profitable operations. Our current personnel, facilities, systems and internal procedures and controls may not be adequate to support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desired growth, we may need to add sales, marketing and engineering offices in our existing and/or additional locations nationally or internationally, which may result in additional organizational complexity.</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manage the expansion of our operations, we may be required to improve our operational and financial systems, procedures and controls, increase our manufacturing capacity and throughput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important element of our business strategy is to enter into service contracts with our customers under which we would be paid fees for services related to the maintenance and operation of our products purchased from us. In addition, we may offer to lease our products, sell power generated by our products or sell data gathered by sensors on our products. Even if customers purchase or lease our products, they may not enter into service contracts with us. We may not be able to negotiate service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our products could be impaired. Any one of these outcomes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Since our products and solutions can only be deployed in certain geographic locations, our ability to grow our business could be adversely affected.</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products and solutions are designed for use offshore, but not all offshore areas worldwide have appropriate natural resources for our products to harness wave energy. Seasonal and local variations, water depth and the effect of particular locations of islands and other geographical features may limit our ability to deploy our products in certain coastal areas. If we are unable to identify and deploy products at sufficient sites with appropriate natural resources to permit our products to capture wave energy, our ability to grow our business could be adversely affected.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been and expect to continue to be highly dependent on third parties to supply or manufacture components for our products. If, for any reason, our third-party manufacturers or vendors are not willing or able to provide us with components or supplies in a timely fashion, or at all, our ability to manufacture and sell many of our products could be impaired.</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ind w:firstLine="648"/>
        <w:spacing w:after="0" w:line="257" w:lineRule="auto"/>
        <w:rPr>
          <w:sz w:val="20"/>
          <w:szCs w:val="20"/>
          <w:color w:val="auto"/>
        </w:rPr>
      </w:pPr>
      <w:r>
        <w:rPr>
          <w:rFonts w:ascii="Arial" w:cs="Arial" w:eastAsia="Arial" w:hAnsi="Arial"/>
          <w:sz w:val="18"/>
          <w:szCs w:val="18"/>
          <w:color w:val="auto"/>
        </w:rPr>
        <w:t>In addition, we rely on third parties, under our oversight, for the deployment and mooring for products. We have utilized several different deployment methods, including towing our products to the deployment location and transporting our products to the deployment location by barge or ocean workboat. If these third parties do not properly deploy our systems, cannot effectively deploy the products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targeted markets are highly competitive. We compete against incumbent solutions already being utilized by our customers and potential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effectively, we may be unable to increase our revenues and achieve or maintain profitability.</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principal targeted markets include offshore oil and gas, defense and security, science and research and offshore wind. In our targeted markets, which are highly competitive, we compete against incumbent power solutions already being utilized by our customers and potential customers. If we are unable to demonstrate to our customers and our potential customers that our products are cost competitive to their existing alternative power solutions, or if it takes us longer to do so than we anticipate, we may be unable to expand our business, maintain our competitive position, satisfy our contractual obligations, continue to commercialize our products, or become profitable. In addition, if the cost associated with these development efforts exceeds our projections, our results of operations could be materially and adversely affected.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power to the capacity required for the application, we may not be able to respond effectively to competitive pressures from other renewable energy technologies or improvements to existing technologies.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market and plan to market our products in multiple international markets. If we are unable to manage our international operations effectively, our business, financial condition and results of operations could be adversely affected.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market and plan to market our products in multiple global regions, including parts of North and South America, Europe, and Asia, and we are therefore subject to risks associated with having international operations. Revenues from customers who are based outside of the U.S. accounted for 86% of our revenues in fiscal 2021 and 94% of our revenues in fiscal 2020. Risks inherent in international operations include, but are not limited to, the following:</w:t>
      </w:r>
    </w:p>
    <w:p>
      <w:pPr>
        <w:spacing w:after="0" w:line="149" w:lineRule="exact"/>
        <w:rPr>
          <w:sz w:val="20"/>
          <w:szCs w:val="20"/>
          <w:color w:val="auto"/>
        </w:rPr>
      </w:pPr>
    </w:p>
    <w:p>
      <w:pPr>
        <w:ind w:left="780" w:hanging="65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the countries in which we operate;</w:t>
      </w:r>
    </w:p>
    <w:p>
      <w:pPr>
        <w:spacing w:after="0" w:line="225" w:lineRule="exact"/>
        <w:rPr>
          <w:rFonts w:ascii="Arial" w:cs="Arial" w:eastAsia="Arial" w:hAnsi="Arial"/>
          <w:sz w:val="18"/>
          <w:szCs w:val="18"/>
          <w:color w:val="auto"/>
        </w:rPr>
      </w:pPr>
    </w:p>
    <w:p>
      <w:pPr>
        <w:ind w:left="780" w:right="20" w:hanging="651"/>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adverse changes in foreign laws or regulatory requirements, including those with respect to renewable energy, environmental protection, permitting, export duties and quotas;</w:t>
      </w:r>
    </w:p>
    <w:p>
      <w:pPr>
        <w:spacing w:after="0" w:line="170"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barriers such as export requirements, tariffs, taxes and other restrictions and expenses, which could increase the prices of our products and make us less competitive in some countries;</w:t>
      </w:r>
    </w:p>
    <w:p>
      <w:pPr>
        <w:spacing w:after="0" w:line="170" w:lineRule="exact"/>
        <w:rPr>
          <w:rFonts w:ascii="Arial" w:cs="Arial" w:eastAsia="Arial" w:hAnsi="Arial"/>
          <w:sz w:val="18"/>
          <w:szCs w:val="18"/>
          <w:color w:val="auto"/>
        </w:rPr>
      </w:pPr>
    </w:p>
    <w:p>
      <w:pPr>
        <w:ind w:left="780" w:right="20" w:hanging="651"/>
        <w:spacing w:after="0" w:line="25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exchange rates may affect demand for our products and may adversely affect our profitability in U.S. dollars to the extent the price of our products and cost of raw materials and labor are denominated in a foreign currency;</w:t>
      </w:r>
    </w:p>
    <w:p>
      <w:pPr>
        <w:spacing w:after="0" w:line="1" w:lineRule="exact"/>
        <w:rPr>
          <w:rFonts w:ascii="Arial" w:cs="Arial" w:eastAsia="Arial" w:hAnsi="Arial"/>
          <w:sz w:val="18"/>
          <w:szCs w:val="18"/>
          <w:color w:val="auto"/>
        </w:rPr>
      </w:pPr>
    </w:p>
    <w:p>
      <w:pPr>
        <w:ind w:left="780" w:hanging="65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with staffing and managing widespread operations;</w:t>
      </w:r>
    </w:p>
    <w:p>
      <w:pPr>
        <w:spacing w:after="0" w:line="210"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complexity of, and costs relating to compliance with, the different commercial and legal requirements of the overseas markets in which we offer and sell our products;</w:t>
      </w:r>
    </w:p>
    <w:p>
      <w:pPr>
        <w:spacing w:after="0" w:line="170" w:lineRule="exact"/>
        <w:rPr>
          <w:rFonts w:ascii="Arial" w:cs="Arial" w:eastAsia="Arial" w:hAnsi="Arial"/>
          <w:sz w:val="18"/>
          <w:szCs w:val="18"/>
          <w:color w:val="auto"/>
        </w:rPr>
      </w:pPr>
    </w:p>
    <w:p>
      <w:pPr>
        <w:ind w:left="780" w:hanging="65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and</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enforcing agreements in foreign legal systems.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anticipate that our contracts with our customers will generally include cancellation for convenience clauses that permit our customers to terminate the contract for their convenience; if a customer were to terminate its contract with us for convenience, this could materially adversely affect our business.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anticipate that our contracts with our customers will be structured as capital equipment contracts or capital equipment leases, and could include a cancellation for convenience clause, which we believe is relatively standard in these types of contracts. Cancellation for convenience clauses allow the customer to cancel the contract or lease at their option without cause prior to defined points in time, generally subject to a reasonable notice period. If any of our current or future customers were to cancel their contracts with us for convenience, such cancellation could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breaches of our systems and information technology could adversely impact our ability to operate.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utilize, develop, install and maintain a number of information technology systems. Various privacy and security laws require us to protect sensitive and confidential information from disclosure. In addition, we are bound by our customers and other contracts, as well as our own business practices, to protect confidential and proprietary information (whether it be ours or a third party’s information entrusted to us) from disclosure. Our computer systems, as well as those of our customers, contractors and other vendors, face the threat of unauthorized access, computer hackers, viruses, malicious code, cyber-attacks, phishing and other security incursions and system disruptions, including attempts to improperly access our confidential and proprietary information, as well as the confidential and proprietary information of our customers and other business partners. Industry-accepted security measures and technology to secure computer systems, and the information stored by cloud vendors on these systems are subject to threats. There can be no assurance that our efforts will prevent these threats. Further, as these security threats continue to evolve, we may be required to devote additional resources to protect, prevent, detect and respond against such threats. A party who circumvents our security measures, or those of our customers, contractors or other vendors, could misappropriate confidential or proprietary information, improperly manipulate data, or cause damage or interruptions to systems. Any of these events could damage our reputation, result in litigation and regulatory fines and penalties, or have a material adverse effect on our business,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only manufactured a limited number of PowerBuoys,® and to date we have not produced PowerBuoys® in any significant quantity for commercial production. Our PowerBuoys® may not have a sufficient operating history to confirm how they will perform over their estimated useful life.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date, we have only manufactured a limited number of PowerBuoys® for use in ocean testing and commercialization. As a result, our PowerBuoys® may not have a sufficient operating history to confirm how they will perform over their estimated useful life. Our technology may not yet have demonstrated that our engineering and test results can be duplicated in volume or in commercial production. If our PowerBuoy® is ultimately proven ineffective or unfeasible, we may not be able to expand the commercial production of our PowerBuoys® or we may become liable to our customers for quantities we are obligated but are unable to produce. If our PowerBuoys® perform below expectations, we could lose customers and face substantial repair and replacement expenses which could in turn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numerous accident and safety risks and hazards, including extreme environmental hazards, which are inherent in offshore operations.</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Portions of our operations are subject to hazards and risks inherent in the building, testing, deploying and maintenance of our products. These hazards and risks could result in personal injuries, loss of life, liberation of a product from its mooring due to extreme environmental conditions and damage caused by its drifting, and other damages which may include damage to our properties, including our products,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Our relationships with our strategic partners may not be successful, and we may not be successful in establishing additional relationships, either of which could adversely affect our ability to commercialize our products and services.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 important element of our business strategy is to enter into application development agreements and strategic alliances with companies committed to providing products and services which require in-ocean energy sources. Generally, these types of relationships obligate us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revenues or sources of financing. If we are unable to reach agreements with additional suitable alliance partners, we may fail to meet our business objectives for the commercialization of our products.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these relationships, such arrangements may be conditional upon our receipt of additional funding. There can be no assurance that we will receive such additional funding. In addition, strategic relationships may not be successful, and we may be unable to sell and market our products to these companies, their affiliates and customers in the future, or growth opportunities may not materialize. Any of which could adversely affect our business, financial condition and 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plan to manufacture key components of our products, including the PTO advanced control and generation systems, while outsourcing the manufacturing for other components of our products. However, we have only manufactured our products in limited quantities for use in development and testing and have limited commercial manufacturing experience, and our work with our vendors has not included work on multiple orders on time-critical deadlines. Our future success depends on our ability to significantly increase both our manufacturing capacity and production throughput in a cost-effective and efficient manner, and to manage multiple vendors with several orders on specific deadlines. In order to meet our growth objectives, we will need to increase our engineering, contract management, and manufacturing staff. There is intense competition for hiring qualified technical and engineering personnel. Therefore, we may not be able to hire a sufficient number of qualified personnel to allow us to meet our growth objectives.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may be unable to develop efficient, low-cost manufacturing capabilities and processes that enable us to meet the quality, price, engineering, design and production standards or production volumes necessary to successfully commercialize our products.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Problems with the quality or performance of our products would adversely affect our business, financial condition and results of operations.</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agreements with customers will generally include guarantees with respect to the quality and performance of our products. Because of the limited operating history of our products, we have been required to make analytical assumptions regarding the durability, reliability and performance of the systems, and we may not be able to predict whether and to what extent we may be required to perform under the guarantees that we expect to give our customers. Our assumptions could prove to be materially different from the actual performance of our products, causing us to incur substantial expense to repair or replace defective systems in the future. We will bear the risk of claims long after we have sold our products and recognized revenue. Moreover, any widespread product failures could adversely affect our business, financial condition and results of operations.</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not yet deployed a wave power array of two or more PowerBuoys® in a single geographic location. If we are unable to successfully deploy a multiple-system wave power array, our capability to generate revenues may be limited, and we may be unable to achieve and then maintain profitability.</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yet deployed a wave power array of two or more PowerBuoys®. Whether we are able to do so is contingent upon, among other things, our ability to manufacture and produce multiple PowerBuoys® in a short period of time, receipt of required governmental permits, obtaining adequate financing, successful array design and implementation and, finally, successful deployment and connection of the PowerBuoys®.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yet conducted ocean testing or otherwise installed in the ocean a multiple-system wave power array. In particular, unlike single-system wave power arrays, multiple-system wave power arrays may require the use of an underwater substation to connect the power transmission cables from, and collect the electricity generated by, each PowerBuoy® in the array. We have not yet deployed an underwater substation connected to multiple PowerBuoys®. In addition, unanticipated issues may arise with the logistics and mechanics of deploying and maintaining multiple PowerBuoys® at a single site and the additional equipment associated with these multiple system wave power arrays.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8"/>
          <w:szCs w:val="18"/>
          <w:color w:val="auto"/>
        </w:rPr>
        <w:t>The development and deployment of an array of PowerBuoys® could require us to incur significant expenses for preliminary engineering, permitting and other expenses before we can determine whether a project is feasible, economically attractive or capable of being financed. We may be unsuccessful in accomplishing any of these tasks or doing so on a timely basis.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future success in our selected markets depends in part on our ability to achieve cost savings over existing and incumbent solutions. If we are unable to achieve cost savings relating to our products, the commercial prospects for our products may be adversely affected.</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goal is to commercialize our products. Our success in meeting this objective depends, in part, on our ability to provide energy, data, and consulting services to our prospective customers at a cost savings over existing and incumbent autonomous offshore solutions already being utilized by our customers and potential customers. If we are unable to demonstrate to our prospective customers that our products are cost competitive with existing alternative solutions, or if it takes us longer to do so than we anticipate, we may be unable to continue our business, achieve commercialization of our services, achieve a competitive position, satisfy our contractual obligations, or become profitable. In addition, if the costs associated with these development efforts exceed our projections, our results of operations will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must continually improve existing products, design and sell new products, and invest in research and development in order to compete effectively.</w:t>
      </w:r>
    </w:p>
    <w:p>
      <w:pPr>
        <w:spacing w:after="0" w:line="2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New product </w:t>
      </w:r>
      <w:r>
        <w:rPr>
          <w:rFonts w:ascii="Arial" w:cs="Arial" w:eastAsia="Arial" w:hAnsi="Arial"/>
          <w:sz w:val="17"/>
          <w:szCs w:val="17"/>
          <w:color w:val="231F20"/>
        </w:rPr>
        <w:t>development and commercialization efforts, including efforts to enter markets or product categories in which we have limited or</w:t>
      </w:r>
      <w:r>
        <w:rPr>
          <w:rFonts w:ascii="Arial" w:cs="Arial" w:eastAsia="Arial" w:hAnsi="Arial"/>
          <w:sz w:val="17"/>
          <w:szCs w:val="17"/>
          <w:color w:val="auto"/>
        </w:rPr>
        <w:t xml:space="preserve"> </w:t>
      </w:r>
      <w:r>
        <w:rPr>
          <w:rFonts w:ascii="Arial" w:cs="Arial" w:eastAsia="Arial" w:hAnsi="Arial"/>
          <w:sz w:val="17"/>
          <w:szCs w:val="17"/>
          <w:color w:val="231F20"/>
        </w:rPr>
        <w:t>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and technological developments are accomplished primarily through internally funded R&amp;D projects. Because it is not generally possible to predict the amount of time required and costs involved in achieving certain R&amp;D objectives, actual development costs may exceed anticipated amounts and estimated product development schedules may be extended. Our financial condition and results of operations may be materially and adversely affected if:</w:t>
      </w:r>
    </w:p>
    <w:p>
      <w:pPr>
        <w:spacing w:after="0" w:line="18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improvements are not completed on a timely basis;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products are not introduced on a timely basis or do not achieve sufficient market penetration;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cost overruns or delays in R&amp;D efforts;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products experience reliability or quality problems, or otherwise do not meet customer preferences or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infringement, and we do not know what the cost to do so would be. Our pending and future patent applications may not issue as patents or, if issued, may not be issued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Foreign laws may not afford us sufficient protections for our intellectual property, and we may not be able to obtain patent protection outside of the United States.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Intellectual property rights protection continues to present significant challenges to U.S. companies operating around the world. The body of law is often relatively undeveloped compared to the commercial law in the U.S.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or are alleged to have infringed upon intellectual property rights of third parties, our business, financial condition and results of operations could be adversely affected.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products or use of our trademarks may infringe, or be claimed to infringe, upon patents, patent applications or trademarks under which we do not hold licenses or other rights. Third parties may own or control these patents, patent applications or trademarks in the U.S. and abroad.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a result of patent or trademark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contracts with governmental entities could negatively affect our intellectual property rights, and our ability to commercialize our products could be impaired.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prior agreements with government agencies in large part funded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firstLine="648"/>
        <w:spacing w:after="0" w:line="271" w:lineRule="auto"/>
        <w:rPr>
          <w:sz w:val="20"/>
          <w:szCs w:val="20"/>
          <w:color w:val="auto"/>
        </w:rPr>
      </w:pPr>
      <w:r>
        <w:rPr>
          <w:rFonts w:ascii="Arial" w:cs="Arial" w:eastAsia="Arial" w:hAnsi="Arial"/>
          <w:sz w:val="17"/>
          <w:szCs w:val="17"/>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may also limit when and how we can deploy our technology developed under those contracts. Foreign governments with which we contract to provide funding for our research and development may seek similar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obtain all necessary regulatory permits and approvals, it is possible that we will not be able to implement our planned projects or business plan.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Offshore deployment of our products is heavily regulated. Each of our deployments is subject to multiple permitting and approval requirements. We are dependent on state, federal and regional government agencies for such permits and approvals. Due to the unique nature of in-ocean power generation and the associated potential for environmental hazards of our products’ deployment, we expect our projects to receive close scrutiny by permitting agencies, approval authorities and the public, which could result in substantial delay in the permitting process. Successful challenges by any parties opposed to our deployments could result in increased costs, or in the denial of necessary permits and approvals.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If we violate or fail to comply with these permits and approvals, we could be fined or otherwise sanctioned by regulators.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portion of products we acquire from our suppliers are manufactured in foreign countries, making the price and availability of these products subject to international trade risks and other international conditions.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portion of our parts for our products are sourced from foreign countries, some of which in the future are, or could become subject to trade restrictions, including increased tariffs or quotas, embargoes and customs restrictions, which would increase the cost or could reduce the supply of products available to us, and could have a material adverse effect on our business, financial condition and results of operations. Tariffs on imports from foreign countries, as well as changes in tax and trade policies, such as a border adjustment tax or disallowance of certain tax deductions for imported product, could materially increase our manufacturing costs, the costs of our imported products or our income tax expense, which would have a material adverse effect on our financial condition and results of operations. Tariffs imposed by foreign countries on imports of our products could also adversely affect our international sales. Any increase in manufacturing costs, the cost of our products or limitation on the amount of products we are able to purchase, could have a material adverse effect on our financial condition and results of operations.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manufacturing operations, particularly some of the activities undertaken by our third-party suppliers and manufacturers, involve the controlled use of hazardous materials. These include batteries for the PB3, propane for the hybrid and various lubricants and oils.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color w:val="auto"/>
        </w:rPr>
        <w:t>Environmental laws and regulations are complex, change frequently and have tended to become more stringent over time. While we have planned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Litigation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litigation is costly, and time consuming to defend and may distract our management from the daily operations of our business. We may be the subject of additional future litigation, which could adversely affect our company, our business and our liquidity. Although we maintain insurance coverage, we cannot assure you that this insurance coverage will be sufficient to cover the substantial fees of lawyers and other professional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these actions have caused our insurance premiums and retention amounts to increase, and we may be subject to additional increases in the future or be subjected to other changes in our insurance coverages. Further, given the volatility of the market price of our Common Stock, we may be subject to future class action securities and other litigation. Accordingly, we have incurred and may continue to incur substantial legal expenses, judgments and/or settlements relating to pending and future litigation and our management’s time and attention may be diverted from the operation of our business, which could materially and adversely affect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the target of additional securities litigation, which is costly and time-consuming to defend.</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past, companies that experience significant volatility in the market price of their publicly 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17 “Commitments and Contingencies - Litigation” in the accompanying consolidated financial statements for the fiscal year ended April 30,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issue additional shares of our equity securities in the future, our stockholders may experience substantial dilution in the value of their investment or their ownership interest.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certificate of incorporation currently authorizes us to issue up to 100,000,000 shares of our common stock and to issue and designate the rights of, without stockholder approval, up to 5,000,000 shares of preferred stock. In the future, if we were required to raise additional capital, we may offer additional shares of our common stock or other securities convertible into or exchangeable for our common stock at prices that may not be the same as the price per share paid by other investors, and dilution to our stockholders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stockholders.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have a significant number of stock options and warrants outstanding. To the extent that outstanding stock options or warrants have been or may be exercised or other shares issued, current stockholders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stockholders or result in downward pressure on the price of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i w:val="1"/>
          <w:iCs w:val="1"/>
          <w:color w:val="auto"/>
        </w:rPr>
        <w:t>Historically, our stock price has been volatile, and this is likely to continue; purchasers of our common stock could incur substantial losses as a result.</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the market price of our common stock has fluctuated significantly, and we expect that this will continue. Purchasers of our common stock could incur substantial losses relating to their investment in our stock as a result. For the fiscal year ended April 30, 2021, the 52-week low and high prices for our common stock was $0.36 and $7.30, respectively. Also,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92" w:lineRule="exact"/>
        <w:rPr>
          <w:sz w:val="20"/>
          <w:szCs w:val="20"/>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business or with respect to our projects;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780" w:hanging="651"/>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in the conventional and renewable energy industries and issuance of new or changed securities analysts’ reports or recommendations;</w:t>
      </w:r>
    </w:p>
    <w:p>
      <w:pPr>
        <w:spacing w:after="0" w:line="170"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 perception of our company and of our targeted markets; and</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187" w:lineRule="exact"/>
        <w:rPr>
          <w:sz w:val="20"/>
          <w:szCs w:val="20"/>
          <w:color w:val="auto"/>
        </w:rPr>
      </w:pPr>
    </w:p>
    <w:p>
      <w:pPr>
        <w:ind w:left="780" w:hanging="651"/>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25" w:lineRule="exact"/>
        <w:rPr>
          <w:rFonts w:ascii="Arial" w:cs="Arial" w:eastAsia="Arial" w:hAnsi="Arial"/>
          <w:sz w:val="18"/>
          <w:szCs w:val="18"/>
          <w:color w:val="auto"/>
        </w:rPr>
      </w:pPr>
    </w:p>
    <w:p>
      <w:pPr>
        <w:ind w:left="780" w:hanging="651"/>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25" w:lineRule="exact"/>
        <w:rPr>
          <w:rFonts w:ascii="Arial" w:cs="Arial" w:eastAsia="Arial" w:hAnsi="Arial"/>
          <w:sz w:val="18"/>
          <w:szCs w:val="18"/>
          <w:color w:val="auto"/>
        </w:rPr>
      </w:pPr>
    </w:p>
    <w:p>
      <w:pPr>
        <w:jc w:val="both"/>
        <w:ind w:left="780" w:hanging="651"/>
        <w:spacing w:after="0" w:line="263"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affirmative vote of the holders of at least 75% of our shares of capital stock entitled to vote is necessary to amend or repeal the above provisions of our certificate of incorporation. In addition, absent the approval of our Board of Directors, our bylaws may only be amended or repealed by the affirmative vote of the holders of at least 75% of our shares of capital stock entitled to vote.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common stock, and we do not anticipate paying any cash dividends in the foreseeable future.</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corporate headquarters are currently located in Monroe Township, New Jersey, where we occupy approximately 56,000 square feet under a lease expiring on October 31, 2024. We use this facility for administration, research and development, as well as assembly and testing of our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ind w:left="40" w:right="100"/>
        <w:spacing w:after="0" w:line="286"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On August 28, 2018, counsel for Mr. Dunleavy filed a demand for arbitration, captioned Charles F. Dunleavy v. Ocean Power Technologies, Inc., Case No. 01-18-0003-2374, before the American Arbitration Association in New Jersey. The demand named Ocean Power Technologies, Inc. as the respondent and alleged various claims and sought declaratory relief and permanent injunction. The demand sought damages in the amount of $5.0 million for compensatory and punitive damages, plus interest and attorneys’ fees as well as certain equitable relief. On November 8, 2018, the Company through counsel responded to the demand for arbitration, denied all allegations, and asserted various affirmative defenses. The final day of hearing occurred in Princeton, New Jersey on July 15, 2020. Post-hearing briefs were filed on September 22, 2020. Following those filings, the panel issued two interim awards finding, among other things, that the termination for cause of Mr. Dunleavy was in breach of his employment contract and awarding him compensatory damages in the amount of $438,254.54. The panel denied Mr. Dunleavy’s claims for defamation and injunctive and declaratory relief. The panel also awarded Mr. Dunleavy attorneys’ fees, costs and pre-judgment interest. The Company agreed, on May 24, 2021, to pay Mr. Dunleavy $1,223,963.14, representing the total compensatory damages, attorneys’ fees, costs and pre-judgment interest, which is the full amount awarded by the panel. This was paid in full on May 26, 2021 and the matter is now closed. This amount has been accrued in the April 30, 2021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underwent an income tax audit in Spain for the period from 2011 to 2014, when our Spanish branch was closed. In connection with the tax audit, the Spanish tax inspector challenged the Company’s recognition of grant funds received in 2011 to 2014 from the European Commission in connection with the Company’s Waveport project. On July 30, 2018, the inspector concluded that although there was no tax owed in light of losses reported, the Company’s Spanish branch owed penalties for failure to properly account for the income associated with the funding grant. On August 30, 2018, the Company filed an administrative appeal of the penalty and its underlying conclusions. During the three months ended July 31, 2020, the Company received notice from the Spanish Central Economic and Administrative Tribunal that it agreed with the inspector and ruled that the Company owes the full amount of the penalty in the amount of €279,869.81 or approximately $331,000. In the quarter ended October 31, 2020, the Company recorded an additional reserve of €117,145.81 (or approximately $154,000) to Selling, general and administrative costs in the Statement of Operations making the total reserve €279,869.81, which amount was paid by the Company to the Spanish Tax Administration on January 25, 2021. As of April 30, 2021 and 2020, the Company had reserved zero and €162,724 (or approximately $177,000), respectively. The penalty was recorded in Accrued expenses in the Consolidated Balance Sheets. The Company has appealed the decision of the Tribunal tax assessment to the Spanish National Court.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was listed on the Nasdaq Capital Market, under the symbol “OPTT” until June 2021 when the listing was transferred to the NYSE American under the same symbol. As of July 16, 2021, there were 124 holders of record for shares of our common stock. Since a portion of our common stock is held in “street” or nominee name, we are unable to determine the exact number of beneficial holders.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Information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Our transfer agent is Computershare Trust Company, N.A. Computershare is located at 250 Royall Street, Canton, MA 02021-1011. Its contact information is: United States and Canada: (800) 662 - 7232, International (781) 575–4238, and its website is located at </w:t>
      </w:r>
      <w:r>
        <w:rPr>
          <w:rFonts w:ascii="Arial" w:cs="Arial" w:eastAsia="Arial" w:hAnsi="Arial"/>
          <w:sz w:val="16"/>
          <w:szCs w:val="16"/>
          <w:u w:val="single" w:color="auto"/>
          <w:color w:val="auto"/>
        </w:rPr>
        <w:t>www.computershare.com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 repurchases for the three months ended April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w:t>
            </w:r>
          </w:p>
        </w:tc>
        <w:tc>
          <w:tcPr>
            <w:tcW w:w="2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Approximate</w:t>
            </w:r>
          </w:p>
        </w:tc>
      </w:t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Dollar</w:t>
            </w:r>
          </w:p>
        </w:tc>
      </w:t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3"/>
              </w:rPr>
              <w:t>Purchased as</w:t>
            </w:r>
          </w:p>
        </w:tc>
        <w:tc>
          <w:tcPr>
            <w:tcW w:w="2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Value of</w:t>
            </w:r>
          </w:p>
        </w:tc>
      </w:t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Part of</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Publicly</w:t>
            </w:r>
          </w:p>
        </w:tc>
        <w:tc>
          <w:tcPr>
            <w:tcW w:w="2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that May Yet</w:t>
            </w:r>
          </w:p>
        </w:tc>
      </w:t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Average Price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Announced</w:t>
            </w:r>
          </w:p>
        </w:tc>
        <w:tc>
          <w:tcPr>
            <w:tcW w:w="2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Be Purchased</w:t>
            </w:r>
          </w:p>
        </w:tc>
      </w:tr>
      <w:tr>
        <w:trPr>
          <w:trHeight w:val="237"/>
        </w:trPr>
        <w:tc>
          <w:tcPr>
            <w:tcW w:w="532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Paid per Share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Plans</w:t>
            </w:r>
          </w:p>
        </w:tc>
        <w:tc>
          <w:tcPr>
            <w:tcW w:w="28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Under the Plan</w:t>
            </w:r>
          </w:p>
        </w:tc>
      </w:tr>
      <w:tr>
        <w:trPr>
          <w:trHeight w:val="216"/>
        </w:trPr>
        <w:tc>
          <w:tcPr>
            <w:tcW w:w="4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 February 28</w:t>
            </w: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March 1 - March 31</w:t>
            </w:r>
          </w:p>
        </w:tc>
        <w:tc>
          <w:tcPr>
            <w:tcW w:w="1060" w:type="dxa"/>
            <w:vAlign w:val="bottom"/>
          </w:tcPr>
          <w:p>
            <w:pPr>
              <w:spacing w:after="0"/>
              <w:rPr>
                <w:sz w:val="18"/>
                <w:szCs w:val="18"/>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“Part III, Item 12- Security Ownership of Certain Beneficial Owners, Management and Related Stockholder Matters- 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2021 are to the fiscal year ended April 30,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marine power, data solutions and service provider. We control the design, manufacture, sales, installation, operations and maintenance of our solutions and services while working closely with commercial, technical, and other development partners that provide software, controls, mechatronics, sensors, integration services, and marine installation services. We believe our renewable autonomous ocean solutions deliver power and data collection, analysis and communication in remote ocean environments, allowing users to connect with their ocean environment. Our mission and purpose are to provide intelligent maritime solutions and services that enable safer and more productive ocean operations for the defense and security, offshore oil and gas, science and research, and offshore wind markets. We achieve this through our proprietary, state-of-the-art technologies that are at the core of our clean and renewable energy platforms upon which we develop and deploy our solutions and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COVID-19</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COVID-19 pandemic presented substantial health and economic risks, uncertainties and challenges to our business, the global economy and financial markets. In March 2020, one of the Company’s customers cancelled a portion of their contract due to the outbreak of COVID-19 and instead extended an existing lease. In April 2020, the Company declared force majeure on a contract with a different customer and delayed the deployment of its PB3 PowerBouy® in Chile. For additional information on various uncertainties and risks posed by the COVID-19 pandemic, see Part I, Item 1A “Risk Factors” of this report.</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Bank, N.A. (“Santander”) as the lender for $890,347 in support through the Small Business Association (“SBA”) under the PPP loan. The PPP loan is unsecured and evidenced by a note in favor of Santander as the lender and governed by a Loan Agreement with Santander. The interest rate is 1% and the loan is repayable over two years. The loan contains customary events of defaults relating to, among other things, payment defaults or breaches of the terms of the loan. Upon the occurrence of an event of default, the lender may require immediate repayment of all outstanding amounts under the loan. Interest and principal payments are deferred for the first 6 months from the date of the loan. Principal and interest are payable monthly commencing 6 months after the disbursement date and may be repaid by the Company at any time prior to maturity with no prepayment penalties. The Company received the proceeds on May 5, 2020.</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and the loan is now fully forgiven.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and paid AGP a sales commission of approximately $0.8 million related to those shares. The agreement was fully utilized and terminated on December 8, 2020.</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20, 2020, the Company entered into an At the Market Offering Agreement with AGP (the “2020 ATM Facility”). The Company on December 4, 2020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April 30, 2021, the Company sold and issued an aggregate of 17,179,883 shares of its common stock with an aggregate market value of $50.0 million at an average price of $2.91 per share and paid AGP a sales commission of approximately $1.6 million related to those shares. A prospectus supplement would need to be filed for the Company to sell additional amounts under the 2020 ATM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The agreement was fully utilized and terminated on September 18, 2020.</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stockholders on December 23, 2020 for the sale of 9,864,706 additional shares of common stock which exceeds the 19.99% limit of outstanding common stock on the date of the agreement. Through April 30, 2021, the Company had sold an aggregate of 3,722,251 shares of common stock with an aggregate market value of $11.8 million at an average price of $3.17 per share pursuant to this common stock purchase agreement.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The Company currently has committed sources of equity financing through its At the Market Offering Agreement with A.G.P/Alliance Global Partners (“AGP”) and the Aspire Capital financing (see Note 11), but the Company cannot be sure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April 30, 2021, our negotiated backlog was $0.2 million. As of April 30, 2020, our negotiated backlog was $1.0 million. Our backlog can include unfilled firm orders for our products and services from commercial and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following accounting policies require significant judgment and estimates by us in the preparation of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April 30, 2021 and 2020.</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the breakdown of our revenues by customer for fiscal years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Twelve months ended April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gridSpan w:val="3"/>
          </w:tcPr>
          <w:p>
            <w:pPr>
              <w:jc w:val="right"/>
              <w:ind w:right="627"/>
              <w:spacing w:after="0"/>
              <w:rPr>
                <w:sz w:val="20"/>
                <w:szCs w:val="20"/>
                <w:color w:val="auto"/>
              </w:rPr>
            </w:pPr>
            <w:r>
              <w:rPr>
                <w:rFonts w:ascii="Arial" w:cs="Arial" w:eastAsia="Arial" w:hAnsi="Arial"/>
                <w:sz w:val="18"/>
                <w:szCs w:val="18"/>
                <w:color w:val="auto"/>
                <w:w w:val="98"/>
              </w:rPr>
              <w:t>(in thousands)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3540" w:type="dxa"/>
            <w:vAlign w:val="bottom"/>
            <w:gridSpan w:val="2"/>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340" w:type="dxa"/>
            <w:vAlign w:val="bottom"/>
            <w:gridSpan w:val="2"/>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Premier Oil UK Limited</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ACET</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Deepstar</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1,682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20" w:type="dxa"/>
            <w:vAlign w:val="bottom"/>
            <w:vMerge w:val="restart"/>
          </w:tcPr>
          <w:p>
            <w:pPr>
              <w:jc w:val="right"/>
              <w:ind w:right="930"/>
              <w:spacing w:after="0"/>
              <w:rPr>
                <w:sz w:val="20"/>
                <w:szCs w:val="20"/>
                <w:color w:val="auto"/>
              </w:rPr>
            </w:pPr>
            <w:r>
              <w:rPr>
                <w:rFonts w:ascii="Arial" w:cs="Arial" w:eastAsia="Arial" w:hAnsi="Arial"/>
                <w:sz w:val="18"/>
                <w:szCs w:val="18"/>
                <w:color w:val="auto"/>
              </w:rPr>
              <w:t>33</w:t>
            </w: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6" w:name="page37"/>
    <w:bookmarkEnd w:id="36"/>
    <w:p>
      <w:pPr>
        <w:jc w:val="both"/>
        <w:ind w:right="20" w:firstLine="648"/>
        <w:spacing w:after="0" w:line="277" w:lineRule="auto"/>
        <w:rPr>
          <w:sz w:val="20"/>
          <w:szCs w:val="20"/>
          <w:color w:val="auto"/>
        </w:rPr>
      </w:pPr>
      <w:r>
        <w:rPr>
          <w:rFonts w:ascii="Arial" w:cs="Arial" w:eastAsia="Arial" w:hAnsi="Arial"/>
          <w:sz w:val="18"/>
          <w:szCs w:val="18"/>
          <w:color w:val="auto"/>
        </w:rPr>
        <w:t>We currently focus our sales and marketing efforts globally. The following table shows the percentage of our revenues by geographical location of our customers for fiscal 2021 and 2020:</w:t>
      </w: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6"/>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Customer Location</w:t>
            </w:r>
          </w:p>
        </w:tc>
        <w:tc>
          <w:tcPr>
            <w:tcW w:w="15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South America</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61%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other foreign currencies.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 denominated accounts had a balance of $0.3 million as of April 30, 2021 and $0.3 million as of April 30, 2020, compared to our total cash, cash equivalents, and restricted cash balances of $83.6 million as of April 30, 2021 and $10.9 million as of April 30, 2020. These foreign currency balances are translated at each month end the US dollar, and any resulting gain or loss is recognized in our results of operations.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should be read in conjunction with the discussion below under “- Liquidity and Capital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b w:val="1"/>
          <w:bCs w:val="1"/>
          <w:i w:val="1"/>
          <w:iCs w:val="1"/>
          <w:color w:val="auto"/>
        </w:rPr>
        <w:t>Fiscal Years Ended April 30, 2021 and 2020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years ended April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8"/>
                <w:szCs w:val="18"/>
                <w:b w:val="1"/>
                <w:bCs w:val="1"/>
                <w:color w:val="auto"/>
              </w:rPr>
              <w:t>Twelve months ended April 30,</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20" w:type="dxa"/>
            <w:vAlign w:val="bottom"/>
            <w:gridSpan w:val="4"/>
          </w:tcPr>
          <w:p>
            <w:pPr>
              <w:jc w:val="right"/>
              <w:ind w:right="807"/>
              <w:spacing w:after="0"/>
              <w:rPr>
                <w:sz w:val="20"/>
                <w:szCs w:val="20"/>
                <w:color w:val="auto"/>
              </w:rPr>
            </w:pPr>
            <w:r>
              <w:rPr>
                <w:rFonts w:ascii="Arial" w:cs="Arial" w:eastAsia="Arial" w:hAnsi="Arial"/>
                <w:sz w:val="18"/>
                <w:szCs w:val="18"/>
                <w:color w:val="auto"/>
              </w:rPr>
              <w:t>(in thousands)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5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1,206</w:t>
            </w:r>
          </w:p>
        </w:tc>
        <w:tc>
          <w:tcPr>
            <w:tcW w:w="1240" w:type="dxa"/>
            <w:vAlign w:val="bottom"/>
            <w:gridSpan w:val="2"/>
            <w:shd w:val="clear" w:color="auto" w:fill="CCEEFF"/>
          </w:tcPr>
          <w:p>
            <w:pPr>
              <w:jc w:val="right"/>
              <w:ind w:right="1067"/>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Cost of revenues</w:t>
            </w: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20"/>
                <w:szCs w:val="20"/>
                <w:color w:val="auto"/>
              </w:rPr>
            </w:pPr>
          </w:p>
        </w:tc>
      </w:tr>
      <w:tr>
        <w:trPr>
          <w:trHeight w:val="236"/>
        </w:trPr>
        <w:tc>
          <w:tcPr>
            <w:tcW w:w="5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loss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3"/>
        </w:trPr>
        <w:tc>
          <w:tcPr>
            <w:tcW w:w="554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1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4,747</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80" w:type="dxa"/>
            <w:vAlign w:val="bottom"/>
            <w:shd w:val="clear" w:color="auto" w:fill="CCEEFF"/>
          </w:tcPr>
          <w:p>
            <w:pPr>
              <w:spacing w:after="0"/>
              <w:rPr>
                <w:sz w:val="18"/>
                <w:szCs w:val="18"/>
                <w:color w:val="auto"/>
              </w:rPr>
            </w:pPr>
          </w:p>
        </w:tc>
      </w:tr>
      <w:tr>
        <w:trPr>
          <w:trHeight w:val="236"/>
        </w:trPr>
        <w:tc>
          <w:tcPr>
            <w:tcW w:w="554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7,772</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Pr>
          <w:p>
            <w:pPr>
              <w:spacing w:after="0"/>
              <w:rPr>
                <w:sz w:val="20"/>
                <w:szCs w:val="20"/>
                <w:color w:val="auto"/>
              </w:rPr>
            </w:pPr>
          </w:p>
        </w:tc>
      </w:tr>
      <w:tr>
        <w:trPr>
          <w:trHeight w:val="236"/>
        </w:trPr>
        <w:tc>
          <w:tcPr>
            <w:tcW w:w="5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54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5"/>
              </w:rPr>
              <w:t>(13,592)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98"/>
              </w:rPr>
              <w:t>(11,365)</w:t>
            </w:r>
          </w:p>
        </w:tc>
        <w:tc>
          <w:tcPr>
            <w:tcW w:w="100" w:type="dxa"/>
            <w:vAlign w:val="bottom"/>
            <w:gridSpan w:val="2"/>
          </w:tcPr>
          <w:p>
            <w:pPr>
              <w:spacing w:after="0"/>
              <w:rPr>
                <w:sz w:val="17"/>
                <w:szCs w:val="17"/>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1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Litigation settlement</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expense, net</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1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03"/>
        </w:trPr>
        <w:tc>
          <w:tcPr>
            <w:tcW w:w="5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144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(14,760)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(11,247)</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21"/>
                <w:szCs w:val="21"/>
                <w:color w:val="auto"/>
              </w:rPr>
            </w:pPr>
          </w:p>
        </w:tc>
      </w:tr>
      <w:tr>
        <w:trPr>
          <w:trHeight w:val="217"/>
        </w:trPr>
        <w:tc>
          <w:tcPr>
            <w:tcW w:w="5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(14,760</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(10,352</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Revenues for the fiscal years ended April 30, 2021 and 2020 were approximately $1.2 million and $1.7 million, respectively, representing a decrease of approximately $0.5 million, or 28%, from 2020</w:t>
      </w:r>
      <w:r>
        <w:rPr>
          <w:rFonts w:ascii="Arial" w:cs="Arial" w:eastAsia="Arial" w:hAnsi="Arial"/>
          <w:sz w:val="18"/>
          <w:szCs w:val="18"/>
          <w:color w:val="333333"/>
        </w:rPr>
        <w:t>.</w:t>
      </w:r>
      <w:r>
        <w:rPr>
          <w:rFonts w:ascii="Arial" w:cs="Arial" w:eastAsia="Arial" w:hAnsi="Arial"/>
          <w:sz w:val="18"/>
          <w:szCs w:val="18"/>
          <w:color w:val="auto"/>
        </w:rPr>
        <w:t xml:space="preserve"> The decline in revenue for the full year was mainly attributable to COVID-19 pandemic-related project delays.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supplied by third-party suppliers. Cost of revenues also includes PowerBuoy® system delivery and deployment expenses and may include anticipated losses at completion on certain contracts.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Cost of revenues for the fiscal years ended April 30, 2021 and 2020 were approximately $2.2 million and $1.8 million, respectively. The increase of approximately $0.4 million, or 26%, over 2020 was </w:t>
      </w:r>
      <w:r>
        <w:rPr>
          <w:rFonts w:ascii="Arial" w:cs="Arial" w:eastAsia="Arial" w:hAnsi="Arial"/>
          <w:sz w:val="18"/>
          <w:szCs w:val="18"/>
          <w:color w:val="333333"/>
        </w:rPr>
        <w:t>mostly due to higher deployment and material costs incurred on the EGP contract in 2021 as</w:t>
      </w:r>
      <w:r>
        <w:rPr>
          <w:rFonts w:ascii="Arial" w:cs="Arial" w:eastAsia="Arial" w:hAnsi="Arial"/>
          <w:sz w:val="18"/>
          <w:szCs w:val="18"/>
          <w:color w:val="auto"/>
        </w:rPr>
        <w:t xml:space="preserve"> </w:t>
      </w:r>
      <w:r>
        <w:rPr>
          <w:rFonts w:ascii="Arial" w:cs="Arial" w:eastAsia="Arial" w:hAnsi="Arial"/>
          <w:sz w:val="18"/>
          <w:szCs w:val="18"/>
          <w:color w:val="333333"/>
        </w:rPr>
        <w:t>compared to the same period in fiscal 2020.</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Engineering and product development costs during the fiscal year ended April 30, 2021 were $4.6 million as compared to $4.3 million for fiscal year 2020. The increase of $0.3 million, or 5%, </w:t>
      </w:r>
      <w:r>
        <w:rPr>
          <w:rFonts w:ascii="Arial" w:cs="Arial" w:eastAsia="Arial" w:hAnsi="Arial"/>
          <w:sz w:val="17"/>
          <w:szCs w:val="17"/>
          <w:color w:val="333333"/>
        </w:rPr>
        <w:t>is due to higher spending on product development compared to the same period in fiscal 2020.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and other general corporate expenses.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costs during the fiscal year months ended April 30, 2021 were $7.8 million as compared to $6.9 million for fiscal year 2020. The increase of $0.9 million, or 12%, is primarily attributable to higher employee related costs of $0.6 million, higher insurance premiums of $0.2 million and an additional $0.2 million penalty assessed by the Spanish tax authority related to a tax audit.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was no unrealized gain or oss related to a change in fair value of warrant liabilities during the fiscal year ended April 30, 2021 compared to an unrealized gain of $6,000 for the fiscal year ended April 30, 2020. The change between periods is mainly due to a shorter maturity to expiration of the warrants and lower stock price for the twelve months ended April 30,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date of acquisition.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settlement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19, 2021, the Company entered into a Stipulation with Charles F. Dunleavy, former Chief Executive Officer (refer to Item 3. Legal Proceedings above for a description of the case). The Stipulation recounts that the panel of arbitrators in the Action issued two interim awards total $1.2 million. The Company recorded the settlement cost as Litigation Settlement in the Consolidated Statement of Operations as of April 30, 2021.</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net consists of interest received on cash and cash equivalents, investments in money market accounts and interest expense paid on certain obligations to third parties. Total cash, cash equivalents, and restricted cash was $83.6 million as of April 30, 2021, compared to $10.9 million as of April 30, 2020.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net was approximately $124,000 for both fiscal 2021 and 2020. The change was flat year over year due to a lower interest rate on investments even though the Company had a higher cash balance throughout fiscal year 2021.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exchange gain/(loss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Foreign exchange gain was approximately $15,000 for fiscal year 2021 as compared to a foreign exchange loss of $12,000 for fiscal year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was attributable primarily to the relative change in value of the British pound sterling, Euro and Australian dollar compared to the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dollar.</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fiscal years ended April 30, 2021 and 2020, the Company sold New Jersey State net operating losses and research and development credits resulting in the recognition of income tax benefits of $0.9 million in fiscal year 2020. The Company received the fiscal year 2021 payment of $1.0 million in May, 2021. The Company has a full valuation allowance against its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twelve months ended April 30, 2021, net cash flows used in operating activities was $11.7 million, an increase of $1.1 million compared to net cash used in operating activities during the twelve months ended April 30, 2020. This increase is mainly driven by the receipt of proceeds on the sale of net operating losses occurring after fiscal 2021 whereas in prior year proceeds on sale of net operating losses occurred during fiscal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in investing activities during the twelve months ended April 30, 2021 was approximately $74,000 for fiscal year 2021 versus net cash used by investing activities of approximately $65,000 for fiscal year 2020. The change was primarily the result of the Company acquiring $100,000 in cash as part of the 3Dent acquisition and decreased spending on equipment of $42,000.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during the twelve months ended April 30, 2021 was approximately $84.2 million compared to net cash provided by financing activities during the twelve months ended April 30, 2020 of $4.4 million. The increase in net cash provided by financing activities during the twelve months ended April 30, 2021 is due to increased proceeds from At the Market capital raises of $62.7 million through AGP, increased proceeds from ELOC capital raises of $13.4 million with Aspire, $2.8 million from proceeds associated with warrant exercises, $0.2 million proceeds associated with stock option exercises and $0.9 million received from the PPP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 of exchange rates on cash and cash equivalents was an increase of approximately $134,000 in fiscal year 2021, an increase of $166,000 from fiscal year 2020, respectively.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For the two years ended April 30, 2021 and 2020, our aggregate revenues were $2.9 million, our aggregate net losses were $25.1million and our aggregate net cash used in operating activities was $22.3 million.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84" w:lineRule="exact"/>
        <w:rPr>
          <w:sz w:val="20"/>
          <w:szCs w:val="20"/>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680" w:hanging="564"/>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80" w:hanging="564"/>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COVID-19 pandemic on our business, operations, customers, suppliers and manufacturers;</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we will be successful in our efforts to commercialize our products or the timetable upon which commercialization can be achieved, if at all;</w:t>
      </w:r>
    </w:p>
    <w:p>
      <w:pPr>
        <w:spacing w:after="0" w:line="248" w:lineRule="exact"/>
        <w:rPr>
          <w:rFonts w:ascii="Arial" w:cs="Arial" w:eastAsia="Arial" w:hAnsi="Arial"/>
          <w:sz w:val="16"/>
          <w:szCs w:val="16"/>
          <w:color w:val="auto"/>
        </w:rPr>
      </w:pPr>
    </w:p>
    <w:p>
      <w:pPr>
        <w:ind w:left="680" w:right="3760" w:hanging="564"/>
        <w:spacing w:after="0" w:line="530"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identify and penetrate markets for our products and our wave energy technology; our ability to implement our commercialization strategy as planned, or at all;</w:t>
      </w:r>
    </w:p>
    <w:p>
      <w:pPr>
        <w:ind w:left="720" w:hanging="604"/>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reliability of our technology and our products;</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left="680" w:hanging="564"/>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680" w:hanging="564"/>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capital intensive, and up through fiscal 2021, we have been funding our business principally through sales of our securities. As of April 30, 2021, cash and cash equivalents was $83.4 million and we expect to fund our business with this amount and, to a limited extent, with our revenues until, we generate sufficient cash flow to internally fund our business. Management believes the Company’s current cash and cash equivalent is sufficient to fund its planned expenditures through at least July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 </w:t>
      </w:r>
      <w:r>
        <w:rPr>
          <w:rFonts w:ascii="Arial" w:cs="Arial" w:eastAsia="Arial" w:hAnsi="Arial"/>
          <w:sz w:val="16"/>
          <w:szCs w:val="16"/>
          <w:i w:val="1"/>
          <w:iCs w:val="1"/>
          <w:color w:val="auto"/>
        </w:rPr>
        <w:t>Internal-Use Software (Subtopic 350-40).”</w:t>
      </w:r>
      <w:r>
        <w:rPr>
          <w:rFonts w:ascii="Arial" w:cs="Arial" w:eastAsia="Arial" w:hAnsi="Arial"/>
          <w:sz w:val="16"/>
          <w:szCs w:val="16"/>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adopted this guidance on a prospective basis effective May 1, 2020. The adoption of the guidance did not have a material effect on its Consolidated Financial Statements.</w:t>
      </w:r>
    </w:p>
    <w:p>
      <w:pPr>
        <w:spacing w:after="0" w:line="16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The ASU modifies, removes, and adds several disclosure requirements on fair value measurements in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w:t>
      </w:r>
    </w:p>
    <w:p>
      <w:pPr>
        <w:spacing w:after="0" w:line="4" w:lineRule="exact"/>
        <w:rPr>
          <w:sz w:val="20"/>
          <w:szCs w:val="20"/>
          <w:color w:val="auto"/>
        </w:rPr>
      </w:pPr>
    </w:p>
    <w:p>
      <w:pPr>
        <w:jc w:val="both"/>
        <w:ind w:firstLine="8"/>
        <w:spacing w:after="0" w:line="255"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entity is permitted to early adopt any removed or modified disclosures upon issuance of ASU 2018-13 and delay adoption of the additional disclosures until their effective date. The Company adopted this guidance effective May 1, 2020. The adoption of the guidance did not have a material effect on its Consolidated Financial Statements.</w:t>
      </w:r>
    </w:p>
    <w:p>
      <w:pPr>
        <w:spacing w:after="0" w:line="19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343434"/>
        </w:rPr>
        <w:t>In June 2016, the FASB issued ASU No. 2016-13, “</w:t>
      </w:r>
      <w:r>
        <w:rPr>
          <w:rFonts w:ascii="Arial" w:cs="Arial" w:eastAsia="Arial" w:hAnsi="Arial"/>
          <w:sz w:val="16"/>
          <w:szCs w:val="16"/>
          <w:i w:val="1"/>
          <w:iCs w:val="1"/>
          <w:color w:val="343434"/>
        </w:rPr>
        <w:t>Financial Instruments</w:t>
      </w:r>
      <w:r>
        <w:rPr>
          <w:rFonts w:ascii="Arial" w:cs="Arial" w:eastAsia="Arial" w:hAnsi="Arial"/>
          <w:sz w:val="16"/>
          <w:szCs w:val="16"/>
          <w:color w:val="343434"/>
        </w:rPr>
        <w:t xml:space="preserve"> - </w:t>
      </w:r>
      <w:r>
        <w:rPr>
          <w:rFonts w:ascii="Arial" w:cs="Arial" w:eastAsia="Arial" w:hAnsi="Arial"/>
          <w:sz w:val="16"/>
          <w:szCs w:val="16"/>
          <w:i w:val="1"/>
          <w:iCs w:val="1"/>
          <w:color w:val="343434"/>
        </w:rPr>
        <w:t>Credit Losses (Topic 326), Measurement of Credit Losses on Financial</w:t>
      </w:r>
      <w:r>
        <w:rPr>
          <w:rFonts w:ascii="Arial" w:cs="Arial" w:eastAsia="Arial" w:hAnsi="Arial"/>
          <w:sz w:val="16"/>
          <w:szCs w:val="16"/>
          <w:color w:val="343434"/>
        </w:rPr>
        <w:t xml:space="preserve"> </w:t>
      </w:r>
      <w:r>
        <w:rPr>
          <w:rFonts w:ascii="Arial" w:cs="Arial" w:eastAsia="Arial" w:hAnsi="Arial"/>
          <w:sz w:val="16"/>
          <w:szCs w:val="16"/>
          <w:i w:val="1"/>
          <w:iCs w:val="1"/>
          <w:color w:val="343434"/>
        </w:rPr>
        <w:t xml:space="preserve">Instruments.” </w:t>
      </w:r>
      <w:r>
        <w:rPr>
          <w:rFonts w:ascii="Arial" w:cs="Arial" w:eastAsia="Arial" w:hAnsi="Arial"/>
          <w:sz w:val="16"/>
          <w:szCs w:val="16"/>
          <w:color w:val="343434"/>
        </w:rPr>
        <w:t>The amendment in this update replaces the incurred loss impairment methodology in current GAAP with a methodology that reflects</w:t>
      </w:r>
      <w:r>
        <w:rPr>
          <w:rFonts w:ascii="Arial" w:cs="Arial" w:eastAsia="Arial" w:hAnsi="Arial"/>
          <w:sz w:val="16"/>
          <w:szCs w:val="16"/>
          <w:i w:val="1"/>
          <w:iCs w:val="1"/>
          <w:color w:val="343434"/>
        </w:rPr>
        <w:t xml:space="preserve"> </w:t>
      </w:r>
      <w:r>
        <w:rPr>
          <w:rFonts w:ascii="Arial" w:cs="Arial" w:eastAsia="Arial" w:hAnsi="Arial"/>
          <w:sz w:val="16"/>
          <w:szCs w:val="16"/>
          <w:color w:val="343434"/>
        </w:rPr>
        <w:t xml:space="preserve">expected credit losses on instruments within its scope, including trade receivables. This update is intended to provide </w:t>
      </w:r>
      <w:r>
        <w:rPr>
          <w:rFonts w:ascii="Arial" w:cs="Arial" w:eastAsia="Arial" w:hAnsi="Arial"/>
          <w:sz w:val="16"/>
          <w:szCs w:val="16"/>
          <w:color w:val="464646"/>
        </w:rPr>
        <w:t>financial</w:t>
      </w:r>
      <w:r>
        <w:rPr>
          <w:rFonts w:ascii="Arial" w:cs="Arial" w:eastAsia="Arial" w:hAnsi="Arial"/>
          <w:sz w:val="16"/>
          <w:szCs w:val="16"/>
          <w:color w:val="343434"/>
        </w:rPr>
        <w:t xml:space="preserve"> statement users with more decision-useful information about the expected credit losses. This ASU is effective for annual periods </w:t>
      </w:r>
      <w:r>
        <w:rPr>
          <w:rFonts w:ascii="Arial" w:cs="Arial" w:eastAsia="Arial" w:hAnsi="Arial"/>
          <w:sz w:val="16"/>
          <w:szCs w:val="16"/>
          <w:color w:val="464646"/>
        </w:rPr>
        <w:t>and</w:t>
      </w:r>
      <w:r>
        <w:rPr>
          <w:rFonts w:ascii="Arial" w:cs="Arial" w:eastAsia="Arial" w:hAnsi="Arial"/>
          <w:sz w:val="16"/>
          <w:szCs w:val="16"/>
          <w:color w:val="343434"/>
        </w:rPr>
        <w:t xml:space="preserve"> interim periods beginning after December 15, 2022. The Company is currently evaluating the impact the adoption of ASU 2016-13 will have on its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listed in Item 15 - “Exhibits and Financial Statement Schedules” of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Disclosure controls and procedures are our controls and other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2021,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annual report of management on the Company’s internal control over financial reporting is provided under “Reports of Management” on page F-2, which is incorporated herein by reference as if fully set forth herein. As described therein, management concluded that the Company’s internal control over financial reporting was effective as of April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April 30, 2021 that has materially affected, or is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response to this Item 10 is incorporated herein by reference to our definitive proxy statement relating to our 2021 Annual Meeting of Stockholders to be filed with the SEC pursuant to Regulation 14A, not later than 120 days after the end of our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response to this Item 11 is incorporated herein by reference to our definitive proxy statement relating to our 2021 Annual Meeting of Stockholders to be filed with the SEC pursuant to Regulation 14A, not later than 120 days after the end of our fiscal year covered by this report.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response to this Item 12 is incorporated herein by reference to our definitive proxy statement relating to our 2021 Annual Meeting of Stockholders to be filed with the SEC pursuant to Regulation 14A, not later than 120 days after the end of our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response to this Item 13 is incorporated herein by reference to our definitive proxy statement relating to our 2021 Annual Meeting of Stockholders to be filed with the SEC pursuant to Regulation 14A, not later than 120 days after the end of our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response to this Item 14 is incorporated herein by reference to our definitive proxy statement relating to our 2021 Annual Meeting of Stockholders to be filed with the SEC pursuant to Regulation 14A, not later than 120 days after the end of our fiscal year covered by this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 Financial Statements: See Index to Consolidated Financial Statements on page F-1.</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(3) Exhibits: See Exhibit Index on pages 58 to 59.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44" w:name="page45"/>
    <w:bookmarkEnd w:id="44"/>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OCEAN POWER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2021</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 Philipp Stratmann</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2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9"/>
              </w:rPr>
              <w:t>SIGNATURE</w:t>
            </w:r>
          </w:p>
        </w:tc>
        <w:tc>
          <w:tcPr>
            <w:tcW w:w="5420" w:type="dxa"/>
            <w:vAlign w:val="bottom"/>
            <w:gridSpan w:val="3"/>
          </w:tcPr>
          <w:p>
            <w:pPr>
              <w:ind w:left="2560"/>
              <w:spacing w:after="0"/>
              <w:rPr>
                <w:sz w:val="20"/>
                <w:szCs w:val="20"/>
                <w:color w:val="auto"/>
              </w:rPr>
            </w:pPr>
            <w:r>
              <w:rPr>
                <w:rFonts w:ascii="Arial" w:cs="Arial" w:eastAsia="Arial" w:hAnsi="Arial"/>
                <w:sz w:val="18"/>
                <w:szCs w:val="18"/>
                <w:b w:val="1"/>
                <w:bCs w:val="1"/>
                <w:color w:val="auto"/>
              </w:rPr>
              <w:t>TITLE</w:t>
            </w:r>
          </w:p>
        </w:tc>
        <w:tc>
          <w:tcPr>
            <w:tcW w:w="244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38"/>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1"/>
        </w:trPr>
        <w:tc>
          <w:tcPr>
            <w:tcW w:w="3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2"/>
              </w:rPr>
              <w:t>/s/ Philipp Stratmann</w:t>
            </w: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and Director (Principal Executive Officer)</w:t>
            </w:r>
          </w:p>
        </w:tc>
        <w:tc>
          <w:tcPr>
            <w:tcW w:w="244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July 19, 2021</w:t>
            </w:r>
          </w:p>
        </w:tc>
      </w:tr>
      <w:tr>
        <w:trPr>
          <w:trHeight w:val="230"/>
        </w:trPr>
        <w:tc>
          <w:tcPr>
            <w:tcW w:w="3380" w:type="dxa"/>
            <w:vAlign w:val="bottom"/>
            <w:gridSpan w:val="3"/>
          </w:tcPr>
          <w:p>
            <w:pPr>
              <w:jc w:val="center"/>
              <w:spacing w:after="0"/>
              <w:rPr>
                <w:sz w:val="20"/>
                <w:szCs w:val="20"/>
                <w:color w:val="auto"/>
              </w:rPr>
            </w:pPr>
            <w:r>
              <w:rPr>
                <w:rFonts w:ascii="Arial" w:cs="Arial" w:eastAsia="Arial" w:hAnsi="Arial"/>
                <w:sz w:val="18"/>
                <w:szCs w:val="18"/>
                <w:color w:val="auto"/>
                <w:w w:val="91"/>
              </w:rPr>
              <w:t>Philipp Stratmann</w:t>
            </w:r>
          </w:p>
        </w:tc>
        <w:tc>
          <w:tcPr>
            <w:tcW w:w="2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i w:val="1"/>
                <w:iCs w:val="1"/>
                <w:color w:val="auto"/>
                <w:w w:val="89"/>
              </w:rPr>
              <w:t>s/ Matthew T. Shafer</w:t>
            </w: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Senior Vice President, Chief Financial Officer and Treasurer</w:t>
            </w:r>
          </w:p>
        </w:tc>
        <w:tc>
          <w:tcPr>
            <w:tcW w:w="244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July 19, 2021</w:t>
            </w:r>
          </w:p>
        </w:tc>
      </w:tr>
      <w:tr>
        <w:trPr>
          <w:trHeight w:val="230"/>
        </w:trPr>
        <w:tc>
          <w:tcPr>
            <w:tcW w:w="3380" w:type="dxa"/>
            <w:vAlign w:val="bottom"/>
            <w:gridSpan w:val="3"/>
          </w:tcPr>
          <w:p>
            <w:pPr>
              <w:jc w:val="center"/>
              <w:spacing w:after="0"/>
              <w:rPr>
                <w:sz w:val="20"/>
                <w:szCs w:val="20"/>
                <w:color w:val="auto"/>
              </w:rPr>
            </w:pPr>
            <w:r>
              <w:rPr>
                <w:rFonts w:ascii="Arial" w:cs="Arial" w:eastAsia="Arial" w:hAnsi="Arial"/>
                <w:sz w:val="18"/>
                <w:szCs w:val="18"/>
                <w:color w:val="auto"/>
                <w:w w:val="91"/>
              </w:rPr>
              <w:t>Matthew T. Shafer</w:t>
            </w:r>
          </w:p>
        </w:tc>
        <w:tc>
          <w:tcPr>
            <w:tcW w:w="542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8"/>
              </w:rPr>
              <w:t>/s/ Terence J. Cryan</w:t>
            </w: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Chairman of the Board and Director</w:t>
            </w:r>
          </w:p>
        </w:tc>
        <w:tc>
          <w:tcPr>
            <w:tcW w:w="244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July 19, 2021</w:t>
            </w:r>
          </w:p>
        </w:tc>
      </w:tr>
      <w:tr>
        <w:trPr>
          <w:trHeight w:val="230"/>
        </w:trPr>
        <w:tc>
          <w:tcPr>
            <w:tcW w:w="3380" w:type="dxa"/>
            <w:vAlign w:val="bottom"/>
            <w:gridSpan w:val="3"/>
          </w:tcPr>
          <w:p>
            <w:pPr>
              <w:jc w:val="center"/>
              <w:spacing w:after="0"/>
              <w:rPr>
                <w:sz w:val="20"/>
                <w:szCs w:val="20"/>
                <w:color w:val="auto"/>
              </w:rPr>
            </w:pPr>
            <w:r>
              <w:rPr>
                <w:rFonts w:ascii="Arial" w:cs="Arial" w:eastAsia="Arial" w:hAnsi="Arial"/>
                <w:sz w:val="18"/>
                <w:szCs w:val="18"/>
                <w:color w:val="auto"/>
                <w:w w:val="88"/>
              </w:rPr>
              <w:t>Terence J. Cryan</w:t>
            </w:r>
          </w:p>
        </w:tc>
        <w:tc>
          <w:tcPr>
            <w:tcW w:w="2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/s/ Clyde W. Hewlett</w:t>
            </w: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July 19, 2021</w:t>
            </w:r>
          </w:p>
        </w:tc>
      </w:tr>
      <w:tr>
        <w:trPr>
          <w:trHeight w:val="230"/>
        </w:trPr>
        <w:tc>
          <w:tcPr>
            <w:tcW w:w="3380" w:type="dxa"/>
            <w:vAlign w:val="bottom"/>
            <w:gridSpan w:val="3"/>
          </w:tcPr>
          <w:p>
            <w:pPr>
              <w:jc w:val="center"/>
              <w:spacing w:after="0"/>
              <w:rPr>
                <w:sz w:val="20"/>
                <w:szCs w:val="20"/>
                <w:color w:val="auto"/>
              </w:rPr>
            </w:pPr>
            <w:r>
              <w:rPr>
                <w:rFonts w:ascii="Arial" w:cs="Arial" w:eastAsia="Arial" w:hAnsi="Arial"/>
                <w:sz w:val="18"/>
                <w:szCs w:val="18"/>
                <w:color w:val="auto"/>
                <w:w w:val="92"/>
              </w:rPr>
              <w:t>Clyde W. Hewlett</w:t>
            </w:r>
          </w:p>
        </w:tc>
        <w:tc>
          <w:tcPr>
            <w:tcW w:w="2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2"/>
              </w:rPr>
              <w:t>/s/ Diana G. Purcel</w:t>
            </w: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July 19, 2021</w:t>
            </w:r>
          </w:p>
        </w:tc>
      </w:tr>
      <w:tr>
        <w:trPr>
          <w:trHeight w:val="230"/>
        </w:trPr>
        <w:tc>
          <w:tcPr>
            <w:tcW w:w="3380" w:type="dxa"/>
            <w:vAlign w:val="bottom"/>
            <w:gridSpan w:val="3"/>
          </w:tcPr>
          <w:p>
            <w:pPr>
              <w:jc w:val="center"/>
              <w:spacing w:after="0"/>
              <w:rPr>
                <w:sz w:val="20"/>
                <w:szCs w:val="20"/>
                <w:color w:val="auto"/>
              </w:rPr>
            </w:pPr>
            <w:r>
              <w:rPr>
                <w:rFonts w:ascii="Arial" w:cs="Arial" w:eastAsia="Arial" w:hAnsi="Arial"/>
                <w:sz w:val="18"/>
                <w:szCs w:val="18"/>
                <w:color w:val="auto"/>
                <w:w w:val="91"/>
              </w:rPr>
              <w:t>Diana G. Purcel</w:t>
            </w:r>
          </w:p>
        </w:tc>
        <w:tc>
          <w:tcPr>
            <w:tcW w:w="2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/s/ Peter E. Slaiby</w:t>
            </w: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July 19, 2021</w:t>
            </w:r>
          </w:p>
        </w:tc>
      </w:tr>
      <w:tr>
        <w:trPr>
          <w:trHeight w:val="230"/>
        </w:trPr>
        <w:tc>
          <w:tcPr>
            <w:tcW w:w="3380" w:type="dxa"/>
            <w:vAlign w:val="bottom"/>
            <w:gridSpan w:val="3"/>
          </w:tcPr>
          <w:p>
            <w:pPr>
              <w:jc w:val="center"/>
              <w:spacing w:after="0"/>
              <w:rPr>
                <w:sz w:val="20"/>
                <w:szCs w:val="20"/>
                <w:color w:val="auto"/>
              </w:rPr>
            </w:pPr>
            <w:r>
              <w:rPr>
                <w:rFonts w:ascii="Arial" w:cs="Arial" w:eastAsia="Arial" w:hAnsi="Arial"/>
                <w:sz w:val="18"/>
                <w:szCs w:val="18"/>
                <w:color w:val="auto"/>
                <w:w w:val="90"/>
              </w:rPr>
              <w:t>Peter E. Slaiby</w:t>
            </w:r>
          </w:p>
        </w:tc>
        <w:tc>
          <w:tcPr>
            <w:tcW w:w="2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25"/>
        </w:trPr>
        <w:tc>
          <w:tcPr>
            <w:tcW w:w="1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42</w:t>
            </w:r>
          </w:p>
        </w:tc>
        <w:tc>
          <w:tcPr>
            <w:tcW w:w="5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60" w:type="dxa"/>
            <w:vAlign w:val="bottom"/>
          </w:tcPr>
          <w:p>
            <w:pPr>
              <w:ind w:left="428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460" w:type="dxa"/>
            <w:vAlign w:val="bottom"/>
          </w:tcPr>
          <w:p>
            <w:pPr>
              <w:spacing w:after="0"/>
              <w:rPr>
                <w:sz w:val="24"/>
                <w:szCs w:val="24"/>
                <w:color w:val="auto"/>
              </w:rPr>
            </w:pPr>
          </w:p>
        </w:tc>
      </w:tr>
      <w:tr>
        <w:trPr>
          <w:trHeight w:val="255"/>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0460" w:type="dxa"/>
            <w:vAlign w:val="bottom"/>
            <w:tcBorders>
              <w:bottom w:val="single" w:sz="8" w:color="auto"/>
            </w:tcBorders>
          </w:tcPr>
          <w:p>
            <w:pPr>
              <w:ind w:left="4780"/>
              <w:spacing w:after="0"/>
              <w:rPr>
                <w:sz w:val="20"/>
                <w:szCs w:val="20"/>
                <w:color w:val="auto"/>
              </w:rPr>
            </w:pPr>
            <w:r>
              <w:rPr>
                <w:rFonts w:ascii="Arial" w:cs="Arial" w:eastAsia="Arial" w:hAnsi="Arial"/>
                <w:sz w:val="18"/>
                <w:szCs w:val="18"/>
                <w:b w:val="1"/>
                <w:bCs w:val="1"/>
                <w:color w:val="auto"/>
              </w:rPr>
              <w:t>Description</w:t>
            </w:r>
          </w:p>
        </w:tc>
      </w:tr>
    </w:tbl>
    <w:p>
      <w:pPr>
        <w:spacing w:after="0" w:line="202" w:lineRule="exact"/>
        <w:rPr>
          <w:sz w:val="20"/>
          <w:szCs w:val="20"/>
          <w:color w:val="auto"/>
        </w:rPr>
      </w:pPr>
    </w:p>
    <w:p>
      <w:pPr>
        <w:jc w:val="both"/>
        <w:ind w:left="780" w:right="20" w:hanging="768"/>
        <w:spacing w:after="0" w:line="258"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5">
        <w:r>
          <w:rPr>
            <w:rFonts w:ascii="Arial" w:cs="Arial" w:eastAsia="Arial" w:hAnsi="Arial"/>
            <w:sz w:val="18"/>
            <w:szCs w:val="18"/>
            <w:u w:val="single" w:color="auto"/>
            <w:color w:val="0000EE"/>
          </w:rPr>
          <w:t>Restated Certificate of Incorporation of the registrant (incorporated by reference from Exhibit 3.1 to our Quarterly Report on Form 10-Q filed</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September 14, 2007).</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56">
        <w:r>
          <w:rPr>
            <w:rFonts w:ascii="Arial" w:cs="Arial" w:eastAsia="Arial" w:hAnsi="Arial"/>
            <w:sz w:val="18"/>
            <w:szCs w:val="18"/>
            <w:u w:val="single" w:color="auto"/>
            <w:color w:val="0000EE"/>
          </w:rPr>
          <w:t>Certificate of Amendment of Certificate of Incorporation of Ocean Power Technologies, Inc. dated October 27, 2015 (incorporated by reference</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from Exhibit 3.1 to Current Report on Form 8-K filed on October 28, 2015).</w:t>
        </w:r>
      </w:hyperlink>
    </w:p>
    <w:p>
      <w:pPr>
        <w:spacing w:after="0" w:line="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r:id="rId57">
        <w:r>
          <w:rPr>
            <w:rFonts w:ascii="Arial" w:cs="Arial" w:eastAsia="Arial" w:hAnsi="Arial"/>
            <w:sz w:val="16"/>
            <w:szCs w:val="16"/>
            <w:u w:val="single" w:color="auto"/>
            <w:color w:val="0000EE"/>
          </w:rPr>
          <w:t>Amended and Restated Bylaws of the registrant (incorporated by reference from Exhibit 3.2 to the Current Report on Form 8-K filed June 23,</w:t>
        </w:r>
      </w:hyperlink>
    </w:p>
    <w:p>
      <w:pPr>
        <w:spacing w:after="0" w:line="9" w:lineRule="exact"/>
        <w:rPr>
          <w:sz w:val="20"/>
          <w:szCs w:val="20"/>
          <w:color w:val="auto"/>
        </w:rPr>
      </w:pPr>
    </w:p>
    <w:p>
      <w:pPr>
        <w:ind w:left="780"/>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2016).</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r:id="rId58">
        <w:r>
          <w:rPr>
            <w:rFonts w:ascii="Arial" w:cs="Arial" w:eastAsia="Arial" w:hAnsi="Arial"/>
            <w:sz w:val="16"/>
            <w:szCs w:val="16"/>
            <w:u w:val="single" w:color="auto"/>
            <w:color w:val="0000EE"/>
          </w:rPr>
          <w:t>Certificate of Amendment to Certificate of Incorporation of the Company, filed with the Secretary of State of the State of Delaware on October</w:t>
        </w:r>
      </w:hyperlink>
    </w:p>
    <w:p>
      <w:pPr>
        <w:spacing w:after="0" w:line="9" w:lineRule="exact"/>
        <w:rPr>
          <w:sz w:val="20"/>
          <w:szCs w:val="20"/>
          <w:color w:val="auto"/>
        </w:rPr>
      </w:pPr>
    </w:p>
    <w:p>
      <w:pPr>
        <w:ind w:left="780"/>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21, 2016 (incorporated by reference to Exhibit 3.1 to the Company’s Current Report on Form 8-K filed on October 21, 2016).</w:t>
        </w:r>
      </w:hyperlink>
    </w:p>
    <w:p>
      <w:pPr>
        <w:spacing w:after="0" w:line="9" w:lineRule="exact"/>
        <w:rPr>
          <w:sz w:val="20"/>
          <w:szCs w:val="20"/>
          <w:color w:val="auto"/>
        </w:rPr>
      </w:pPr>
    </w:p>
    <w:p>
      <w:pPr>
        <w:jc w:val="both"/>
        <w:ind w:left="780" w:right="20" w:hanging="768"/>
        <w:spacing w:after="0" w:line="265"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3.5</w:t>
      </w:r>
      <w:r>
        <w:rPr>
          <w:sz w:val="20"/>
          <w:szCs w:val="20"/>
          <w:color w:val="auto"/>
        </w:rPr>
        <w:tab/>
      </w:r>
      <w:hyperlink r:id="rId59">
        <w:r>
          <w:rPr>
            <w:rFonts w:ascii="Arial" w:cs="Arial" w:eastAsia="Arial" w:hAnsi="Arial"/>
            <w:sz w:val="17"/>
            <w:szCs w:val="17"/>
            <w:u w:val="single" w:color="auto"/>
            <w:color w:val="0000EE"/>
          </w:rPr>
          <w:t>Certificate of Amendment to Certificate of Incorporation of the Company, filed with the Secretary of State of the State of Delaware on</w:t>
        </w:r>
      </w:hyperlink>
      <w:r>
        <w:rPr>
          <w:rFonts w:ascii="Arial" w:cs="Arial" w:eastAsia="Arial" w:hAnsi="Arial"/>
          <w:sz w:val="17"/>
          <w:szCs w:val="17"/>
          <w:u w:val="single" w:color="auto"/>
          <w:color w:val="0000EE"/>
        </w:rPr>
        <w:t xml:space="preserve"> </w:t>
      </w:r>
      <w:hyperlink r:id="rId59">
        <w:r>
          <w:rPr>
            <w:rFonts w:ascii="Arial" w:cs="Arial" w:eastAsia="Arial" w:hAnsi="Arial"/>
            <w:sz w:val="17"/>
            <w:szCs w:val="17"/>
            <w:u w:val="single" w:color="auto"/>
            <w:color w:val="0000EE"/>
          </w:rPr>
          <w:t>December 7, 2018 (incorporated by reference to Exhibit 3.1 to the Company’s Current Report on Form 8-K filed on December 7, 2018).</w:t>
        </w:r>
      </w:hyperlink>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3.6</w:t>
      </w:r>
      <w:r>
        <w:rPr>
          <w:sz w:val="20"/>
          <w:szCs w:val="20"/>
          <w:color w:val="auto"/>
        </w:rPr>
        <w:tab/>
      </w:r>
      <w:hyperlink r:id="rId60">
        <w:r>
          <w:rPr>
            <w:rFonts w:ascii="Arial" w:cs="Arial" w:eastAsia="Arial" w:hAnsi="Arial"/>
            <w:sz w:val="16"/>
            <w:szCs w:val="16"/>
            <w:u w:val="single" w:color="auto"/>
            <w:color w:val="0000EE"/>
          </w:rPr>
          <w:t>Certificate of Amendment to Certificate of Incorporation of the Company, filed with the Secretary of State of the State of Delaware on March 8,</w:t>
        </w:r>
      </w:hyperlink>
    </w:p>
    <w:p>
      <w:pPr>
        <w:spacing w:after="0" w:line="9" w:lineRule="exact"/>
        <w:rPr>
          <w:sz w:val="20"/>
          <w:szCs w:val="20"/>
          <w:color w:val="auto"/>
        </w:rPr>
      </w:pPr>
    </w:p>
    <w:p>
      <w:pPr>
        <w:ind w:left="780"/>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2019 (incorporated by reference to Exhibit 3.1 to the Company’s Current Report on Form 8-K filed on March 8, 2019).</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61">
        <w:r>
          <w:rPr>
            <w:rFonts w:ascii="Arial" w:cs="Arial" w:eastAsia="Arial" w:hAnsi="Arial"/>
            <w:sz w:val="16"/>
            <w:szCs w:val="16"/>
            <w:u w:val="single" w:color="auto"/>
            <w:color w:val="0000EE"/>
          </w:rPr>
          <w:t>Specimen certificate of Common Stock (incorporated by reference from Exhibit 4.1 to Form S-1/A filed March 19, 2007).</w:t>
        </w:r>
      </w:hyperlink>
    </w:p>
    <w:p>
      <w:pPr>
        <w:spacing w:after="0" w:line="9"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62">
        <w:r>
          <w:rPr>
            <w:rFonts w:ascii="Arial" w:cs="Arial" w:eastAsia="Arial" w:hAnsi="Arial"/>
            <w:sz w:val="17"/>
            <w:szCs w:val="17"/>
            <w:u w:val="single" w:color="auto"/>
            <w:color w:val="0000EE"/>
          </w:rPr>
          <w:t>Form of Warrant to Purchase Common Stock (incorporated by reference from Exhibit 4.1 to Current Report on Form 8-K/A filed on June 7,</w:t>
        </w:r>
      </w:hyperlink>
    </w:p>
    <w:p>
      <w:pPr>
        <w:spacing w:after="0" w:line="9" w:lineRule="exact"/>
        <w:rPr>
          <w:sz w:val="20"/>
          <w:szCs w:val="20"/>
          <w:color w:val="auto"/>
        </w:rPr>
      </w:pPr>
    </w:p>
    <w:p>
      <w:pPr>
        <w:ind w:left="780"/>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2016).</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w:anchor="page78">
        <w:r>
          <w:rPr>
            <w:rFonts w:ascii="Arial" w:cs="Arial" w:eastAsia="Arial" w:hAnsi="Arial"/>
            <w:sz w:val="16"/>
            <w:szCs w:val="16"/>
            <w:u w:val="single" w:color="auto"/>
            <w:color w:val="0000EE"/>
          </w:rPr>
          <w:t>Description of Company Securities.</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63">
        <w:r>
          <w:rPr>
            <w:rFonts w:ascii="Arial" w:cs="Arial" w:eastAsia="Arial" w:hAnsi="Arial"/>
            <w:sz w:val="16"/>
            <w:szCs w:val="16"/>
            <w:u w:val="single" w:color="auto"/>
            <w:color w:val="0000EE"/>
          </w:rPr>
          <w:t>Amended and Restated 2006 Stock Incentive Plan (incorporated by reference from Exhibit A to Proxy Statement filed August 28, 2013).*</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64">
        <w:r>
          <w:rPr>
            <w:rFonts w:ascii="Arial" w:cs="Arial" w:eastAsia="Arial" w:hAnsi="Arial"/>
            <w:sz w:val="16"/>
            <w:szCs w:val="16"/>
            <w:u w:val="single" w:color="auto"/>
            <w:color w:val="0000EE"/>
          </w:rPr>
          <w:t>Form of Restricted Stock Agreement (incorporated by reference from Exhibit 10.1 to Form 10-Q filed March 14, 2011).*</w:t>
        </w:r>
      </w:hyperlink>
    </w:p>
    <w:p>
      <w:pPr>
        <w:spacing w:after="0" w:line="9"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65">
        <w:r>
          <w:rPr>
            <w:rFonts w:ascii="Arial" w:cs="Arial" w:eastAsia="Arial" w:hAnsi="Arial"/>
            <w:sz w:val="18"/>
            <w:szCs w:val="18"/>
            <w:u w:val="single" w:color="auto"/>
            <w:color w:val="0000EE"/>
          </w:rPr>
          <w:t>Employment Agreement, dated December 29, 2014, between George H. Kirby and Ocean Power Technologies, Inc. (incorporated by reference</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from Exhibit 10.1 to Form 10-Q filed March 11, 2015).*</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66">
        <w:r>
          <w:rPr>
            <w:rFonts w:ascii="Arial" w:cs="Arial" w:eastAsia="Arial" w:hAnsi="Arial"/>
            <w:sz w:val="18"/>
            <w:szCs w:val="18"/>
            <w:u w:val="single" w:color="auto"/>
            <w:color w:val="0000EE"/>
          </w:rPr>
          <w:t>Form of Securities Purchase Agreement dated June 2, 2016 (incorporated by reference to Exhibit 99.3 to Current Report on Form 8-K filed on</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June 2, 2016).</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67">
        <w:r>
          <w:rPr>
            <w:rFonts w:ascii="Arial" w:cs="Arial" w:eastAsia="Arial" w:hAnsi="Arial"/>
            <w:sz w:val="18"/>
            <w:szCs w:val="18"/>
            <w:u w:val="single" w:color="auto"/>
            <w:color w:val="0000EE"/>
          </w:rPr>
          <w:t>Form of Amendment No. 1 to Securities Purchase Agreement, dated June 7, 2016 (incorporated by reference to Exhibit 99.4 to the Current</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Report on Form 8-K/A filed on June 7, 2016).</w:t>
        </w:r>
      </w:hyperlink>
    </w:p>
    <w:p>
      <w:pPr>
        <w:spacing w:after="0" w:line="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68">
        <w:r>
          <w:rPr>
            <w:rFonts w:ascii="Arial" w:cs="Arial" w:eastAsia="Arial" w:hAnsi="Arial"/>
            <w:sz w:val="16"/>
            <w:szCs w:val="16"/>
            <w:u w:val="single" w:color="auto"/>
            <w:color w:val="0000EE"/>
          </w:rPr>
          <w:t>2015 Omnibus Incentive Plan* (incorporated by reference to Annex A to Proxy Statement filed on September 3, 2015)</w:t>
        </w:r>
      </w:hyperlink>
      <w:r>
        <w:rPr>
          <w:rFonts w:ascii="Arial" w:cs="Arial" w:eastAsia="Arial" w:hAnsi="Arial"/>
          <w:sz w:val="16"/>
          <w:szCs w:val="16"/>
          <w:color w:val="000000"/>
        </w:rPr>
        <w:t>.</w:t>
      </w:r>
    </w:p>
    <w:p>
      <w:pPr>
        <w:spacing w:after="0" w:line="9"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69">
        <w:r>
          <w:rPr>
            <w:rFonts w:ascii="Arial" w:cs="Arial" w:eastAsia="Arial" w:hAnsi="Arial"/>
            <w:sz w:val="18"/>
            <w:szCs w:val="18"/>
            <w:u w:val="single" w:color="auto"/>
            <w:color w:val="0000EE"/>
          </w:rPr>
          <w:t>Stipulation and Agreement of Class Settlement dated as of May 5, 2016 (incorporated by reference to Exhibit 10.1 to Current Report on Form 8-</w:t>
        </w:r>
      </w:hyperlink>
      <w:hyperlink r:id="rId69">
        <w:r>
          <w:rPr>
            <w:rFonts w:ascii="Arial" w:cs="Arial" w:eastAsia="Arial" w:hAnsi="Arial"/>
            <w:sz w:val="18"/>
            <w:szCs w:val="18"/>
            <w:u w:val="single" w:color="auto"/>
            <w:color w:val="0000EE"/>
          </w:rPr>
          <w:t>K filed on May 11, 2016).</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70">
        <w:r>
          <w:rPr>
            <w:rFonts w:ascii="Arial" w:cs="Arial" w:eastAsia="Arial" w:hAnsi="Arial"/>
            <w:sz w:val="18"/>
            <w:szCs w:val="18"/>
            <w:u w:val="single" w:color="auto"/>
            <w:color w:val="0000EE"/>
          </w:rPr>
          <w:t>Agreement by and between Ocean Power Technologies, Inc. and Mitsui Engineering &amp; Shipbuilding Co., Ltd dated May 31, 2016 (incorporated</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by reference from Exhibit 10.1 to Current Report on Form 8-K/A filed on June 6, 2016).</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66">
        <w:r>
          <w:rPr>
            <w:rFonts w:ascii="Arial" w:cs="Arial" w:eastAsia="Arial" w:hAnsi="Arial"/>
            <w:sz w:val="18"/>
            <w:szCs w:val="18"/>
            <w:u w:val="single" w:color="auto"/>
            <w:color w:val="0000EE"/>
          </w:rPr>
          <w:t>Form of the Securities Purchase Agreement, dated June 2, 2016 (incorporated by reference to Exhibit 99.3 to the Current Report on Form 8-K</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filed on June 2, 2016).</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67">
        <w:r>
          <w:rPr>
            <w:rFonts w:ascii="Arial" w:cs="Arial" w:eastAsia="Arial" w:hAnsi="Arial"/>
            <w:sz w:val="18"/>
            <w:szCs w:val="18"/>
            <w:u w:val="single" w:color="auto"/>
            <w:color w:val="0000EE"/>
          </w:rPr>
          <w:t>Form of Amendment No. 1 to the Securities Purchase Agreement, dated June 7, 2016 (incorporated by reference to Exhibit 99.4 to the Current</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Report on Form 8-K/A filed on June 7, 2016).</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71">
        <w:r>
          <w:rPr>
            <w:rFonts w:ascii="Arial" w:cs="Arial" w:eastAsia="Arial" w:hAnsi="Arial"/>
            <w:sz w:val="18"/>
            <w:szCs w:val="18"/>
            <w:u w:val="single" w:color="auto"/>
            <w:color w:val="0000EE"/>
          </w:rPr>
          <w:t>Form of Amendment No. 2, dated as of July 21, 2016, to the Securities Purchase Agreement, dated as of June 2, 2016, by and among Ocean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Power Technologies, Inc. and the investor’s signatory thereto, and (incorporated by reference from Exhibit 99.2 to the Current Report on Form</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8-K filed July 21, 2016).</w:t>
        </w:r>
      </w:hyperlink>
    </w:p>
    <w:p>
      <w:pPr>
        <w:spacing w:after="0" w:line="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72">
        <w:r>
          <w:rPr>
            <w:rFonts w:ascii="Arial" w:cs="Arial" w:eastAsia="Arial" w:hAnsi="Arial"/>
            <w:sz w:val="16"/>
            <w:szCs w:val="16"/>
            <w:u w:val="single" w:color="auto"/>
            <w:color w:val="0000EE"/>
          </w:rPr>
          <w:t>Form of Subscription Agreement, dated July 22, 2016 between the Company and the Purchasers thereto (incorporated by reference from Exhibit</w:t>
        </w:r>
      </w:hyperlink>
    </w:p>
    <w:p>
      <w:pPr>
        <w:spacing w:after="0" w:line="9"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10.1 to the Current Report on Form 8-K filed July 22, 2016).</w:t>
        </w:r>
      </w:hyperlink>
    </w:p>
    <w:p>
      <w:pPr>
        <w:spacing w:after="0" w:line="21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ind w:left="780" w:hanging="768"/>
        <w:spacing w:after="0" w:line="258"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74">
        <w:r>
          <w:rPr>
            <w:rFonts w:ascii="Arial" w:cs="Arial" w:eastAsia="Arial" w:hAnsi="Arial"/>
            <w:sz w:val="18"/>
            <w:szCs w:val="18"/>
            <w:u w:val="single" w:color="auto"/>
            <w:color w:val="0000EE"/>
          </w:rPr>
          <w:t>Employment Letter between the Company and Matthew Shafer dated August 23, 2016, (incorporated by reference from Exhibit 10.1 to the</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Current Report on Form 8-K filed August 29, 2016).</w:t>
        </w:r>
      </w:hyperlink>
    </w:p>
    <w:p>
      <w:pPr>
        <w:spacing w:after="0" w:line="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75">
        <w:r>
          <w:rPr>
            <w:rFonts w:ascii="Arial" w:cs="Arial" w:eastAsia="Arial" w:hAnsi="Arial"/>
            <w:sz w:val="16"/>
            <w:szCs w:val="16"/>
            <w:u w:val="single" w:color="auto"/>
            <w:color w:val="0000EE"/>
          </w:rPr>
          <w:t>Agreement by and between the Company and the U.S. Office of Naval Research dated September 13, 2016 (incorporated by reference to Exhibit</w:t>
        </w:r>
      </w:hyperlink>
    </w:p>
    <w:p>
      <w:pPr>
        <w:spacing w:after="0" w:line="9" w:lineRule="exact"/>
        <w:rPr>
          <w:sz w:val="20"/>
          <w:szCs w:val="20"/>
          <w:color w:val="auto"/>
        </w:rPr>
      </w:pPr>
    </w:p>
    <w:p>
      <w:pPr>
        <w:ind w:left="780"/>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10.1 to the Company’s Current Report on Form 8-K filed on September 14, 2016).</w:t>
        </w:r>
      </w:hyperlink>
    </w:p>
    <w:p>
      <w:pPr>
        <w:spacing w:after="0" w:line="9"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76">
        <w:r>
          <w:rPr>
            <w:rFonts w:ascii="Arial" w:cs="Arial" w:eastAsia="Arial" w:hAnsi="Arial"/>
            <w:sz w:val="18"/>
            <w:szCs w:val="18"/>
            <w:u w:val="single" w:color="auto"/>
            <w:color w:val="0000EE"/>
          </w:rPr>
          <w:t>Ocean Power Technologies, Inc. Employment Inducement Incentive Award Plan (incorporated by reference to Exhibit 10.1 to Form 8-K filed</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with the SEC on January 19, 2018).*</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77">
        <w:r>
          <w:rPr>
            <w:rFonts w:ascii="Arial" w:cs="Arial" w:eastAsia="Arial" w:hAnsi="Arial"/>
            <w:sz w:val="18"/>
            <w:szCs w:val="18"/>
            <w:u w:val="single" w:color="auto"/>
            <w:color w:val="0000EE"/>
          </w:rPr>
          <w:t>Form of Restricted Stock Agreement for Employment Inducement Incentive Award Plan (incorporated by reference to Exhibit 10.2 to Form 8-K</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filed with the SEC on January 19, 2018).*</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78">
        <w:r>
          <w:rPr>
            <w:rFonts w:ascii="Arial" w:cs="Arial" w:eastAsia="Arial" w:hAnsi="Arial"/>
            <w:sz w:val="18"/>
            <w:szCs w:val="18"/>
            <w:u w:val="single" w:color="auto"/>
            <w:color w:val="0000EE"/>
          </w:rPr>
          <w:t>Contract between Eni S.p.A. and the Company dated March 14, 2018 (incorporated by reference to Exhibit 10.1 to Form 8-K filed with the SEC</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on March 19, 2018). +</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79">
        <w:r>
          <w:rPr>
            <w:rFonts w:ascii="Arial" w:cs="Arial" w:eastAsia="Arial" w:hAnsi="Arial"/>
            <w:sz w:val="18"/>
            <w:szCs w:val="18"/>
            <w:u w:val="single" w:color="auto"/>
            <w:color w:val="0000EE"/>
          </w:rPr>
          <w:t>Contract between Harbour Energby UK Limited and the Company dated June 27, 2018 (incorporated by reference to Exhibit 10.27 to Form 10-</w:t>
        </w:r>
      </w:hyperlink>
      <w:hyperlink r:id="rId79">
        <w:r>
          <w:rPr>
            <w:rFonts w:ascii="Arial" w:cs="Arial" w:eastAsia="Arial" w:hAnsi="Arial"/>
            <w:sz w:val="18"/>
            <w:szCs w:val="18"/>
            <w:u w:val="single" w:color="auto"/>
            <w:color w:val="0000EE"/>
          </w:rPr>
          <w:t>K filed with the SEC on July 17, 2018).+</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79">
        <w:r>
          <w:rPr>
            <w:rFonts w:ascii="Arial" w:cs="Arial" w:eastAsia="Arial" w:hAnsi="Arial"/>
            <w:sz w:val="18"/>
            <w:szCs w:val="18"/>
            <w:u w:val="single" w:color="auto"/>
            <w:color w:val="0000EE"/>
          </w:rPr>
          <w:t>Amendment to the Employment Agreement of George H. Kirby III (incorporated by reference to Exhibit 10.2 to Form 8-K filed with the SEC on</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July 18, 2018). *</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80">
        <w:r>
          <w:rPr>
            <w:rFonts w:ascii="Arial" w:cs="Arial" w:eastAsia="Arial" w:hAnsi="Arial"/>
            <w:sz w:val="18"/>
            <w:szCs w:val="18"/>
            <w:u w:val="single" w:color="auto"/>
            <w:color w:val="0000EE"/>
          </w:rPr>
          <w:t>Contract between U.S. Navy and the Company dated February 11, 2019 (incorporated by reference to Exhibit 10.2 to Form 10-Q filed with the</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SEC on March 11, 2019).</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81">
        <w:r>
          <w:rPr>
            <w:rFonts w:ascii="Arial" w:cs="Arial" w:eastAsia="Arial" w:hAnsi="Arial"/>
            <w:sz w:val="18"/>
            <w:szCs w:val="18"/>
            <w:u w:val="single" w:color="auto"/>
            <w:color w:val="0000EE"/>
          </w:rPr>
          <w:t>Form of Warrant Agency Agreement by and between the Company and Computershare Trust Company, N.A. collectively as warrant agent</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(incorporated by reference to Exhibit 4.7 to Amendment No.2 to the Company’s Registration Statement on Form S-1 (file No. 333-230199, filed</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with the SEC on April 3, 2019).</w:t>
        </w:r>
      </w:hyperlink>
    </w:p>
    <w:p>
      <w:pPr>
        <w:spacing w:after="0" w:line="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82">
        <w:r>
          <w:rPr>
            <w:rFonts w:ascii="Arial" w:cs="Arial" w:eastAsia="Arial" w:hAnsi="Arial"/>
            <w:sz w:val="16"/>
            <w:szCs w:val="16"/>
            <w:u w:val="single" w:color="auto"/>
            <w:color w:val="0000EE"/>
          </w:rPr>
          <w:t>Form of Common Warrant ((incorporated by reference to Exhibit 4.2 to Form 8-K filed with the SEC on April 5, 2019).</w:t>
        </w:r>
      </w:hyperlink>
    </w:p>
    <w:p>
      <w:pPr>
        <w:spacing w:after="0" w:line="9"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83">
        <w:r>
          <w:rPr>
            <w:rFonts w:ascii="Arial" w:cs="Arial" w:eastAsia="Arial" w:hAnsi="Arial"/>
            <w:sz w:val="16"/>
            <w:szCs w:val="16"/>
            <w:u w:val="single" w:color="auto"/>
            <w:color w:val="0000EE"/>
          </w:rPr>
          <w:t>Form of Pre-Funded Warrant ((incorporated by reference to Exhibit 4.3 to Form 8-K filed with the SEC on April 5, 2019).</w:t>
        </w:r>
      </w:hyperlink>
    </w:p>
    <w:p>
      <w:pPr>
        <w:spacing w:after="0" w:line="9" w:lineRule="exact"/>
        <w:rPr>
          <w:rFonts w:ascii="Arial" w:cs="Arial" w:eastAsia="Arial" w:hAnsi="Arial"/>
          <w:sz w:val="18"/>
          <w:szCs w:val="18"/>
          <w:u w:val="single" w:color="auto"/>
          <w:color w:val="0000EE"/>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84">
        <w:r>
          <w:rPr>
            <w:rFonts w:ascii="Arial" w:cs="Arial" w:eastAsia="Arial" w:hAnsi="Arial"/>
            <w:sz w:val="18"/>
            <w:szCs w:val="18"/>
            <w:u w:val="single" w:color="auto"/>
            <w:color w:val="0000EE"/>
          </w:rPr>
          <w:t>Warrant Agency Agreement between Ocean Power Technologies, Inc. and Computershare Trust Company, N.A. dated April 8, 2019</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(incorporated by reference to Exhibit 4.1 to Form 8-K filed with the SEC on April 8, 2019).</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85">
        <w:r>
          <w:rPr>
            <w:rFonts w:ascii="Arial" w:cs="Arial" w:eastAsia="Arial" w:hAnsi="Arial"/>
            <w:sz w:val="18"/>
            <w:szCs w:val="18"/>
            <w:u w:val="single" w:color="auto"/>
            <w:color w:val="0000EE"/>
          </w:rPr>
          <w:t>Contract amendment between Harbour Energy UK Limited and the Company dated June 24, 2019 (incorporated by reference to Exhibit 10.1 to</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Form 8-K filed with the SEC on June 25, 2019).+</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86">
        <w:r>
          <w:rPr>
            <w:rFonts w:ascii="Arial" w:cs="Arial" w:eastAsia="Arial" w:hAnsi="Arial"/>
            <w:sz w:val="18"/>
            <w:szCs w:val="18"/>
            <w:u w:val="single" w:color="auto"/>
            <w:color w:val="0000EE"/>
          </w:rPr>
          <w:t>Lease Agreement dated March 31, 2017 between Ocean Power Technologies, Inc. and PPH Industrial 28 Engelhard, LLC (incorporated by</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reference from Exhibit 10.37 to the Company’s Annual Report on Form 10-K filed with the SEC on July 22, 2019).</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87">
        <w:r>
          <w:rPr>
            <w:rFonts w:ascii="Arial" w:cs="Arial" w:eastAsia="Arial" w:hAnsi="Arial"/>
            <w:sz w:val="18"/>
            <w:szCs w:val="18"/>
            <w:u w:val="single" w:color="auto"/>
            <w:color w:val="0000EE"/>
          </w:rPr>
          <w:t>Supply and Service Contract between the Company and Empresa Electrica Panguipulli S.A. dated September 19, 2019 (incorporated by</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reference from Exhibit 10.1 to Current Report on Form 8-K filed on September 23, 2019). +</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88">
        <w:r>
          <w:rPr>
            <w:rFonts w:ascii="Arial" w:cs="Arial" w:eastAsia="Arial" w:hAnsi="Arial"/>
            <w:sz w:val="18"/>
            <w:szCs w:val="18"/>
            <w:u w:val="single" w:color="auto"/>
            <w:color w:val="0000EE"/>
          </w:rPr>
          <w:t>Supply and Service Contract between the Company and Enel Green Power Chile LTDA dated September 19, 2019 (incorporated by reference</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from Exhibit 10.2 to Current Report on Form 8-K filed on September 23, 2019). +</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89">
        <w:r>
          <w:rPr>
            <w:rFonts w:ascii="Arial" w:cs="Arial" w:eastAsia="Arial" w:hAnsi="Arial"/>
            <w:sz w:val="18"/>
            <w:szCs w:val="18"/>
            <w:u w:val="single" w:color="auto"/>
            <w:color w:val="0000EE"/>
          </w:rPr>
          <w:t>Contract amendment between Eni s.P.a. and the Company dated February 28, 2020 (incorporated by reference from Exhibit 10.1 to the</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Company’s Quarterly Report on Form 10-Q filed on March 9, 2020).</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90">
        <w:r>
          <w:rPr>
            <w:rFonts w:ascii="Arial" w:cs="Arial" w:eastAsia="Arial" w:hAnsi="Arial"/>
            <w:sz w:val="18"/>
            <w:szCs w:val="18"/>
            <w:u w:val="single" w:color="auto"/>
            <w:color w:val="0000EE"/>
          </w:rPr>
          <w:t>U.S. Small Business Administration Note dated May 3, 2020 of Ocean Power Technologies, Inc. in favor of Santander Bank, N.A. as the Lender</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(incorporated by reference to Exhibit 10.1 to the Company’s Current Report on Form 8-K filed on May 7, 2020).</w:t>
        </w:r>
      </w:hyperlink>
    </w:p>
    <w:p>
      <w:pPr>
        <w:spacing w:after="0" w:line="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10.31</w:t>
      </w:r>
      <w:r>
        <w:rPr>
          <w:sz w:val="20"/>
          <w:szCs w:val="20"/>
          <w:color w:val="auto"/>
        </w:rPr>
        <w:tab/>
      </w:r>
      <w:hyperlink r:id="rId91">
        <w:r>
          <w:rPr>
            <w:rFonts w:ascii="Arial" w:cs="Arial" w:eastAsia="Arial" w:hAnsi="Arial"/>
            <w:sz w:val="16"/>
            <w:szCs w:val="16"/>
            <w:u w:val="single" w:color="auto"/>
            <w:color w:val="0000EE"/>
          </w:rPr>
          <w:t>Loan Agreement dated May 3, 2020 between Santander Bank, N.A. and Ocean Power Technologies, Inc. (incorporated by reference to Exhibit</w:t>
        </w:r>
      </w:hyperlink>
    </w:p>
    <w:p>
      <w:pPr>
        <w:spacing w:after="0" w:line="9" w:lineRule="exact"/>
        <w:rPr>
          <w:sz w:val="20"/>
          <w:szCs w:val="20"/>
          <w:color w:val="auto"/>
        </w:rPr>
      </w:pPr>
    </w:p>
    <w:p>
      <w:pPr>
        <w:ind w:left="78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10.2 to the Company’s Current Report on Form 8-K filed on May 7, 2020).</w:t>
        </w:r>
      </w:hyperlink>
    </w:p>
    <w:p>
      <w:pPr>
        <w:spacing w:after="0" w:line="9" w:lineRule="exact"/>
        <w:rPr>
          <w:sz w:val="20"/>
          <w:szCs w:val="20"/>
          <w:color w:val="auto"/>
        </w:rPr>
      </w:pPr>
    </w:p>
    <w:p>
      <w:pPr>
        <w:jc w:val="both"/>
        <w:ind w:left="780" w:hanging="768"/>
        <w:spacing w:after="0" w:line="265"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10.32</w:t>
      </w:r>
      <w:r>
        <w:rPr>
          <w:sz w:val="20"/>
          <w:szCs w:val="20"/>
          <w:color w:val="auto"/>
        </w:rPr>
        <w:tab/>
      </w:r>
      <w:hyperlink r:id="rId92">
        <w:r>
          <w:rPr>
            <w:rFonts w:ascii="Arial" w:cs="Arial" w:eastAsia="Arial" w:hAnsi="Arial"/>
            <w:sz w:val="17"/>
            <w:szCs w:val="17"/>
            <w:u w:val="single" w:color="auto"/>
            <w:color w:val="0000EE"/>
          </w:rPr>
          <w:t>Common Stock Purchase Agreement, dated September 18, 2020, between Ocean Power Technologies, Inc. and Aspire Capital Fund, LLC</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(incorporated by reference from Exhibit 10.1 to the Company’s Current Report on Form 8-K filed on September 18, 2020).</w:t>
        </w:r>
      </w:hyperlink>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10.33</w:t>
      </w:r>
      <w:r>
        <w:rPr>
          <w:sz w:val="20"/>
          <w:szCs w:val="20"/>
          <w:color w:val="auto"/>
        </w:rPr>
        <w:tab/>
      </w:r>
      <w:hyperlink r:id="rId93">
        <w:r>
          <w:rPr>
            <w:rFonts w:ascii="Arial" w:cs="Arial" w:eastAsia="Arial" w:hAnsi="Arial"/>
            <w:sz w:val="16"/>
            <w:szCs w:val="16"/>
            <w:u w:val="single" w:color="auto"/>
            <w:color w:val="0000EE"/>
          </w:rPr>
          <w:t>Subcontract between Ocean Power Technologies, Inc. and Adams Communication &amp; Engineering Technology Inc. dated effective October 20,</w:t>
        </w:r>
      </w:hyperlink>
    </w:p>
    <w:p>
      <w:pPr>
        <w:spacing w:after="0" w:line="9" w:lineRule="exact"/>
        <w:rPr>
          <w:sz w:val="20"/>
          <w:szCs w:val="20"/>
          <w:color w:val="auto"/>
        </w:rPr>
      </w:pPr>
    </w:p>
    <w:p>
      <w:pPr>
        <w:ind w:left="780"/>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2020 (incorporated by reference from Exhibit 10.1 to the Company’s Current Report on Form 8-K filed on October 27, 2020).</w:t>
        </w:r>
      </w:hyperlink>
    </w:p>
    <w:p>
      <w:pPr>
        <w:spacing w:after="0" w:line="9" w:lineRule="exact"/>
        <w:rPr>
          <w:sz w:val="20"/>
          <w:szCs w:val="20"/>
          <w:color w:val="auto"/>
        </w:rPr>
      </w:pPr>
    </w:p>
    <w:p>
      <w:pPr>
        <w:jc w:val="both"/>
        <w:ind w:left="780" w:hanging="768"/>
        <w:spacing w:after="0" w:line="26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94">
        <w:r>
          <w:rPr>
            <w:rFonts w:ascii="Arial" w:cs="Arial" w:eastAsia="Arial" w:hAnsi="Arial"/>
            <w:sz w:val="18"/>
            <w:szCs w:val="18"/>
            <w:u w:val="single" w:color="auto"/>
            <w:color w:val="0000EE"/>
          </w:rPr>
          <w:t>Sales Agreement, dated November 20, 2020, by and between Ocean Power Technologies, Inc. and A.G.P./Alliance Global Partners (incorporated</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by reference to Exhibit 10.1 to the Company’s Current Report on Form 8-K filed on November 20, 2020.</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81">
        <w:r>
          <w:rPr>
            <w:rFonts w:ascii="Arial" w:cs="Arial" w:eastAsia="Arial" w:hAnsi="Arial"/>
            <w:sz w:val="16"/>
            <w:szCs w:val="16"/>
            <w:u w:val="single" w:color="auto"/>
            <w:color w:val="0000EE"/>
          </w:rPr>
          <w:t>Subsidiaries of the registrant</w:t>
        </w:r>
      </w:hyperlink>
    </w:p>
    <w:p>
      <w:pPr>
        <w:spacing w:after="0" w:line="23"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82">
        <w:r>
          <w:rPr>
            <w:rFonts w:ascii="Arial" w:cs="Arial" w:eastAsia="Arial" w:hAnsi="Arial"/>
            <w:sz w:val="16"/>
            <w:szCs w:val="16"/>
            <w:u w:val="single" w:color="auto"/>
            <w:color w:val="0000EE"/>
          </w:rPr>
          <w:t>Consent of EisnerAmper LLP.</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83">
        <w:r>
          <w:rPr>
            <w:rFonts w:ascii="Arial" w:cs="Arial" w:eastAsia="Arial" w:hAnsi="Arial"/>
            <w:sz w:val="16"/>
            <w:szCs w:val="16"/>
            <w:u w:val="single" w:color="auto"/>
            <w:color w:val="0000EE"/>
          </w:rPr>
          <w:t>Consent of KPMG</w:t>
        </w:r>
      </w:hyperlink>
    </w:p>
    <w:p>
      <w:pPr>
        <w:spacing w:after="0" w:line="9"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84">
        <w:r>
          <w:rPr>
            <w:rFonts w:ascii="Arial" w:cs="Arial" w:eastAsia="Arial" w:hAnsi="Arial"/>
            <w:sz w:val="17"/>
            <w:szCs w:val="17"/>
            <w:u w:val="single" w:color="auto"/>
            <w:color w:val="0000EE"/>
          </w:rPr>
          <w:t>Certification of Chief Executive Officer</w:t>
        </w:r>
      </w:hyperlink>
    </w:p>
    <w:p>
      <w:pPr>
        <w:spacing w:after="0" w:line="9"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85">
        <w:r>
          <w:rPr>
            <w:rFonts w:ascii="Arial" w:cs="Arial" w:eastAsia="Arial" w:hAnsi="Arial"/>
            <w:sz w:val="17"/>
            <w:szCs w:val="17"/>
            <w:u w:val="single" w:color="auto"/>
            <w:color w:val="0000EE"/>
          </w:rPr>
          <w:t>Certification of Chief Financial Officer</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86">
        <w:r>
          <w:rPr>
            <w:rFonts w:ascii="Arial" w:cs="Arial" w:eastAsia="Arial" w:hAnsi="Arial"/>
            <w:sz w:val="16"/>
            <w:szCs w:val="16"/>
            <w:u w:val="single" w:color="auto"/>
            <w:color w:val="0000EE"/>
          </w:rPr>
          <w:t>Certification of Chief Executive Officer pursuant to Section 906 of Sarbanes-Oxley Act of 2002**</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87">
        <w:r>
          <w:rPr>
            <w:rFonts w:ascii="Arial" w:cs="Arial" w:eastAsia="Arial" w:hAnsi="Arial"/>
            <w:sz w:val="16"/>
            <w:szCs w:val="16"/>
            <w:u w:val="single" w:color="auto"/>
            <w:color w:val="0000EE"/>
          </w:rPr>
          <w:t>Certification of Chief Financial Officer pursuant to Section 906 of Sarbanes-Oxley Act of 2002**</w:t>
        </w:r>
      </w:hyperlink>
    </w:p>
    <w:p>
      <w:pPr>
        <w:spacing w:after="0" w:line="9" w:lineRule="exact"/>
        <w:rPr>
          <w:sz w:val="20"/>
          <w:szCs w:val="20"/>
          <w:color w:val="auto"/>
        </w:rPr>
      </w:pPr>
    </w:p>
    <w:p>
      <w:pPr>
        <w:jc w:val="both"/>
        <w:ind w:left="780" w:hanging="772"/>
        <w:spacing w:after="0" w:line="281"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Annual Report on Form 10-K for the annual period ended April 30, 2020, formatted in eXtensible Business Reporting Language (XBRL): (i) Consolidated Balance Sheets - as of April 30, 2020 and 2019, (ii) Consolidated Statements of Operations - for the years ended April 30, 2021 and 2020, (iii) Consolidated Statements of Comprehensive Loss - for the years ended April 30, 2021 and 20120, (iv) Consolidated Statements of Stockholders’ Equity - for the years ended April 30, 2021 and 2020</w:t>
      </w:r>
    </w:p>
    <w:p>
      <w:pPr>
        <w:spacing w:after="0" w:line="2"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6"/>
          <w:szCs w:val="16"/>
          <w:color w:val="auto"/>
        </w:rPr>
        <w:t>(v) Consolidated Statements of Cash Flows - for the years ended April 30, 2021 and 2020, (vi) Notes to Consolidated Financial Statements.***</w:t>
      </w:r>
    </w:p>
    <w:p>
      <w:pPr>
        <w:spacing w:after="0" w:line="234" w:lineRule="exact"/>
        <w:rPr>
          <w:sz w:val="20"/>
          <w:szCs w:val="20"/>
          <w:color w:val="auto"/>
        </w:rPr>
      </w:pPr>
    </w:p>
    <w:p>
      <w:pPr>
        <w:ind w:left="500" w:right="5440" w:firstLine="3"/>
        <w:spacing w:after="0" w:line="308" w:lineRule="auto"/>
        <w:tabs>
          <w:tab w:leader="none" w:pos="647"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Indicates that confidential treatment has been requested for this exhibit. * Management contract or compensatory plan or arrangement.</w:t>
      </w:r>
    </w:p>
    <w:p>
      <w:pPr>
        <w:spacing w:after="0" w:line="146" w:lineRule="exact"/>
        <w:rPr>
          <w:sz w:val="20"/>
          <w:szCs w:val="20"/>
          <w:color w:val="auto"/>
        </w:rPr>
      </w:pPr>
    </w:p>
    <w:p>
      <w:pPr>
        <w:jc w:val="both"/>
        <w:ind w:left="500" w:firstLine="3"/>
        <w:spacing w:after="0" w:line="263" w:lineRule="auto"/>
        <w:tabs>
          <w:tab w:leader="none" w:pos="7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3" w:lineRule="exact"/>
        <w:rPr>
          <w:rFonts w:ascii="Arial" w:cs="Arial" w:eastAsia="Arial" w:hAnsi="Arial"/>
          <w:sz w:val="18"/>
          <w:szCs w:val="18"/>
          <w:color w:val="auto"/>
        </w:rPr>
      </w:pPr>
    </w:p>
    <w:p>
      <w:pPr>
        <w:jc w:val="both"/>
        <w:ind w:left="500" w:firstLine="3"/>
        <w:spacing w:after="0" w:line="263" w:lineRule="auto"/>
        <w:tabs>
          <w:tab w:leader="none" w:pos="8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10600" w:type="dxa"/>
            <w:vAlign w:val="bottom"/>
            <w:gridSpan w:val="7"/>
          </w:tcPr>
          <w:p>
            <w:pPr>
              <w:jc w:val="center"/>
              <w:ind w:left="69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6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4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640" w:type="dxa"/>
            <w:vAlign w:val="bottom"/>
          </w:tcPr>
          <w:p>
            <w:pPr>
              <w:spacing w:after="0"/>
              <w:rPr>
                <w:sz w:val="24"/>
                <w:szCs w:val="24"/>
                <w:color w:val="auto"/>
              </w:rPr>
            </w:pPr>
          </w:p>
        </w:tc>
      </w:tr>
      <w:tr>
        <w:trPr>
          <w:trHeight w:val="452"/>
        </w:trPr>
        <w:tc>
          <w:tcPr>
            <w:tcW w:w="3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3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43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Reports of Independent Registered Public Accounting Firm</w:t>
              </w:r>
            </w:hyperlink>
          </w:p>
        </w:tc>
        <w:tc>
          <w:tcPr>
            <w:tcW w:w="630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175"/>
        </w:trPr>
        <w:tc>
          <w:tcPr>
            <w:tcW w:w="10600" w:type="dxa"/>
            <w:vAlign w:val="bottom"/>
            <w:gridSpan w:val="7"/>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April 30, 2021 and 2020</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7"/>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twelve months ended April 30, 2021 and 2020</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20"/>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7"/>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Comprehensive Loss, twelve months ended April 30, 2021 and 2020</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Consolidated Statements of Stockholders’ Equity, twelve months ended April 30, 2021 and 2020</w:t>
              </w:r>
            </w:hyperlink>
          </w:p>
        </w:tc>
        <w:tc>
          <w:tcPr>
            <w:tcW w:w="36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175"/>
        </w:trPr>
        <w:tc>
          <w:tcPr>
            <w:tcW w:w="10600" w:type="dxa"/>
            <w:vAlign w:val="bottom"/>
            <w:gridSpan w:val="7"/>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 twelve months ended April 30, 2021 and 2020</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F-8</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7"/>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F-9</w:t>
            </w:r>
          </w:p>
        </w:tc>
      </w:tr>
      <w:tr>
        <w:trPr>
          <w:trHeight w:val="439"/>
        </w:trPr>
        <w:tc>
          <w:tcPr>
            <w:tcW w:w="31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300" w:type="dxa"/>
            <w:vAlign w:val="bottom"/>
            <w:tcBorders>
              <w:top w:val="single" w:sz="8" w:color="CCEEFF"/>
              <w:bottom w:val="single" w:sz="8" w:color="auto"/>
            </w:tcBorders>
            <w:gridSpan w:val="4"/>
          </w:tcPr>
          <w:p>
            <w:pPr>
              <w:ind w:left="1200"/>
              <w:spacing w:after="0"/>
              <w:rPr>
                <w:sz w:val="20"/>
                <w:szCs w:val="20"/>
                <w:color w:val="auto"/>
              </w:rPr>
            </w:pPr>
            <w:r>
              <w:rPr>
                <w:rFonts w:ascii="Arial" w:cs="Arial" w:eastAsia="Arial" w:hAnsi="Arial"/>
                <w:sz w:val="18"/>
                <w:szCs w:val="18"/>
                <w:color w:val="auto"/>
              </w:rPr>
              <w:t>F-1</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 of Ocean Power Technologies, Inc and Subsidiaries (the “Company”) as of April 30, 2021, and the related consolidated statements of operations, comprehensive loss, stockholders’ equity, and cash flows for the year then ended, and the related notes (collectively referred to as the “financial statements”). In our opinion, the financial statements present fairly, in all material respects, the consolidated financial position of the Company as of April 30, 2021, and the consolidated results of their operations and their cash flows for the year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further in Note 2 to the consolidated financial statements, revenues are primarily derived from contracts that are recognized as the performance obligations are satisfied over time. The Company uses a ratio of project costs incurred to estimated total costs for each contract to recognize revenue. Under the cost-to-cost approach, the determination of the progress towards completion requires management to prepare estimates of the costs to complete. Revenues for the year ended April 30, 2021 were approximately $1.2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the accounting for revenue recognized over time is a critical audit matter due to the complexity and subjectivity of management’s estimate of the progress towards completion of its projects. This in turn led to a high degree of auditor judgement and subjectivity and significant audit effort was required in performing procedures to evaluate management’s determination of the forecasted costs to complete its contracts as future results may vary significantly from past estimates due to changes in facts and circumstances.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financial statements. We obtained an understanding and evaluated the design of controls relating to the Company’s revenue recognition. Our audit procedures related to the recognition of revenue over time included the following procedures, among others, (i) testing the Company’s cost-to-cost estimates by evaluating the appropriate application of the cost-to-cost method, (ii) testing the significant assumptions used to develop the estimated cost to complete and (iii) testing completeness and accuracy of the underlying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EisnerAmper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19,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Ocean Power Technologies, Inc. and subsidiaries (the Company) as of April 30, 2020, the related consolidated statements of operations, comprehensive loss, stockholders’ equity, and cash flows for the year then ended, and the related notes (collectively, the consolidated financial statements). In our opinion, the consolidated financial statements present fairly, in all material respects, the financial position of the Company as of April 30, 2020, and the results of its operations and its cash flows for the year then ended,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1(b) to the consolidated financial statements, the Company has suffered recurring losses from operations and has an accumulated deficit that raise substantial doubt about its ability to continue as a going concern. Management’s plans in regard to these matters are also described in Note 1(b).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2004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April 30, 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83,028</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84,439</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11,653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54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687</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Contract liabilities, current portion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liability, current portion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Litigation payable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classified stock awards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Paycheck protection program loan- current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4,694</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1,902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less current portion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Right-of-use liability, less current portion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less current portion</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$0.001 par value; authorized 5,000,000 shares, none issued or outstanding</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$0.001 par value; authorized 100,000,000 shares, issued and outstanding</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52,458,011 and 12,939,420 shares, respectively</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21,040 and 4,251 shares, respectively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315,821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231,101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(234,896)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(220,136)</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6"/>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8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1,206</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r>
              <w:rPr>
                <w:rFonts w:ascii="Arial" w:cs="Arial" w:eastAsia="Arial" w:hAnsi="Arial"/>
                <w:sz w:val="18"/>
                <w:szCs w:val="18"/>
                <w:color w:val="auto"/>
              </w:rPr>
              <w:t>Cost of revenues</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6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7,772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12,519</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11,260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Litigation settlement</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expense, net</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6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6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(14,760)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(11,247)</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6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57"/>
        </w:trPr>
        <w:tc>
          <w:tcPr>
            <w:tcW w:w="6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180"/>
              <w:spacing w:after="0"/>
              <w:rPr>
                <w:sz w:val="20"/>
                <w:szCs w:val="20"/>
                <w:color w:val="auto"/>
              </w:rPr>
            </w:pPr>
            <w:r>
              <w:rPr>
                <w:rFonts w:ascii="Arial" w:cs="Arial" w:eastAsia="Arial" w:hAnsi="Arial"/>
                <w:sz w:val="18"/>
                <w:szCs w:val="18"/>
                <w:color w:val="auto"/>
                <w:w w:val="97"/>
              </w:rPr>
              <w:t>Weighted average shares used to compute basic and diluted net loss per share</w:t>
            </w: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30,018,838</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7,209,732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Twelve months ended April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8"/>
              </w:rPr>
              <w:t>(14,760)</w:t>
            </w:r>
          </w:p>
        </w:tc>
        <w:tc>
          <w:tcPr>
            <w:tcW w:w="1060" w:type="dxa"/>
            <w:vAlign w:val="bottom"/>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(10,352)</w:t>
            </w: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8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(14,748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2420" w:type="dxa"/>
            <w:vAlign w:val="bottom"/>
          </w:tcPr>
          <w:p>
            <w:pPr>
              <w:spacing w:after="0"/>
              <w:rPr>
                <w:sz w:val="22"/>
                <w:szCs w:val="22"/>
                <w:color w:val="auto"/>
              </w:rPr>
            </w:pPr>
          </w:p>
        </w:tc>
        <w:tc>
          <w:tcPr>
            <w:tcW w:w="1580" w:type="dxa"/>
            <w:vAlign w:val="bottom"/>
            <w:gridSpan w:val="4"/>
          </w:tcPr>
          <w:p>
            <w:pPr>
              <w:ind w:left="26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gridSpan w:val="6"/>
          </w:tcPr>
          <w:p>
            <w:pPr>
              <w:jc w:val="right"/>
              <w:ind w:right="2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Paid-In</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8"/>
              </w:rPr>
              <w:t>Comprehensive</w:t>
            </w: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r>
      <w:tr>
        <w:trPr>
          <w:trHeight w:val="237"/>
        </w:trPr>
        <w:tc>
          <w:tcPr>
            <w:tcW w:w="2420" w:type="dxa"/>
            <w:vAlign w:val="bottom"/>
          </w:tcPr>
          <w:p>
            <w:pPr>
              <w:spacing w:after="0"/>
              <w:rPr>
                <w:sz w:val="20"/>
                <w:szCs w:val="20"/>
                <w:color w:val="auto"/>
              </w:rPr>
            </w:pPr>
          </w:p>
        </w:tc>
        <w:tc>
          <w:tcPr>
            <w:tcW w:w="10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82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18"/>
                <w:szCs w:val="18"/>
                <w:b w:val="1"/>
                <w:bCs w:val="1"/>
                <w:color w:val="auto"/>
                <w:w w:val="93"/>
              </w:rPr>
              <w:t>Shares</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4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Balances at May 1, 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5,425,517</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(3,770)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226,026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(209,784)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(10,352)</w:t>
            </w:r>
          </w:p>
        </w:tc>
        <w:tc>
          <w:tcPr>
            <w:tcW w:w="2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(10,352)</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Issuance (forfeiture) of</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restricted stock, net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64,928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prefunded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warrants, net of costs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753,560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Common stock issued for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commitment fee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194,805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Aspire financing,</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net of issuance costs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1,399,205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AGP At The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420" w:type="dxa"/>
            <w:vAlign w:val="bottom"/>
          </w:tcPr>
          <w:p>
            <w:pPr>
              <w:ind w:left="60"/>
              <w:spacing w:after="0" w:line="201" w:lineRule="exact"/>
              <w:rPr>
                <w:sz w:val="20"/>
                <w:szCs w:val="20"/>
                <w:color w:val="auto"/>
              </w:rPr>
            </w:pPr>
            <w:r>
              <w:rPr>
                <w:rFonts w:ascii="Arial" w:cs="Arial" w:eastAsia="Arial" w:hAnsi="Arial"/>
                <w:sz w:val="18"/>
                <w:szCs w:val="18"/>
                <w:color w:val="auto"/>
              </w:rPr>
              <w:t>Market offering, net of</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issuance costs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5,101,405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3,438</w:t>
            </w:r>
          </w:p>
        </w:tc>
        <w:tc>
          <w:tcPr>
            <w:tcW w:w="16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36"/>
        </w:trPr>
        <w:tc>
          <w:tcPr>
            <w:tcW w:w="24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April 30,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12,939,420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231,101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(220,136)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(14,760)</w:t>
            </w:r>
          </w:p>
        </w:tc>
        <w:tc>
          <w:tcPr>
            <w:tcW w:w="2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(14,760)</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Proceeds from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exercises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175,500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Exercise of common warrants,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of costs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732,500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2,818</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Aspire financing,</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of issuance costs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8,747,251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14,384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14,392</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AGP At The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Market offering, net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29,522,389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30</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66,136</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66,166</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Issuance of shares in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acquisition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361,991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(16,789)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2420" w:type="dxa"/>
            <w:vAlign w:val="bottom"/>
          </w:tcPr>
          <w:p>
            <w:pPr>
              <w:spacing w:after="0"/>
              <w:rPr>
                <w:sz w:val="20"/>
                <w:szCs w:val="20"/>
                <w:color w:val="auto"/>
              </w:rPr>
            </w:pPr>
            <w:r>
              <w:rPr>
                <w:rFonts w:ascii="Arial" w:cs="Arial" w:eastAsia="Arial" w:hAnsi="Arial"/>
                <w:sz w:val="18"/>
                <w:szCs w:val="18"/>
                <w:color w:val="auto"/>
              </w:rPr>
              <w:t>gain/(loss)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3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April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52,479,051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315,821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(234,896</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Twelve months ended April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(14,760)</w:t>
            </w:r>
          </w:p>
        </w:tc>
        <w:tc>
          <w:tcPr>
            <w:tcW w:w="1060" w:type="dxa"/>
            <w:vAlign w:val="bottom"/>
          </w:tcPr>
          <w:p>
            <w:pPr>
              <w:jc w:val="right"/>
              <w:ind w:right="90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(10,352)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 (gain)/loss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(15)</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143</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158</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6</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 of use asset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223</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Compensation expense related to equity compensation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721</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340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due to the change in fair value of warrant liabilities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Performance obligation shares compensation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60</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effect from disposal of property, plant and equipment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acquisition:</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(245)</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61</w:t>
            </w:r>
          </w:p>
        </w:tc>
        <w:tc>
          <w:tcPr>
            <w:tcW w:w="10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106</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251</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441</w:t>
            </w:r>
          </w:p>
        </w:tc>
        <w:tc>
          <w:tcPr>
            <w:tcW w:w="10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761</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Litigation payable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1,224</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 in lease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(237)</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6"/>
        </w:trPr>
        <w:tc>
          <w:tcPr>
            <w:tcW w:w="7440" w:type="dxa"/>
            <w:vAlign w:val="bottom"/>
          </w:tcPr>
          <w:p>
            <w:pPr>
              <w:ind w:left="540"/>
              <w:spacing w:after="0"/>
              <w:rPr>
                <w:sz w:val="20"/>
                <w:szCs w:val="20"/>
                <w:color w:val="auto"/>
              </w:rPr>
            </w:pPr>
            <w:r>
              <w:rPr>
                <w:rFonts w:ascii="Arial" w:cs="Arial" w:eastAsia="Arial" w:hAnsi="Arial"/>
                <w:sz w:val="18"/>
                <w:szCs w:val="18"/>
                <w:color w:val="auto"/>
              </w:rPr>
              <w:t>Contract liabilities</w:t>
            </w: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(165)</w:t>
            </w:r>
          </w:p>
        </w:tc>
        <w:tc>
          <w:tcPr>
            <w:tcW w:w="10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36"/>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(11,674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acquired in acquisition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(26)</w:t>
            </w:r>
          </w:p>
        </w:tc>
        <w:tc>
          <w:tcPr>
            <w:tcW w:w="10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36"/>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890</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loan payable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467</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loan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(467)</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184</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payroll taxes related to stock option exercises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(245)</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14,393</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1,021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Proceeds from issuance of common stock- AGP At The Market offering, net of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66,166</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3,443</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associated with exercise of common stock warrants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2,818</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(costs) associated with exercise of pre-funded warrants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of treasury stock</w:t>
            </w: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(36)</w:t>
            </w:r>
          </w:p>
        </w:tc>
        <w:tc>
          <w:tcPr>
            <w:tcW w:w="10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3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increase/(decrease) in cash, cash equivalents and restricted cash</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10,930</w:t>
            </w:r>
          </w:p>
        </w:tc>
        <w:tc>
          <w:tcPr>
            <w:tcW w:w="1060" w:type="dxa"/>
            <w:vAlign w:val="bottom"/>
          </w:tcPr>
          <w:p>
            <w:pPr>
              <w:spacing w:after="0"/>
              <w:rPr>
                <w:sz w:val="20"/>
                <w:szCs w:val="20"/>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17,159</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0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financing costs reported in accrued expenses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r>
      <w:tr>
        <w:trPr>
          <w:trHeight w:val="216"/>
        </w:trPr>
        <w:tc>
          <w:tcPr>
            <w:tcW w:w="7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plant and equipment through accounts payable</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w:t>
            </w:r>
          </w:p>
        </w:tc>
        <w:tc>
          <w:tcPr>
            <w:tcW w:w="1060" w:type="dxa"/>
            <w:vAlign w:val="bottom"/>
            <w:shd w:val="clear" w:color="auto" w:fill="CCEEFF"/>
          </w:tcPr>
          <w:p>
            <w:pPr>
              <w:jc w:val="right"/>
              <w:ind w:right="904"/>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Common stock issued for payment of commitment fee</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295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stock for acquisition</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477</w:t>
            </w:r>
          </w:p>
        </w:tc>
        <w:tc>
          <w:tcPr>
            <w:tcW w:w="1060" w:type="dxa"/>
            <w:vAlign w:val="bottom"/>
            <w:shd w:val="clear" w:color="auto" w:fill="CCEEFF"/>
          </w:tcPr>
          <w:p>
            <w:pPr>
              <w:jc w:val="right"/>
              <w:ind w:right="904"/>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Liquidity</w:t>
      </w:r>
    </w:p>
    <w:p>
      <w:pPr>
        <w:spacing w:after="0" w:line="229" w:lineRule="exact"/>
        <w:rPr>
          <w:rFonts w:ascii="Arial" w:cs="Arial" w:eastAsia="Arial" w:hAnsi="Arial"/>
          <w:sz w:val="18"/>
          <w:szCs w:val="18"/>
          <w:b w:val="1"/>
          <w:bCs w:val="1"/>
          <w:color w:val="auto"/>
        </w:rPr>
      </w:pPr>
    </w:p>
    <w:p>
      <w:pPr>
        <w:ind w:left="500" w:hanging="254"/>
        <w:spacing w:after="0"/>
        <w:tabs>
          <w:tab w:leader="none" w:pos="500"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100" w:firstLine="492"/>
        <w:spacing w:after="0" w:line="270" w:lineRule="auto"/>
        <w:rPr>
          <w:sz w:val="20"/>
          <w:szCs w:val="20"/>
          <w:color w:val="auto"/>
        </w:rPr>
      </w:pPr>
      <w:r>
        <w:rPr>
          <w:rFonts w:ascii="Arial" w:cs="Arial" w:eastAsia="Arial" w:hAnsi="Arial"/>
          <w:sz w:val="17"/>
          <w:szCs w:val="17"/>
          <w:color w:val="auto"/>
        </w:rPr>
        <w:t>Ocean Power Technologies, Inc. (the “Company”) was founded in 1984 in New Jersey, commenced business operations in 1994 and re-incorporated in Delaware in 2007. We are a complete solutions provider, controlling the design, manufacturing, sales, installation, operations and maintenance of our products while working closely with partners that provide payloads, integration services, and marine installation capabilities. Our solutions provide distributed offshore power which is persistent, reliable, and economical along with power and communications for remote surface and subsea applications. Since fiscal 2002, government agencies have accounted for a significant portion of the Company’s revenues. These revenues were largely for the support of product development efforts relating to our technology. Today our goal is to generate the majority of our revenue from the sale or lease of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81" w:lineRule="exact"/>
        <w:rPr>
          <w:sz w:val="20"/>
          <w:szCs w:val="20"/>
          <w:color w:val="auto"/>
        </w:rPr>
      </w:pPr>
    </w:p>
    <w:p>
      <w:pPr>
        <w:ind w:left="500" w:hanging="254"/>
        <w:spacing w:after="0"/>
        <w:tabs>
          <w:tab w:leader="none" w:pos="5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rFonts w:ascii="Arial" w:cs="Arial" w:eastAsia="Arial" w:hAnsi="Arial"/>
          <w:sz w:val="18"/>
          <w:szCs w:val="18"/>
          <w:b w:val="1"/>
          <w:bCs w:val="1"/>
          <w:i w:val="1"/>
          <w:iCs w:val="1"/>
          <w:color w:val="auto"/>
        </w:rPr>
      </w:pPr>
    </w:p>
    <w:p>
      <w:pPr>
        <w:ind w:left="24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 Fiscal 2021</w:t>
      </w:r>
    </w:p>
    <w:p>
      <w:pPr>
        <w:spacing w:after="0" w:line="225"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In fiscal 2021, the Company incurred a net loss of approximately $14.8 million and used cash in operations of approximately $11.7 million.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performance of its products, its ability to market and commercialize its products and new products that it may develop, technology development, scalability of technology and production, dependence on skills of key personnel, concentration of customers and suppliers, deployment risks and integration of acquisitions, pending or threatened litigation, and the impact of COVID-19 on its business. The Company currently has committed sources of equity financing through its At the Market Offering Agreement with A.G.P/Alliance Global Partners (“AGP”) and the Aspire Capital financing (see Note 11), but the Company cannot be sure that additional equity and/or debt financing will be available to the Company as needed on acceptable terms, or at all. Management believes the Company’s current cash balance of $83.4 million is sufficient to fund its planned expenditures through at least July 31, 2022.</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 Fiscal 2020</w:t>
      </w:r>
    </w:p>
    <w:p>
      <w:pPr>
        <w:spacing w:after="0" w:line="225"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 below disclosure describes the Company’s liquidity as of April 30, 2020 and is being included within this report as a requirement in relation to the Company changing external auditors in the current year. As our previous auditors are still required to opine on the information related to 2020, which they audited, and because their audit report makes reference to this disclosure, it has been included below.</w:t>
      </w:r>
    </w:p>
    <w:p>
      <w:pPr>
        <w:spacing w:after="0" w:line="184"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Our consolidated financial statements for the year ended April 30, 2020 were prepared assuming the Company would continue as a going concern. The Company had previously experienced substantial and recurring losses from operations, which had contributed to an accumulated deficit of $220.1 million at April 30, 2020. At April 30, 2020, the Company had approximately $10.9 million in cash, cash equivalents and restricted cash on hand. On May 5, 2020, the Company received $0.9 million proceeds from the PPP Loan (see Note 9 to these Consolidated Financial Statements for more information). The Company generated revenues of only $1.7 million during the year ended April 30, 2020. Based on the Company’s cash, cash equivalents and restricted cash balances as of April 30, 2020 plus the subsequent proceeds from the PPP Loan, the Company believed that it would be able to finance its capital requirements and operations into the quarter ending April 30, 2021. The Company required additional equity and/or debt financing to continue its operations. The Company could not provide assurances that it would be able to secure the additional funding when needed or at all, or, if secured, that such funding would be on favorable terms. As of June 29, 2020, the issuance date of the Company’s consolidated financial statements for the year ended April 30, 2020, these factors raised substantial doubt about the Company’s ability to continue as a going concern.</w:t>
      </w:r>
    </w:p>
    <w:p>
      <w:pPr>
        <w:spacing w:after="0" w:line="16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Management’s plan in regard to these factors at the time included evaluating different strategies to obtain the required additional funding for future operations. These strategies included, but are not limited to, continued pursuit of business opportunities; additional funding from current and /or new investors, officers and directors; borrowings of debt; a public offering of the Company’s equity or debt securities; partnerships and/or collaborations. As of June 29, 2020, there was no assurance that any of these future-funding efforts would be successful.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495"/>
        <w:spacing w:after="0" w:line="259" w:lineRule="auto"/>
        <w:rPr>
          <w:sz w:val="20"/>
          <w:szCs w:val="20"/>
          <w:color w:val="auto"/>
        </w:rPr>
      </w:pPr>
      <w:r>
        <w:rPr>
          <w:rFonts w:ascii="Arial" w:cs="Arial" w:eastAsia="Arial" w:hAnsi="Arial"/>
          <w:sz w:val="18"/>
          <w:szCs w:val="18"/>
          <w:color w:val="auto"/>
        </w:rPr>
        <w:t>As a result of this, the consolidated financial statements as of April 30, 2020 were prepared on a going concern basis, which contemplated the realization of assets and satisfaction of liabilities in the normal course of business. These consolidated financial statements did not include any adjustments relating to the recoverability and classification of recorded assets amounts or the amounts and classification of liabilities that might result from the outcome of this uncertainty.</w:t>
      </w:r>
    </w:p>
    <w:p>
      <w:pPr>
        <w:spacing w:after="0" w:line="183"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500" w:hanging="254"/>
        <w:spacing w:after="0"/>
        <w:tabs>
          <w:tab w:leader="none" w:pos="500" w:val="left"/>
        </w:tabs>
        <w:numPr>
          <w:ilvl w:val="1"/>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at the date of the consolidated financial statements and the reported amounts of revenues and expenses during the period. Significant items subject to such estimates and assumptions include estimated costs to complete projects and percentage of completion of customer contracts for purposes of revenue recognition. Actual results could differ from those estimates.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Business Combinations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 accounts for business combinations in accordance with FASB issued Accounting Standards Update (“ASU”) No. 2015-16,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(Topic 805). </w:t>
      </w:r>
      <w:r>
        <w:rPr>
          <w:rFonts w:ascii="Arial" w:cs="Arial" w:eastAsia="Arial" w:hAnsi="Arial"/>
          <w:sz w:val="16"/>
          <w:szCs w:val="16"/>
          <w:color w:val="auto"/>
        </w:rPr>
        <w:t>The Company allocates the fair value of consideration transferred in a business combination to the estimated fair value at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April 30, 2021 and 2020. Accounting Standards Update (“ASU”) 2016-10 provides a practical expedient in Accounting Standards Committee (“ASC”) 606-10-25-18B that permits presentation of shipping and handling costs, that occur after control of the promised goods or services transfer to the customer, as fulfillment costs rather than evaluating whether the shipping and handling activities are promised services to the customer. The Company adopted this practical expedient.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ind w:firstLine="486"/>
        <w:spacing w:after="0" w:line="269" w:lineRule="auto"/>
        <w:rPr>
          <w:sz w:val="20"/>
          <w:szCs w:val="20"/>
          <w:color w:val="auto"/>
        </w:rPr>
      </w:pPr>
      <w:r>
        <w:rPr>
          <w:rFonts w:ascii="Arial" w:cs="Arial" w:eastAsia="Arial" w:hAnsi="Arial"/>
          <w:sz w:val="17"/>
          <w:szCs w:val="17"/>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incentive awards,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w:t>
      </w:r>
    </w:p>
    <w:p>
      <w:pPr>
        <w:spacing w:after="0" w:line="18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twelve-month periods ended April 30, 2021 and 2020, all of the Company’s contracts were classified as firm fixed price.</w:t>
      </w:r>
    </w:p>
    <w:p>
      <w:pPr>
        <w:spacing w:after="0" w:line="17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April 30, 2021, the Company’s total remaining performance obligations, also referred to as backlog, totaled $0.2 million. The Company expects to recognize approximately 100%, or $0.2 million, of the remaining performance obligations as revenue over the next twelve months.</w:t>
      </w:r>
    </w:p>
    <w:p>
      <w:pPr>
        <w:spacing w:after="0" w:line="146" w:lineRule="exact"/>
        <w:rPr>
          <w:sz w:val="20"/>
          <w:szCs w:val="20"/>
          <w:color w:val="auto"/>
        </w:rPr>
      </w:pPr>
    </w:p>
    <w:p>
      <w:pPr>
        <w:jc w:val="both"/>
        <w:ind w:left="40" w:right="100" w:firstLine="450"/>
        <w:spacing w:after="0" w:line="257" w:lineRule="auto"/>
        <w:rPr>
          <w:sz w:val="20"/>
          <w:szCs w:val="20"/>
          <w:color w:val="auto"/>
        </w:rPr>
      </w:pPr>
      <w:r>
        <w:rPr>
          <w:rFonts w:ascii="Arial" w:cs="Arial" w:eastAsia="Arial" w:hAnsi="Arial"/>
          <w:sz w:val="18"/>
          <w:szCs w:val="18"/>
          <w:color w:val="auto"/>
        </w:rPr>
        <w:t>The Company also enters into lease arrangements for its PB3 with certain customers.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lease classification criteria within ASC Topic 842. If the direct financing or sales-type classification criteria are met, then the lease is accounted for as a finance lease. All others are treated as an operating lease.</w:t>
      </w:r>
    </w:p>
    <w:p>
      <w:pPr>
        <w:spacing w:after="0" w:line="149" w:lineRule="exact"/>
        <w:rPr>
          <w:sz w:val="20"/>
          <w:szCs w:val="20"/>
          <w:color w:val="auto"/>
        </w:rPr>
      </w:pPr>
    </w:p>
    <w:p>
      <w:pPr>
        <w:ind w:left="40" w:right="100" w:firstLine="450"/>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and is presented in Revenues in the Consolidated Statement of Operations. The lease income for the twelve months ended April 30, 2021 and 2020 was immaterial.</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Cash and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495"/>
        <w:spacing w:after="0" w:line="342"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invests excess cash in a money market account. The following table summarizes cash and cash equivalents for the years ended April 30, 2021 and 2020:</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April 30, 2021</w:t>
            </w: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2020</w:t>
            </w:r>
          </w:p>
        </w:tc>
      </w:tr>
      <w:tr>
        <w:trPr>
          <w:trHeight w:val="230"/>
        </w:trPr>
        <w:tc>
          <w:tcPr>
            <w:tcW w:w="66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4"/>
          </w:tcPr>
          <w:p>
            <w:pPr>
              <w:jc w:val="right"/>
              <w:ind w:right="10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r>
      <w:tr>
        <w:trPr>
          <w:trHeight w:val="202"/>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rPr>
              <w:t>Money market account</w:t>
            </w:r>
          </w:p>
        </w:tc>
        <w:tc>
          <w:tcPr>
            <w:tcW w:w="16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81,178</w:t>
            </w:r>
          </w:p>
        </w:tc>
        <w:tc>
          <w:tcPr>
            <w:tcW w:w="14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8,451</w:t>
            </w:r>
          </w:p>
        </w:tc>
      </w:tr>
      <w:tr>
        <w:trPr>
          <w:trHeight w:val="229"/>
        </w:trPr>
        <w:tc>
          <w:tcPr>
            <w:tcW w:w="66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has two agreements with Santander Bank, N.A. (“Santander”). Cash is on deposit at Santander and serves as security for a letter of credit issued by Santander for the lease of warehouse/office space in Monroe Township, New Jersey. This agreement cannot be extended beyond July 31, 2025 and is cancelable at the discretion of the bank. Santander also issued two letters of credit to subsidiaries of Enel Green Power (“EGP”) pursuant to the Company’s contracts with EGP. The first letter of credit was issued in the amount of $125,690 that will be released 12 months after the PB3 is fully deployed. The second letter of credit was issued in the amount of $645,467 and reduced to $322,734 in August 2020. The second letter of credit will be reduced to $64,547 once the PB3 is fully deployed and passes final acceptance testing. The remaining restricted amount of $606,055 will be released 12 months after the buoy is fully deployed.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ind w:firstLine="49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 for the years ended April 30, 2021 and 2020:</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April 30, 2021</w:t>
            </w:r>
          </w:p>
        </w:tc>
        <w:tc>
          <w:tcPr>
            <w:tcW w:w="140" w:type="dxa"/>
            <w:vAlign w:val="bottom"/>
          </w:tcPr>
          <w:p>
            <w:pPr>
              <w:spacing w:after="0"/>
              <w:rPr>
                <w:sz w:val="20"/>
                <w:szCs w:val="20"/>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April 30, 2020</w:t>
            </w:r>
          </w:p>
        </w:tc>
      </w:tr>
      <w:tr>
        <w:trPr>
          <w:trHeight w:val="230"/>
        </w:trPr>
        <w:tc>
          <w:tcPr>
            <w:tcW w:w="66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4"/>
          </w:tcPr>
          <w:p>
            <w:pPr>
              <w:jc w:val="right"/>
              <w:ind w:right="107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20"/>
                <w:szCs w:val="20"/>
                <w:color w:val="auto"/>
              </w:rPr>
            </w:pPr>
          </w:p>
        </w:tc>
      </w:tr>
      <w:tr>
        <w:trPr>
          <w:trHeight w:val="202"/>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10,002</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6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r>
      <w:tr>
        <w:trPr>
          <w:trHeight w:val="25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r>
      <w:tr>
        <w:trPr>
          <w:trHeight w:val="216"/>
        </w:trPr>
        <w:tc>
          <w:tcPr>
            <w:tcW w:w="66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83,634</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1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Estimated useful life</w:t>
            </w:r>
          </w:p>
        </w:tc>
        <w:tc>
          <w:tcPr>
            <w:tcW w:w="56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Equipment</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5 - 7 years</w:t>
            </w: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3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Office furniture &amp; fixtures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3 - 7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Equipment under capitalized lease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Over the life of the lease</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Shorter of the estimated useful life or lease term</w:t>
            </w:r>
          </w:p>
        </w:tc>
        <w:tc>
          <w:tcPr>
            <w:tcW w:w="560" w:type="dxa"/>
            <w:vAlign w:val="bottom"/>
          </w:tcPr>
          <w:p>
            <w:pPr>
              <w:spacing w:after="0"/>
              <w:rPr>
                <w:sz w:val="20"/>
                <w:szCs w:val="20"/>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color w:val="auto"/>
              </w:rPr>
              <w:t>F-12</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60" w:name="page61"/>
    <w:bookmarkEnd w:id="60"/>
    <w:p>
      <w:pPr>
        <w:ind w:left="240"/>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cash accounts that are denominated in British pound sterling, Euros and Australian dollars. These amounts are included in cash, cash equivalents and restricted cash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Concentration of Credit Risk</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Financial instruments that potentially subject the Company to credit risk consist principally of trade accounts receivable and cash. The Company believes that its credit risk is limited because the Company’s current contracts are with companies with a reliable payment history. The Company invests its excess cash in a money market fund and does not believe that it is exposed to any significant risks related to its cash accounts and money market fund. Cash is also maintained at foreign financial institutions. Cash in foreign financial institutions as of April 30, 2021 was $0.3 million.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shows the percentage of the Company’s revenues derived from customers whose revenues accounted for at least 10%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revenues for at least one of the periods indicated:</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5"/>
          </w:tcPr>
          <w:p>
            <w:pPr>
              <w:jc w:val="right"/>
              <w:ind w:right="587"/>
              <w:spacing w:after="0"/>
              <w:rPr>
                <w:sz w:val="20"/>
                <w:szCs w:val="20"/>
                <w:color w:val="auto"/>
              </w:rPr>
            </w:pPr>
            <w:r>
              <w:rPr>
                <w:rFonts w:ascii="Arial" w:cs="Arial" w:eastAsia="Arial" w:hAnsi="Arial"/>
                <w:sz w:val="18"/>
                <w:szCs w:val="18"/>
                <w:b w:val="1"/>
                <w:bCs w:val="1"/>
                <w:color w:val="auto"/>
              </w:rPr>
              <w:t>Twelve months ended April 30,</w:t>
            </w:r>
          </w:p>
        </w:tc>
      </w:tr>
      <w:tr>
        <w:trPr>
          <w:trHeight w:val="237"/>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r>
      <w:tr>
        <w:trPr>
          <w:trHeight w:val="216"/>
        </w:trPr>
        <w:tc>
          <w:tcPr>
            <w:tcW w:w="6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Eni S.p.A.</w:t>
            </w:r>
          </w:p>
        </w:tc>
        <w:tc>
          <w:tcPr>
            <w:tcW w:w="1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680" w:type="dxa"/>
            <w:vAlign w:val="bottom"/>
            <w:gridSpan w:val="3"/>
          </w:tcPr>
          <w:p>
            <w:pPr>
              <w:spacing w:after="0"/>
              <w:rPr>
                <w:sz w:val="20"/>
                <w:szCs w:val="20"/>
                <w:color w:val="auto"/>
              </w:rPr>
            </w:pPr>
            <w:r>
              <w:rPr>
                <w:rFonts w:ascii="Arial" w:cs="Arial" w:eastAsia="Arial" w:hAnsi="Arial"/>
                <w:sz w:val="18"/>
                <w:szCs w:val="18"/>
                <w:color w:val="auto"/>
              </w:rPr>
              <w:t>EGP</w:t>
            </w:r>
          </w:p>
        </w:tc>
        <w:tc>
          <w:tcPr>
            <w:tcW w:w="1760" w:type="dxa"/>
            <w:vAlign w:val="bottom"/>
            <w:gridSpan w:val="2"/>
          </w:tcPr>
          <w:p>
            <w:pPr>
              <w:jc w:val="right"/>
              <w:ind w:right="11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1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3"/>
        </w:trPr>
        <w:tc>
          <w:tcPr>
            <w:tcW w:w="64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tcPr>
          <w:p>
            <w:pPr>
              <w:jc w:val="right"/>
              <w:ind w:right="110"/>
              <w:spacing w:after="0" w:line="203"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4"/>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2"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Warrant Accounting</w:t>
      </w:r>
    </w:p>
    <w:p>
      <w:pPr>
        <w:spacing w:after="0" w:line="225"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color w:val="auto"/>
        </w:rPr>
        <w:t>The Company accounts for warrants issued in connection with its public offerings in accordance with the guidance on “Accounting for Certain Financial Instruments with Characteristics of Both Liabilities and Equity” in Financial Accounting Standards Board (“FASB”) Topic 480 which provides that warrants meeting the classification of a liability award are recorded as a liability at its fair value. The warrant liabilities are subject to re-measurement at each balance sheet date using the Black-Scholes option pricing model.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 The warrants issued in connection with the Company’s public offerings in June and July 2016 met the criteria of a liability award and were classified in warrant liabilities. The pre-funded and common warrants issued in the Company’s April 8, 2019 public offering did not meet the criteria to be classified as a liability award and therefore were treated as an equity award.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unvested restricted stock issued to employees and non-employee directors, were excluded from the diluted loss per share calculation due to their anti-dilutive effect.</w:t>
      </w:r>
    </w:p>
    <w:p>
      <w:pPr>
        <w:spacing w:after="0" w:line="16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computing diluted net loss per share on the Consolidated Statement of Operations, warrants on common stock, options to purchase shares of common stock and unvested restricted stock issued to employees and non-employee directors, totaling 5,163,020 and 5,564,438 for the years ended April 30, 2021 and 2020, respectively, were excluded from each of the computations as the effect would be anti-dilutive due to the Company’s losses.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ind w:left="240"/>
        <w:spacing w:after="0"/>
        <w:rPr>
          <w:sz w:val="20"/>
          <w:szCs w:val="20"/>
          <w:color w:val="auto"/>
        </w:rPr>
      </w:pPr>
      <w:r>
        <w:rPr>
          <w:rFonts w:ascii="Arial" w:cs="Arial" w:eastAsia="Arial" w:hAnsi="Arial"/>
          <w:sz w:val="18"/>
          <w:szCs w:val="18"/>
          <w:b w:val="1"/>
          <w:bCs w:val="1"/>
          <w:i w:val="1"/>
          <w:iCs w:val="1"/>
          <w:color w:val="auto"/>
        </w:rPr>
        <w:t>(k) Share-Based Compensation</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2021 and 2020 was approximately $0.8 million and $0.3 million, respectively. The following table summarizes share-based compensation related to the Company’s share-based plans by expense category for the years ended April 30, 2021 and 2020:</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660" w:type="dxa"/>
            <w:vAlign w:val="bottom"/>
          </w:tcPr>
          <w:p>
            <w:pPr>
              <w:spacing w:after="0"/>
              <w:rPr>
                <w:sz w:val="20"/>
                <w:szCs w:val="20"/>
                <w:color w:val="auto"/>
              </w:rPr>
            </w:pPr>
          </w:p>
        </w:tc>
        <w:tc>
          <w:tcPr>
            <w:tcW w:w="296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90"/>
              </w:rPr>
              <w:t>Twelve months ended April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66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0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6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376</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405</w:t>
            </w:r>
          </w:p>
        </w:tc>
        <w:tc>
          <w:tcPr>
            <w:tcW w:w="112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23"/>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781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Intangibles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Intangible assets acquired in a business combination are recognized separately from goodwill and are initially recognized at their fair value at the acquisition date (which is regarded as their cost) (See also Note 18). Intangible assets are amortized over the estimated useful life of the asset on a basis that approximates the pattern of economic benefit. The trade name and customer relationship intangible are being amortized over 12 years and 10 years respectively, which is consistent with the pattern of economic benefit of the assets.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assets are reviewed for impairment if indicators of potential impairment exist. There was no indication of impairment of intangible assets as of April 30, 2021.</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Income Taxes</w:t>
      </w:r>
    </w:p>
    <w:p>
      <w:pPr>
        <w:spacing w:after="0" w:line="225"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of the deferred tax assets will not be realized. If such event occurs, a valuation allowance is recorded. The effect on deferred tax assets and liabilities of a change in tax rates is recognized in income in the period that includes the enactment date.</w:t>
      </w:r>
    </w:p>
    <w:p>
      <w:pPr>
        <w:spacing w:after="0" w:line="17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Accumulated Other Comprehensive Loss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b w:val="1"/>
          <w:bCs w:val="1"/>
          <w:i w:val="1"/>
          <w:iCs w:val="1"/>
          <w:color w:val="auto"/>
        </w:rPr>
        <w:t>(o) Recently Issued Accounting Standards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Financial Accounting Standards Board (“FASB”) issued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The amendment in this update replaces the incurred loss impairment methodology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GAAP with a 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6"/>
          <w:szCs w:val="16"/>
          <w:i w:val="1"/>
          <w:iCs w:val="1"/>
          <w:color w:val="auto"/>
        </w:rPr>
        <w:t>Financial Instruments—Credit Losses (Topic 326), Derivatives and Hedging (Topic 815), and Leases (Topic 842)</w:t>
      </w:r>
      <w:r>
        <w:rPr>
          <w:rFonts w:ascii="Arial" w:cs="Arial" w:eastAsia="Arial" w:hAnsi="Arial"/>
          <w:sz w:val="16"/>
          <w:szCs w:val="16"/>
          <w:color w:val="auto"/>
        </w:rPr>
        <w:t>, which deferred the effective date of ASU 2016-13 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xml:space="preserve"> The ASU modifies, removes, and adds several disclosure requirements on fair value measurements in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adopted this guidance effective May 1, 2020. The adoption of the guidance did not have a material effect on its Consolidated Financial Statements.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 </w:t>
      </w:r>
      <w:r>
        <w:rPr>
          <w:rFonts w:ascii="Arial" w:cs="Arial" w:eastAsia="Arial" w:hAnsi="Arial"/>
          <w:sz w:val="16"/>
          <w:szCs w:val="16"/>
          <w:i w:val="1"/>
          <w:iCs w:val="1"/>
          <w:color w:val="auto"/>
        </w:rPr>
        <w:t>Internal-Use Software (Subtopic 350-40).”</w:t>
      </w:r>
      <w:r>
        <w:rPr>
          <w:rFonts w:ascii="Arial" w:cs="Arial" w:eastAsia="Arial" w:hAnsi="Arial"/>
          <w:sz w:val="16"/>
          <w:szCs w:val="16"/>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adopted this guidance on a prospective basis effective May 1, 2020. The adoption of the guidance did not have a material effect on its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i w:val="1"/>
                <w:iCs w:val="1"/>
                <w:color w:val="auto"/>
              </w:rPr>
              <w:t>Contract Assets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ind w:left="500"/>
              <w:spacing w:after="0"/>
              <w:rPr>
                <w:sz w:val="20"/>
                <w:szCs w:val="20"/>
                <w:color w:val="auto"/>
              </w:rPr>
            </w:pPr>
            <w:r>
              <w:rPr>
                <w:rFonts w:ascii="Arial" w:cs="Arial" w:eastAsia="Arial" w:hAnsi="Arial"/>
                <w:sz w:val="18"/>
                <w:szCs w:val="18"/>
                <w:color w:val="auto"/>
              </w:rPr>
              <w:t>Significant changes in the contract assets balances during the period are as follows: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9"/>
              </w:rPr>
              <w:t>Twelve months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6"/>
              </w:rPr>
              <w:t>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April 30, 2021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Revenue recognized and not billed as of the end of the period</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190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contract assets</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20" w:type="dxa"/>
            <w:vAlign w:val="bottom"/>
            <w:vMerge w:val="restart"/>
          </w:tcPr>
          <w:p>
            <w:pPr>
              <w:ind w:left="4880"/>
              <w:spacing w:after="0"/>
              <w:rPr>
                <w:sz w:val="20"/>
                <w:szCs w:val="20"/>
                <w:color w:val="auto"/>
              </w:rPr>
            </w:pPr>
            <w:r>
              <w:rPr>
                <w:rFonts w:ascii="Arial" w:cs="Arial" w:eastAsia="Arial" w:hAnsi="Arial"/>
                <w:sz w:val="18"/>
                <w:szCs w:val="18"/>
                <w:color w:val="auto"/>
              </w:rPr>
              <w:t>F-15</w:t>
            </w: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63" w:name="page64"/>
    <w:bookmarkEnd w:id="63"/>
    <w:p>
      <w:pPr>
        <w:jc w:val="both"/>
        <w:ind w:firstLine="486"/>
        <w:spacing w:after="0" w:line="263"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conditioned on completing additional tasks or services for a performance obligation. The decrease in contract assets is primarily a result of services performed relating to our project with EGP that was billed during the twelve months ended April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gridSpan w:val="2"/>
          </w:tcPr>
          <w:p>
            <w:pPr>
              <w:spacing w:after="0"/>
              <w:rPr>
                <w:sz w:val="20"/>
                <w:szCs w:val="20"/>
                <w:color w:val="auto"/>
              </w:rPr>
            </w:pPr>
            <w:r>
              <w:rPr>
                <w:rFonts w:ascii="Arial" w:cs="Arial" w:eastAsia="Arial" w:hAnsi="Arial"/>
                <w:sz w:val="18"/>
                <w:szCs w:val="18"/>
                <w:i w:val="1"/>
                <w:iCs w:val="1"/>
                <w:color w:val="auto"/>
              </w:rPr>
              <w:t>Contract Liabilities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Significant changes in the contract liabilities balances during the period are as follows: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9"/>
              </w:rPr>
              <w:t>Twelve months</w:t>
            </w:r>
          </w:p>
        </w:tc>
      </w:tr>
      <w:tr>
        <w:trPr>
          <w:trHeight w:val="229"/>
        </w:trPr>
        <w:tc>
          <w:tcPr>
            <w:tcW w:w="5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6"/>
              </w:rPr>
              <w:t>ended</w:t>
            </w:r>
          </w:p>
        </w:tc>
      </w:tr>
      <w:tr>
        <w:trPr>
          <w:trHeight w:val="241"/>
        </w:trPr>
        <w:tc>
          <w:tcPr>
            <w:tcW w:w="5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April 30, 2021</w:t>
            </w:r>
          </w:p>
        </w:tc>
      </w:tr>
      <w:tr>
        <w:trPr>
          <w:trHeight w:val="230"/>
        </w:trPr>
        <w:tc>
          <w:tcPr>
            <w:tcW w:w="5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w w:val="93"/>
              </w:rPr>
              <w:t>Revenue recognized that was included in the contract liabilities balance as of the beginning of the period</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7"/>
        </w:trPr>
        <w:tc>
          <w:tcPr>
            <w:tcW w:w="58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Transferred to contract assets from contract liabilities recognized at the beginning of the period</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8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contract liabilities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Contract liabilities consist of amounts invoiced to customers in excess of revenue recognized. The decrease in contract liabilities is primarily due to recognition of revenue relating to our Eni S.p.A. (“Eni”) project during the twelve months ended April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Current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 of the following at April 30,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60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April 30, 2021</w:t>
            </w:r>
          </w:p>
        </w:tc>
        <w:tc>
          <w:tcPr>
            <w:tcW w:w="420" w:type="dxa"/>
            <w:vAlign w:val="bottom"/>
          </w:tcPr>
          <w:p>
            <w:pPr>
              <w:spacing w:after="0"/>
              <w:rPr>
                <w:sz w:val="20"/>
                <w:szCs w:val="20"/>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April 30, 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(in thousands)</w:t>
            </w: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 w:type="dxa"/>
            <w:vAlign w:val="bottom"/>
            <w:vMerge w:val="restart"/>
          </w:tcPr>
          <w:p>
            <w:pPr>
              <w:spacing w:after="0"/>
              <w:rPr>
                <w:sz w:val="19"/>
                <w:szCs w:val="19"/>
                <w:color w:val="auto"/>
              </w:rPr>
            </w:pPr>
          </w:p>
        </w:tc>
        <w:tc>
          <w:tcPr>
            <w:tcW w:w="34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4600" w:type="dxa"/>
            <w:vAlign w:val="bottom"/>
            <w:gridSpan w:val="2"/>
            <w:shd w:val="clear" w:color="auto" w:fill="CCEEFF"/>
          </w:tcPr>
          <w:p>
            <w:pPr>
              <w:jc w:val="right"/>
              <w:ind w:right="100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receivables</w:t>
            </w: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3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Prepaid offering costs</w:t>
            </w: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3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Borders>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jc w:val="right"/>
              <w:ind w:right="2427"/>
              <w:spacing w:after="0"/>
              <w:rPr>
                <w:sz w:val="20"/>
                <w:szCs w:val="20"/>
                <w:color w:val="auto"/>
              </w:rPr>
            </w:pPr>
            <w:r>
              <w:rPr>
                <w:rFonts w:ascii="Arial" w:cs="Arial" w:eastAsia="Arial" w:hAnsi="Arial"/>
                <w:sz w:val="18"/>
                <w:szCs w:val="18"/>
                <w:color w:val="auto"/>
              </w:rPr>
              <w:t>F-16</w:t>
            </w: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w:t>
            </w: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8780" w:type="dxa"/>
            <w:vAlign w:val="bottom"/>
            <w:gridSpan w:val="5"/>
          </w:tcPr>
          <w:p>
            <w:pPr>
              <w:ind w:left="260"/>
              <w:spacing w:after="0"/>
              <w:rPr>
                <w:sz w:val="20"/>
                <w:szCs w:val="20"/>
                <w:color w:val="auto"/>
              </w:rPr>
            </w:pPr>
            <w:r>
              <w:rPr>
                <w:rFonts w:ascii="Arial" w:cs="Arial" w:eastAsia="Arial" w:hAnsi="Arial"/>
                <w:sz w:val="18"/>
                <w:szCs w:val="18"/>
                <w:color w:val="auto"/>
              </w:rPr>
              <w:t>The components of property and equipment as of April 30, 2021 and 2020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April 30,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April 30, 2020</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5"/>
          </w:tcPr>
          <w:p>
            <w:pPr>
              <w:jc w:val="right"/>
              <w:ind w:right="113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1,619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approximately $0.1 million and $0.2 million for the years ended April 30,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(d) Revenue Recognition for information on lessor accounting.</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ind w:left="40" w:right="20" w:firstLine="447"/>
        <w:spacing w:after="0" w:line="259" w:lineRule="auto"/>
        <w:rPr>
          <w:sz w:val="20"/>
          <w:szCs w:val="20"/>
          <w:color w:val="auto"/>
        </w:rPr>
      </w:pPr>
      <w:r>
        <w:rPr>
          <w:rFonts w:ascii="Arial" w:cs="Arial" w:eastAsia="Arial" w:hAnsi="Arial"/>
          <w:sz w:val="18"/>
          <w:szCs w:val="18"/>
          <w:color w:val="auto"/>
        </w:rPr>
        <w:t>The Company has one lease for its facility located in Monroe Township, New Jersey that is used as warehouse/production space and the Company’s principal offices and corporate headquarters. The initial lease term is for 7 years with an option to extend the lease for another 5 years. The lease is classified as an operating lease. The operating lease is included in right-of-use assets, lease liabilities- current and lease liabilities- long-term on the Company’s Consolidated Balance Sheets.</w:t>
      </w:r>
    </w:p>
    <w:p>
      <w:pPr>
        <w:spacing w:after="0" w:line="187" w:lineRule="exact"/>
        <w:rPr>
          <w:sz w:val="20"/>
          <w:szCs w:val="20"/>
          <w:color w:val="auto"/>
        </w:rPr>
      </w:pPr>
    </w:p>
    <w:p>
      <w:pPr>
        <w:jc w:val="both"/>
        <w:ind w:left="40" w:right="40" w:firstLine="447"/>
        <w:spacing w:after="0" w:line="263" w:lineRule="auto"/>
        <w:rPr>
          <w:sz w:val="20"/>
          <w:szCs w:val="20"/>
          <w:color w:val="auto"/>
        </w:rPr>
      </w:pPr>
      <w:r>
        <w:rPr>
          <w:rFonts w:ascii="Arial" w:cs="Arial" w:eastAsia="Arial" w:hAnsi="Arial"/>
          <w:sz w:val="18"/>
          <w:szCs w:val="18"/>
          <w:color w:val="auto"/>
        </w:rPr>
        <w:t>The Company also has one lease located in Houston, Texas that was acquired as part of the 3Dent acquisition that is used as office space. The lease term is for 3 years, classified as an operating lease, and included in the right-of-use assets, lease liabilities- current and lease liabilities- long-term on the Company’s Consolidated Balance Sheets.</w:t>
      </w:r>
    </w:p>
    <w:p>
      <w:pPr>
        <w:spacing w:after="0" w:line="184" w:lineRule="exact"/>
        <w:rPr>
          <w:sz w:val="20"/>
          <w:szCs w:val="20"/>
          <w:color w:val="auto"/>
        </w:rPr>
      </w:pPr>
    </w:p>
    <w:p>
      <w:pPr>
        <w:jc w:val="both"/>
        <w:ind w:left="40" w:right="40" w:firstLine="447"/>
        <w:spacing w:after="0" w:line="263" w:lineRule="auto"/>
        <w:rPr>
          <w:sz w:val="20"/>
          <w:szCs w:val="20"/>
          <w:color w:val="auto"/>
        </w:rPr>
      </w:pPr>
      <w:r>
        <w:rPr>
          <w:rFonts w:ascii="Arial" w:cs="Arial" w:eastAsia="Arial" w:hAnsi="Arial"/>
          <w:sz w:val="18"/>
          <w:szCs w:val="18"/>
          <w:color w:val="auto"/>
        </w:rPr>
        <w:t>The Company has one lease for an additional office space also located in Houston, Texas. The lease has a term of 12 month ending on June 30, 2022. As the lease term is 12 months, the assets is recognized directly to the profit and loss statement on a straight-line bases under ASC 842-20-25-2 and is not recognized as a right-of-use asset.</w:t>
      </w:r>
    </w:p>
    <w:p>
      <w:pPr>
        <w:spacing w:after="0" w:line="184" w:lineRule="exact"/>
        <w:rPr>
          <w:sz w:val="20"/>
          <w:szCs w:val="20"/>
          <w:color w:val="auto"/>
        </w:rPr>
      </w:pPr>
    </w:p>
    <w:p>
      <w:pPr>
        <w:jc w:val="both"/>
        <w:ind w:left="40" w:firstLine="450"/>
        <w:spacing w:after="0" w:line="291" w:lineRule="auto"/>
        <w:rPr>
          <w:sz w:val="20"/>
          <w:szCs w:val="20"/>
          <w:color w:val="auto"/>
        </w:rPr>
      </w:pPr>
      <w:r>
        <w:rPr>
          <w:rFonts w:ascii="Arial" w:cs="Arial" w:eastAsia="Arial" w:hAnsi="Arial"/>
          <w:sz w:val="16"/>
          <w:szCs w:val="16"/>
          <w:color w:val="auto"/>
        </w:rPr>
        <w:t>Right-of-use asset and operating lease liabilities are recognized based on the present value of future minimum lease payments over the lease term at the commencement date. When the implicit rate of the lease is not provided or cannot be determined, the Company used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 The operating lease expense in the Consolidated Statement of Operations was $0.3 million for the twelve months ended April 30, 2021 and 2020.</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65" w:name="page66"/>
    <w:bookmarkEnd w:id="65"/>
    <w:p>
      <w:pPr>
        <w:ind w:left="500"/>
        <w:spacing w:after="0"/>
        <w:rPr>
          <w:sz w:val="20"/>
          <w:szCs w:val="20"/>
          <w:color w:val="auto"/>
        </w:rPr>
      </w:pPr>
      <w:r>
        <w:rPr>
          <w:rFonts w:ascii="Arial" w:cs="Arial" w:eastAsia="Arial" w:hAnsi="Arial"/>
          <w:sz w:val="16"/>
          <w:szCs w:val="16"/>
          <w:color w:val="auto"/>
        </w:rPr>
        <w:t>The components of lease expense in the Consolidated Statement of Operations for the twelve months ended April 30, 2021 and 2020 was as follows:</w:t>
      </w:r>
    </w:p>
    <w:p>
      <w:pPr>
        <w:spacing w:after="0" w:line="258"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Twelve months ended April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146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820" w:type="dxa"/>
            <w:vAlign w:val="bottom"/>
            <w:gridSpan w:val="2"/>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60" w:type="dxa"/>
            <w:vAlign w:val="bottom"/>
            <w:gridSpan w:val="2"/>
            <w:shd w:val="clear" w:color="auto" w:fill="CCEEFF"/>
          </w:tcPr>
          <w:p>
            <w:pPr>
              <w:jc w:val="right"/>
              <w:ind w:right="100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lease cost</w:t>
            </w:r>
          </w:p>
        </w:tc>
        <w:tc>
          <w:tcPr>
            <w:tcW w:w="27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7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7"/>
          </w:tcPr>
          <w:p>
            <w:pPr>
              <w:ind w:left="500"/>
              <w:spacing w:after="0"/>
              <w:rPr>
                <w:sz w:val="20"/>
                <w:szCs w:val="20"/>
                <w:color w:val="auto"/>
              </w:rPr>
            </w:pPr>
            <w:r>
              <w:rPr>
                <w:rFonts w:ascii="Arial" w:cs="Arial" w:eastAsia="Arial" w:hAnsi="Arial"/>
                <w:sz w:val="18"/>
                <w:szCs w:val="18"/>
                <w:color w:val="auto"/>
                <w:w w:val="99"/>
              </w:rPr>
              <w:t>Information related to the Company’s right-of use assets and lease liabilities as of April 30, 2021 is as follows: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April 30, 2021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3"/>
          </w:tcPr>
          <w:p>
            <w:pPr>
              <w:jc w:val="right"/>
              <w:ind w:right="316"/>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68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Operating right-of-use asset, net</w:t>
            </w:r>
          </w:p>
        </w:tc>
        <w:tc>
          <w:tcPr>
            <w:tcW w:w="200" w:type="dxa"/>
            <w:vAlign w:val="bottom"/>
          </w:tcPr>
          <w:p>
            <w:pPr>
              <w:spacing w:after="0"/>
              <w:rPr>
                <w:sz w:val="20"/>
                <w:szCs w:val="20"/>
                <w:color w:val="auto"/>
              </w:rPr>
            </w:pPr>
          </w:p>
        </w:tc>
        <w:tc>
          <w:tcPr>
            <w:tcW w:w="15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tcPr>
          <w:p>
            <w:pPr>
              <w:ind w:left="180"/>
              <w:spacing w:after="0"/>
              <w:rPr>
                <w:sz w:val="20"/>
                <w:szCs w:val="20"/>
                <w:color w:val="auto"/>
              </w:rPr>
            </w:pPr>
            <w:r>
              <w:rPr>
                <w:rFonts w:ascii="Arial" w:cs="Arial" w:eastAsia="Arial" w:hAnsi="Arial"/>
                <w:sz w:val="18"/>
                <w:szCs w:val="18"/>
                <w:color w:val="auto"/>
              </w:rPr>
              <w:t>Right-of-use liability- current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Right-of-use liability- long term</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8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lease liability</w:t>
            </w:r>
          </w:p>
        </w:tc>
        <w:tc>
          <w:tcPr>
            <w:tcW w:w="20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ind w:right="3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1,166</w:t>
            </w: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operating leases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3.34 years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ind w:left="500"/>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April 30, 2021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2023</w:t>
            </w:r>
          </w:p>
        </w:tc>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4"/>
          </w:tcPr>
          <w:p>
            <w:pPr>
              <w:jc w:val="right"/>
              <w:ind w:right="100"/>
              <w:spacing w:after="0"/>
              <w:rPr>
                <w:sz w:val="20"/>
                <w:szCs w:val="20"/>
                <w:color w:val="auto"/>
              </w:rPr>
            </w:pPr>
            <w:r>
              <w:rPr>
                <w:rFonts w:ascii="Arial" w:cs="Arial" w:eastAsia="Arial" w:hAnsi="Arial"/>
                <w:sz w:val="18"/>
                <w:szCs w:val="18"/>
                <w:color w:val="auto"/>
              </w:rPr>
              <w:t>391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2025</w:t>
            </w: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4"/>
          </w:tcPr>
          <w:p>
            <w:pPr>
              <w:jc w:val="right"/>
              <w:ind w:right="100"/>
              <w:spacing w:after="0"/>
              <w:rPr>
                <w:sz w:val="20"/>
                <w:szCs w:val="20"/>
                <w:color w:val="auto"/>
              </w:rPr>
            </w:pPr>
            <w:r>
              <w:rPr>
                <w:rFonts w:ascii="Arial" w:cs="Arial" w:eastAsia="Arial" w:hAnsi="Arial"/>
                <w:sz w:val="18"/>
                <w:szCs w:val="18"/>
                <w:color w:val="auto"/>
              </w:rPr>
              <w:t>184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ind w:left="500"/>
              <w:spacing w:after="0"/>
              <w:rPr>
                <w:sz w:val="20"/>
                <w:szCs w:val="20"/>
                <w:color w:val="auto"/>
              </w:rPr>
            </w:pPr>
            <w:r>
              <w:rPr>
                <w:rFonts w:ascii="Arial" w:cs="Arial" w:eastAsia="Arial" w:hAnsi="Arial"/>
                <w:sz w:val="18"/>
                <w:szCs w:val="18"/>
                <w:color w:val="auto"/>
              </w:rPr>
              <w:t>Accrued expenses consisted of the following at April 30, 2021 and 2020: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9"/>
              </w:rPr>
              <w:t>April 30, 2021</w:t>
            </w:r>
          </w:p>
        </w:tc>
        <w:tc>
          <w:tcPr>
            <w:tcW w:w="320" w:type="dxa"/>
            <w:vAlign w:val="bottom"/>
          </w:tcPr>
          <w:p>
            <w:pPr>
              <w:spacing w:after="0"/>
              <w:rPr>
                <w:sz w:val="24"/>
                <w:szCs w:val="24"/>
                <w:color w:val="auto"/>
              </w:rPr>
            </w:pPr>
          </w:p>
        </w:tc>
        <w:tc>
          <w:tcPr>
            <w:tcW w:w="1780" w:type="dxa"/>
            <w:vAlign w:val="bottom"/>
            <w:gridSpan w:val="5"/>
          </w:tcPr>
          <w:p>
            <w:pPr>
              <w:ind w:left="300"/>
              <w:spacing w:after="0"/>
              <w:rPr>
                <w:sz w:val="20"/>
                <w:szCs w:val="20"/>
                <w:color w:val="auto"/>
              </w:rPr>
            </w:pPr>
            <w:r>
              <w:rPr>
                <w:rFonts w:ascii="Arial" w:cs="Arial" w:eastAsia="Arial" w:hAnsi="Arial"/>
                <w:sz w:val="18"/>
                <w:szCs w:val="18"/>
                <w:b w:val="1"/>
                <w:bCs w:val="1"/>
                <w:color w:val="auto"/>
              </w:rPr>
              <w:t>April 30, 2020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(in thousands)</w:t>
            </w: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Project costs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380" w:type="dxa"/>
            <w:vAlign w:val="bottom"/>
            <w:gridSpan w:val="2"/>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Contract loss reserve</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2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Accrued salary and benefits</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631</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Accrued taxes payable</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5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1,881</w:t>
            </w:r>
          </w:p>
        </w:tc>
        <w:tc>
          <w:tcPr>
            <w:tcW w:w="32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1,353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00" w:type="dxa"/>
            <w:vAlign w:val="bottom"/>
            <w:vMerge w:val="restart"/>
          </w:tcPr>
          <w:p>
            <w:pPr>
              <w:ind w:left="3720"/>
              <w:spacing w:after="0"/>
              <w:rPr>
                <w:sz w:val="20"/>
                <w:szCs w:val="20"/>
                <w:color w:val="auto"/>
              </w:rPr>
            </w:pPr>
            <w:r>
              <w:rPr>
                <w:rFonts w:ascii="Arial" w:cs="Arial" w:eastAsia="Arial" w:hAnsi="Arial"/>
                <w:sz w:val="18"/>
                <w:szCs w:val="18"/>
                <w:color w:val="auto"/>
              </w:rPr>
              <w:t>F-18</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will expire five years following the Initial Exercise Date. As of April 30, 2021, none of the warrants had been exercised.</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will expire on the fifth (5th) anniversary of the initial date of issuance. As of April 30, 2021, none of the warrants had been exercised.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ind w:left="40" w:firstLine="447"/>
        <w:spacing w:after="0" w:line="255" w:lineRule="auto"/>
        <w:rPr>
          <w:sz w:val="20"/>
          <w:szCs w:val="20"/>
          <w:color w:val="auto"/>
        </w:rPr>
      </w:pPr>
      <w:r>
        <w:rPr>
          <w:rFonts w:ascii="Arial" w:cs="Arial" w:eastAsia="Arial" w:hAnsi="Arial"/>
          <w:sz w:val="18"/>
          <w:szCs w:val="18"/>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April 30, 2021, all of the pre-funded warrants had been exercised. The common stock warrants have an exercise price of $3.85 per share and expire five years from the issuance date. As of April 30, 2021, warrants to purchase 732,500 shares of the common stock had been exercised.</w:t>
      </w:r>
    </w:p>
    <w:p>
      <w:pPr>
        <w:spacing w:after="0" w:line="192" w:lineRule="exact"/>
        <w:rPr>
          <w:sz w:val="20"/>
          <w:szCs w:val="20"/>
          <w:color w:val="auto"/>
        </w:rPr>
      </w:pPr>
    </w:p>
    <w:p>
      <w:pPr>
        <w:jc w:val="both"/>
        <w:ind w:left="40" w:right="140" w:firstLine="450"/>
        <w:spacing w:after="0" w:line="271" w:lineRule="auto"/>
        <w:rPr>
          <w:sz w:val="20"/>
          <w:szCs w:val="20"/>
          <w:color w:val="auto"/>
        </w:rPr>
      </w:pPr>
      <w:r>
        <w:rPr>
          <w:rFonts w:ascii="Arial" w:cs="Arial" w:eastAsia="Arial" w:hAnsi="Arial"/>
          <w:sz w:val="17"/>
          <w:szCs w:val="17"/>
          <w:color w:val="auto"/>
        </w:rPr>
        <w:t>The Company accounts for warrants issued in connection with its June and July 2016 public offerings in accordance with the guidance on “</w:t>
      </w:r>
      <w:r>
        <w:rPr>
          <w:rFonts w:ascii="Arial" w:cs="Arial" w:eastAsia="Arial" w:hAnsi="Arial"/>
          <w:sz w:val="17"/>
          <w:szCs w:val="17"/>
          <w:i w:val="1"/>
          <w:iCs w:val="1"/>
          <w:color w:val="auto"/>
        </w:rPr>
        <w:t>Accounting for Certain Financial Instruments with Characteristics of Both Liabilities and Equity</w:t>
      </w:r>
      <w:r>
        <w:rPr>
          <w:rFonts w:ascii="Arial" w:cs="Arial" w:eastAsia="Arial" w:hAnsi="Arial"/>
          <w:sz w:val="17"/>
          <w:szCs w:val="17"/>
          <w:color w:val="auto"/>
        </w:rPr>
        <w:t>”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The warrants have a value near zero at April 30, 2021 and April 30, 2020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Paycheck Protection Program Loan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Bank, N.A. (“Santander”) as the lender for $890,347 in support through the Small Business Association (“SBA”) under the PPP Loan. The PPP Loan is unsecured and evidenced by a note in favor of Santander as the lender and governed by a Loan Agreement with Santander. The loan contains an interest rate of 1% and is repayable over two years. The loan contains customary events of defaults relating to, among other things, payment defaults or breaches of the terms of the loan. Upon the occurrence of an event of default, the lender may require immediate repayment of all outstanding amounts under the loan. Interest and principal payments are deferred for the first 6 months from the date of the loan. Principal and interest are payable monthly commencing 6 months after the disbursement date and may be repaid by the Company at any time prior to maturity with no prepayment penalties. The Company received the proceeds on May 5, 2020.</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and the loan is now fully forgiven.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April 30, 2021, and 2020,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April 30, 2021, the Company had 100,000,000 shares authorized with a par value of $0.001 per share and 52,458,011 shares issued.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Agreements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7, 2019, the Company entered into the 2019 ATM Facility with AGP, under which the Company may issue and sell to or through A.G.P./Alliance Global Partners,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including 12,342,506 shares in fiscal year 2021 with an aggregate market value of $18.7 million at an average price of $1.51 per share and paid AGP a sales commission of approximately $0.8 million related to those shares. The agreement was fully utilized and terminated on December 8, 2020.</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20, 2020, the Company entered into an At the Market Offering Agreement with AGP (the “2020 ATM Facility”), having capacity up to $100.0 million. The Company on December 4, 2020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January 31, 2021, the Company had sold and issued an aggregate of 17,179,883 shares of its common stock with an aggregate market value of $50.0 million at an average price of $2.91 per share and paid AGP a sales commission of approximately $1.6 million related to those shares. A prospectus supplement would need to be filed for the Company to sell additional amount under the 2020 ATM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of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terminated on September 18, 2020.</w:t>
      </w:r>
    </w:p>
    <w:p>
      <w:pPr>
        <w:spacing w:after="0" w:line="19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was committed to purchase up to an aggregate of $12.5 million of shares of the Company’s common stock over a 30-month period subject to a limit of 19.99% of the outstanding common stock on the date of the agreement if the price did not exceed a specified price in the agreement. The number of shares the Company could issue within the 19.99% limit is 3,722,251 shares without shareholder approval. Shareholder approval was received at the Company’s annual meeting of stockholders on December 23, 2020 for the sale of 9,864,706 additional shares of common stock which exceeds the 19.99% limit of the outstanding common stock on the date of the agreement. Through January 31, 2021, the Company had sold an aggregate of 3,722,251 shares of common stock with an aggregate market value of $11.8 million at an average price of $3.17 per share pursuant to this common stock purchase agreement with approximately $1.0 million available as of April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Shares</w:t>
      </w:r>
    </w:p>
    <w:p>
      <w:pPr>
        <w:spacing w:after="0" w:line="229"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During the years ended April 30, 2021 and 2020, 16,789 and 481 shares of Common Stock, respectively, were purchased by the Company from employees to pay taxes related to the vesting of restricted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(13) Share-Based Compensation Plans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April 30, 2021, the Company had 197,166 shares available for future issuance under the 2015 Plan.</w:t>
      </w:r>
    </w:p>
    <w:p>
      <w:pPr>
        <w:spacing w:after="0" w:line="19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5635(c)(4) 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April 30, 2021, there were 11,487 shares available for grant under the 2018 Inducement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over the expected life of the stock option granted. There were 248,876 and 411,666 shares granted for the periods ended April 30, 2021 and 2020, respectively.</w:t>
      </w:r>
    </w:p>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Twelve months ended April 30,</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44"/>
        </w:trPr>
        <w:tc>
          <w:tcPr>
            <w:tcW w:w="618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1"/>
                <w:szCs w:val="21"/>
                <w:color w:val="auto"/>
              </w:rPr>
            </w:pPr>
          </w:p>
        </w:tc>
      </w:tr>
      <w:tr>
        <w:trPr>
          <w:trHeight w:val="216"/>
        </w:trPr>
        <w:tc>
          <w:tcPr>
            <w:tcW w:w="6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5.5 - 5.8</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5.5 - 5.8</w:t>
            </w: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136.5%</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127.6% - 128.2%</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$2.63 and $0.92 for stock options granted during the years ended April 30,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Weighted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Average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Underlying</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5400" w:type="dxa"/>
            <w:vAlign w:val="bottom"/>
          </w:tcPr>
          <w:p>
            <w:pPr>
              <w:spacing w:after="0"/>
              <w:rPr>
                <w:sz w:val="20"/>
                <w:szCs w:val="20"/>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Options</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2020</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474,128</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248,876</w:t>
            </w:r>
          </w:p>
        </w:tc>
        <w:tc>
          <w:tcPr>
            <w:tcW w:w="340" w:type="dxa"/>
            <w:vAlign w:val="bottom"/>
          </w:tcPr>
          <w:p>
            <w:pPr>
              <w:spacing w:after="0"/>
              <w:rPr>
                <w:sz w:val="18"/>
                <w:szCs w:val="18"/>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(175,500)</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Cancelled/forfeited</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color w:val="auto"/>
              </w:rPr>
              <w:t>(30,677)</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7.31</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2021</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Exercisable as of April 30, 2021</w:t>
            </w: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vMerge w:val="restart"/>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5.07</w:t>
            </w:r>
          </w:p>
        </w:tc>
        <w:tc>
          <w:tcPr>
            <w:tcW w:w="1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248,252</w:t>
            </w: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As of April 30, 2021, the total intrinsic value for both outstanding and exercisable options was approximately $0.3 million. As of April 30, 2021, approximately 268,575 additional options were unvested, which had an intrinsic value of zero and a weighted average remaining contractual term of 9.6 years. There was approximately $0.4 million and $0.3 million of total recognized compensation cost related to stock options during each of the twelve months ended April 30, 2021 and 2020, respectively. As of April 30, 2021, there was approximately $0.5 million of total unrecognized compensation cost related to non-vested stock options granted under the plans. This cost is expected to be recognized over a weighted-average period of 1.4 years.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January of 2020, the Company issued 81,337 performance-based stock options to two of its executives. The awards vest over 2 years if there is positive total shareholder return (e.g. share price increase) as measured to the 5-day (January 11-15, 2021) and (January 10-14, 2022) share price volume weighted average price (“VWAP”). There were 40,666 shares unvested and outstanding for the year ended April 30, 2021. As discussed in the Note 20, one of the executives, the President and CEO left the company as of June 18, 2021.</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January of 2021, the Company issued 344,723 performance-based stock options to employees and executives. The awards vest over 2 years provided there is positive total shareholder return (e.g. share price increase) as measured to the closing share price on January 14, 2022 and January 14, 2023. There were 343,456 shares unvested and outstanding for the year ended April 30, 2021.</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determined these awards contain a market- based condition and estimated the fair value using the Monte Carlo simulation model with the following assumptions: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580" w:type="dxa"/>
            <w:vAlign w:val="bottom"/>
          </w:tcPr>
          <w:p>
            <w:pPr>
              <w:spacing w:after="0"/>
              <w:rPr>
                <w:sz w:val="20"/>
                <w:szCs w:val="20"/>
                <w:color w:val="auto"/>
              </w:rPr>
            </w:pPr>
          </w:p>
        </w:tc>
        <w:tc>
          <w:tcPr>
            <w:tcW w:w="35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Twelve months ended April 30,</w:t>
            </w:r>
          </w:p>
        </w:tc>
      </w:tr>
      <w:tr>
        <w:trPr>
          <w:trHeight w:val="237"/>
        </w:trPr>
        <w:tc>
          <w:tcPr>
            <w:tcW w:w="65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6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76.0%- 136.5%</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r>
    </w:tbl>
    <w:p>
      <w:pPr>
        <w:spacing w:after="0" w:line="187"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$2.09 for performance stock options granted during the year ended April 30,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performance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Weighted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Average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Underlying</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5400" w:type="dxa"/>
            <w:vAlign w:val="bottom"/>
          </w:tcPr>
          <w:p>
            <w:pPr>
              <w:spacing w:after="0"/>
              <w:rPr>
                <w:sz w:val="20"/>
                <w:szCs w:val="20"/>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Options</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2020</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81,347</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344,723</w:t>
            </w:r>
          </w:p>
        </w:tc>
        <w:tc>
          <w:tcPr>
            <w:tcW w:w="340" w:type="dxa"/>
            <w:vAlign w:val="bottom"/>
          </w:tcPr>
          <w:p>
            <w:pPr>
              <w:spacing w:after="0"/>
              <w:rPr>
                <w:sz w:val="18"/>
                <w:szCs w:val="18"/>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Cancelled/forfeited</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color w:val="auto"/>
              </w:rPr>
              <w:t>(1,280)</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2021</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Exercisable as of April 30, 2021</w:t>
            </w: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vMerge w:val="restart"/>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1.05</w:t>
            </w:r>
          </w:p>
        </w:tc>
        <w:tc>
          <w:tcPr>
            <w:tcW w:w="1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40,668</w:t>
            </w: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April 30, 2021, the total intrinsic value of both outstanding and exercisable performance stock options was approximately $0.1 million. As of April 30, 2021, approximately 384,122 additional options were unvested, which had an intrinsic value of $0.1 million and a weighted average remaining contractual term of 9.8 years. There was approximately $0.1 million and $10,000 of total recognized compensation cost related to performance stock options during each of the twelve months ended April 30, 2021 and 2020, respectively. As of April 30, 2021, there was approximately $0.6 million of total unrecognized compensation cost related to non-vested stock options granted under the plans. This cost is expected to be recognized over a weighted-average period of 1.7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Compensation expense for unvested restricted stock is generally recorded based on its market value on the date of grant and recognized ratably over the associated service and performance period. During the year ended April 30, 2021 and 2020, the Company granted 10,000 and 13,513 shares subject to service-based vesting requirements.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ind w:left="500"/>
        <w:spacing w:after="0"/>
        <w:rPr>
          <w:sz w:val="20"/>
          <w:szCs w:val="20"/>
          <w:color w:val="auto"/>
        </w:rPr>
      </w:pPr>
      <w:r>
        <w:rPr>
          <w:rFonts w:ascii="Arial" w:cs="Arial" w:eastAsia="Arial" w:hAnsi="Arial"/>
          <w:sz w:val="16"/>
          <w:szCs w:val="16"/>
          <w:color w:val="auto"/>
        </w:rPr>
        <w:t>A summary of unvested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r>
      <w:tr>
        <w:trPr>
          <w:trHeight w:val="229"/>
        </w:trPr>
        <w:tc>
          <w:tcPr>
            <w:tcW w:w="19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 Price per</w:t>
            </w:r>
          </w:p>
        </w:tc>
      </w:tr>
      <w:tr>
        <w:trPr>
          <w:trHeight w:val="241"/>
        </w:trPr>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of Shares</w:t>
            </w:r>
          </w:p>
        </w:tc>
        <w:tc>
          <w:tcPr>
            <w:tcW w:w="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r>
      <w:tr>
        <w:trPr>
          <w:trHeight w:val="418"/>
        </w:trPr>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13,513</w:t>
            </w:r>
          </w:p>
        </w:tc>
        <w:tc>
          <w:tcPr>
            <w:tcW w:w="18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(13,513)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51"/>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2.93</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40" w:space="200"/>
            <w:col w:w="4400"/>
          </w:cols>
          <w:pgMar w:left="320" w:top="692" w:right="339" w:bottom="1440" w:gutter="0" w:footer="0" w:header="0"/>
        </w:sectPr>
      </w:pPr>
    </w:p>
    <w:p>
      <w:pPr>
        <w:spacing w:after="0" w:line="2"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There was approximately $49,000 and $15,000 of total recognized compensation cost related to restricted stock for the years ended April 30, 2021 and 2020, respectively. As of April 30, 2021, there was $21,000 of unrecognized compensation cost remaining related to unvested restricted stock granted under our plans. This cost is expected to be recognized over a weighted-average period of 0.7 years.</w:t>
      </w:r>
    </w:p>
    <w:p>
      <w:pPr>
        <w:spacing w:after="0" w:line="184"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December 2019, the Company granted 51,547 shares, subject to service-based vesting requirements, to an employee that were granted outside the Company stock incentive plans. There was approximately $30,000 and $20,000 of total recognized compensation cost related to this award during each of the twelve months ended April 30, 2021 and 2020, respectively. As of April 30, 2021, there is zero of unrecognized compensation cost remaining related to this award</w:t>
      </w:r>
      <w:r>
        <w:rPr>
          <w:rFonts w:ascii="Arial" w:cs="Arial" w:eastAsia="Arial" w:hAnsi="Arial"/>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ASC Topic 820,”</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Company has the ability to access at the measurement date.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that are unobservable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values of these financial instruments approximate their fair values and are viewed as Level 1 items. The Company’s warrant liabilities represent the only asset or liability classified financial instrument that is measured at fair value on a recurring basis.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the Company’s warrant liabilities (refer to Note 8) is based on the Black-Scholes option pricing model which is based on Level 3 unobservable inputs for which there is little or no market data, requiring the Company to develop its own assumptions. The assumptions used by the Company are the quoted price of the Company’s common stock in an active market, risk-free interest rate, volatility and expected life, and assumes no dividends.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expected life of the warrants. The fair value on a recurring basis as of April 30, 2021 and 2020 was near zero.</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Unrealized gains of approximately zero and $6,000 for the twelve months ended April 30, 2021 and 2020, respectively, were included within “Gain due to change in fair value of warrant liabilities” in the Consolidated Statements of Operations. The Company determined the fair value using the Black-Scholes option pricing model with the following assumptions: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71" w:name="page72"/>
    <w:bookmarkEnd w:id="71"/>
    <w:tbl>
      <w:tblPr>
        <w:tblLayout w:type="fixed"/>
        <w:tblInd w:w="58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April 30, 2021</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April 30, 2020</w:t>
            </w:r>
          </w:p>
        </w:tc>
      </w:tr>
      <w:tr>
        <w:trPr>
          <w:trHeight w:val="216"/>
        </w:trPr>
        <w:tc>
          <w:tcPr>
            <w:tcW w:w="61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Risk-free rate</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0.01% - 0.02%</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0.17% - 0.19%</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0.2 - 0.6</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1.2 - 1.6</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149.8%</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81.8% - 112.7%</w:t>
            </w:r>
          </w:p>
        </w:tc>
      </w:tr>
    </w:tbl>
    <w:p>
      <w:pPr>
        <w:spacing w:after="0" w:line="18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Besides the unrealized gain in fair value, there was no other activity to the balances in warrant liabilities during the twelve months ended April 30, 2021 and 2020, respectively.</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twelve months ended April 30,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before income taxes for the years ended April 30, 2021 and 2020 consisted of the following components: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w w:val="96"/>
              </w:rPr>
              <w:t>April 30, 2021</w:t>
            </w:r>
          </w:p>
        </w:tc>
        <w:tc>
          <w:tcPr>
            <w:tcW w:w="140" w:type="dxa"/>
            <w:vAlign w:val="bottom"/>
          </w:tcPr>
          <w:p>
            <w:pPr>
              <w:spacing w:after="0"/>
              <w:rPr>
                <w:sz w:val="20"/>
                <w:szCs w:val="20"/>
                <w:color w:val="auto"/>
              </w:rPr>
            </w:pPr>
          </w:p>
        </w:tc>
        <w:tc>
          <w:tcPr>
            <w:tcW w:w="146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8"/>
              </w:rPr>
              <w:t>April 30, 2020</w:t>
            </w:r>
          </w:p>
        </w:tc>
      </w:tr>
      <w:tr>
        <w:trPr>
          <w:trHeight w:val="230"/>
        </w:trPr>
        <w:tc>
          <w:tcPr>
            <w:tcW w:w="66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4"/>
          </w:tcPr>
          <w:p>
            <w:pPr>
              <w:jc w:val="right"/>
              <w:ind w:right="10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r>
      <w:tr>
        <w:trPr>
          <w:trHeight w:val="202"/>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(14,392)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(10,985)</w:t>
            </w: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20"/>
                <w:szCs w:val="20"/>
                <w:color w:val="auto"/>
              </w:rPr>
            </w:pPr>
          </w:p>
        </w:tc>
        <w:tc>
          <w:tcPr>
            <w:tcW w:w="1680" w:type="dxa"/>
            <w:vAlign w:val="bottom"/>
            <w:gridSpan w:val="2"/>
          </w:tcPr>
          <w:p>
            <w:pPr>
              <w:jc w:val="right"/>
              <w:ind w:right="181"/>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6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loss before income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73"/>
        <w:spacing w:after="0" w:line="308" w:lineRule="auto"/>
        <w:rPr>
          <w:sz w:val="20"/>
          <w:szCs w:val="20"/>
          <w:color w:val="auto"/>
        </w:rPr>
      </w:pPr>
      <w:r>
        <w:rPr>
          <w:rFonts w:ascii="Arial" w:cs="Arial" w:eastAsia="Arial" w:hAnsi="Arial"/>
          <w:sz w:val="17"/>
          <w:szCs w:val="17"/>
          <w:color w:val="auto"/>
        </w:rPr>
        <w:t>The income tax benefit for the years ended April 30, 2021 and 2020 consisted of state income tax benefits of zero and $0.9 million in each year from the sale of New Jersey net operating losses and research and development credits. Note that the 2021 benefit was received in FY2022.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Rate Reconciliation</w:t>
      </w:r>
    </w:p>
    <w:p>
      <w:pPr>
        <w:spacing w:after="0" w:line="225"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The effective income tax rate differed from the percentages computed by applying the U.S. federal income tax rate for the periods ended April 30, 2021 and 2020 to loss before income taxes as a result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April 30, 2021</w:t>
            </w:r>
          </w:p>
        </w:tc>
        <w:tc>
          <w:tcPr>
            <w:tcW w:w="18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April 30, 2020</w:t>
            </w:r>
          </w:p>
        </w:tc>
      </w:tr>
      <w:tr>
        <w:trPr>
          <w:trHeight w:val="216"/>
        </w:trPr>
        <w:tc>
          <w:tcPr>
            <w:tcW w:w="4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47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Increase(reduction) in income taxes resulting from:</w:t>
            </w:r>
          </w:p>
        </w:tc>
        <w:tc>
          <w:tcPr>
            <w:tcW w:w="2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(benefit)</w:t>
            </w:r>
          </w:p>
        </w:tc>
        <w:tc>
          <w:tcPr>
            <w:tcW w:w="47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6.8%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Federal research and development tax credits</w:t>
            </w:r>
          </w:p>
        </w:tc>
        <w:tc>
          <w:tcPr>
            <w:tcW w:w="4780" w:type="dxa"/>
            <w:vAlign w:val="bottom"/>
            <w:gridSpan w:val="3"/>
          </w:tcPr>
          <w:p>
            <w:pPr>
              <w:jc w:val="right"/>
              <w:ind w:right="130"/>
              <w:spacing w:after="0"/>
              <w:rPr>
                <w:sz w:val="20"/>
                <w:szCs w:val="20"/>
                <w:color w:val="auto"/>
              </w:rPr>
            </w:pPr>
            <w:r>
              <w:rPr>
                <w:rFonts w:ascii="Arial" w:cs="Arial" w:eastAsia="Arial" w:hAnsi="Arial"/>
                <w:sz w:val="18"/>
                <w:szCs w:val="18"/>
                <w:color w:val="auto"/>
              </w:rPr>
              <w:t>(0.7)%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rate differential</w:t>
            </w:r>
          </w:p>
        </w:tc>
        <w:tc>
          <w:tcPr>
            <w:tcW w:w="47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Other non-deductible expenses</w:t>
            </w:r>
          </w:p>
        </w:tc>
        <w:tc>
          <w:tcPr>
            <w:tcW w:w="4780" w:type="dxa"/>
            <w:vAlign w:val="bottom"/>
            <w:gridSpan w:val="3"/>
          </w:tcPr>
          <w:p>
            <w:pPr>
              <w:jc w:val="right"/>
              <w:ind w:right="130"/>
              <w:spacing w:after="0"/>
              <w:rPr>
                <w:sz w:val="20"/>
                <w:szCs w:val="20"/>
                <w:color w:val="auto"/>
              </w:rPr>
            </w:pPr>
            <w:r>
              <w:rPr>
                <w:rFonts w:ascii="Arial" w:cs="Arial" w:eastAsia="Arial" w:hAnsi="Arial"/>
                <w:sz w:val="18"/>
                <w:szCs w:val="18"/>
                <w:color w:val="auto"/>
              </w:rPr>
              <w:t>(0.6)%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of sale of New Jersey tax (benefits)</w:t>
            </w:r>
          </w:p>
        </w:tc>
        <w:tc>
          <w:tcPr>
            <w:tcW w:w="47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Other</w:t>
            </w:r>
          </w:p>
        </w:tc>
        <w:tc>
          <w:tcPr>
            <w:tcW w:w="4780" w:type="dxa"/>
            <w:vAlign w:val="bottom"/>
            <w:gridSpan w:val="3"/>
          </w:tcPr>
          <w:p>
            <w:pPr>
              <w:jc w:val="right"/>
              <w:ind w:right="190"/>
              <w:spacing w:after="0"/>
              <w:rPr>
                <w:sz w:val="20"/>
                <w:szCs w:val="20"/>
                <w:color w:val="auto"/>
              </w:rPr>
            </w:pPr>
            <w:r>
              <w:rPr>
                <w:rFonts w:ascii="Arial" w:cs="Arial" w:eastAsia="Arial" w:hAnsi="Arial"/>
                <w:sz w:val="18"/>
                <w:szCs w:val="18"/>
                <w:color w:val="auto"/>
              </w:rPr>
              <w:t>2.3%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valuation allowance</w:t>
            </w:r>
          </w:p>
        </w:tc>
        <w:tc>
          <w:tcPr>
            <w:tcW w:w="47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14.5%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7"/>
        </w:trPr>
        <w:tc>
          <w:tcPr>
            <w:tcW w:w="45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2700" w:type="dxa"/>
            <w:vAlign w:val="bottom"/>
            <w:tcBorders>
              <w:top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2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4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0"/>
        </w:trPr>
        <w:tc>
          <w:tcPr>
            <w:tcW w:w="4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3"/>
          </w:tcPr>
          <w:p>
            <w:pPr>
              <w:jc w:val="right"/>
              <w:ind w:right="3470"/>
              <w:spacing w:after="0"/>
              <w:rPr>
                <w:sz w:val="20"/>
                <w:szCs w:val="20"/>
                <w:color w:val="auto"/>
              </w:rPr>
            </w:pPr>
            <w:r>
              <w:rPr>
                <w:rFonts w:ascii="Arial" w:cs="Arial" w:eastAsia="Arial" w:hAnsi="Arial"/>
                <w:sz w:val="18"/>
                <w:szCs w:val="18"/>
                <w:color w:val="auto"/>
              </w:rPr>
              <w:t>F-24</w:t>
            </w: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Significant Components of Deferred Taxes</w:t>
      </w:r>
    </w:p>
    <w:p>
      <w:pPr>
        <w:spacing w:after="0" w:line="225"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The tax effects of temporary differences and carry forwards that give rise to the Company’s deferred tax assets and deferred tax liabilities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9"/>
              </w:rPr>
              <w:t>April 30, 2021</w:t>
            </w:r>
          </w:p>
        </w:tc>
        <w:tc>
          <w:tcPr>
            <w:tcW w:w="20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April 30, 2020</w:t>
            </w:r>
          </w:p>
        </w:tc>
      </w:tr>
      <w:tr>
        <w:trPr>
          <w:trHeight w:val="230"/>
        </w:trPr>
        <w:tc>
          <w:tcPr>
            <w:tcW w:w="5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r>
      <w:tr>
        <w:trPr>
          <w:trHeight w:val="202"/>
        </w:trPr>
        <w:tc>
          <w:tcPr>
            <w:tcW w:w="5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Federal net operating loss carryforwards</w:t>
            </w:r>
          </w:p>
        </w:tc>
        <w:tc>
          <w:tcPr>
            <w:tcW w:w="26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36,340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33,740</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net operating loss carryforwards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w:t>
            </w: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State operating loss carryforwards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Federal and New Jersey research and development tax credits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5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 before valuation allowance</w:t>
            </w:r>
          </w:p>
        </w:tc>
        <w:tc>
          <w:tcPr>
            <w:tcW w:w="2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(45,091)</w:t>
            </w:r>
          </w:p>
        </w:tc>
        <w:tc>
          <w:tcPr>
            <w:tcW w:w="2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(42,431)</w:t>
            </w:r>
          </w:p>
        </w:tc>
      </w:tr>
      <w:tr>
        <w:trPr>
          <w:trHeight w:val="216"/>
        </w:trPr>
        <w:tc>
          <w:tcPr>
            <w:tcW w:w="5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r>
      <w:tr>
        <w:trPr>
          <w:trHeight w:val="229"/>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0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1767"/>
              <w:spacing w:after="0"/>
              <w:rPr>
                <w:sz w:val="20"/>
                <w:szCs w:val="20"/>
                <w:color w:val="auto"/>
              </w:rPr>
            </w:pPr>
            <w:r>
              <w:rPr>
                <w:rFonts w:ascii="Arial" w:cs="Arial" w:eastAsia="Arial" w:hAnsi="Arial"/>
                <w:sz w:val="18"/>
                <w:szCs w:val="18"/>
                <w:color w:val="auto"/>
              </w:rPr>
              <w:t>F-25</w:t>
            </w: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73" w:name="page74"/>
    <w:bookmarkEnd w:id="73"/>
    <w:p>
      <w:pPr>
        <w:jc w:val="both"/>
        <w:ind w:firstLine="495"/>
        <w:spacing w:after="0" w:line="296"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 forwards become deductible or are utilized. As of April 30, 2021 and 2020, based upon the level of historical taxable losses, valuation allowances of $45.1 million and $42.4 million, respectively, were recorded to fully offset deferred tax assets. The valuation allowance increased $2.7 million during the year ended April 30, 2021 and decreased $0.7 million during the year ended 2020 respectively.</w:t>
      </w:r>
    </w:p>
    <w:p>
      <w:pPr>
        <w:spacing w:after="0" w:line="161"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As of April 30, 2021, the Company had net operating loss carry forwards for federal income tax purposes of approximately $173.0 million, which begin to expire in fiscal 2022; $36.6 million of the federal carryforward has no expiration, but the deductibility of such federal net operating losses may be limited to 80% of our taxable income in future years. The Company also had federal research and development tax credit carry forwards of approximately $3.2 million as of April 30, 2021, which begins to expire in 2022. The Tax Reform Act of 1986 contains provisions that limit the utilization of net operating loss and tax credit carry forwards if there has been an ownership change, as defined. The Company has determined that as a result of multiple ownership changes, as described in Section 382 of the Internal Revenue Code, its ability to utilize these NOL’s and research and development tax credit have been significantly limited.</w:t>
      </w:r>
    </w:p>
    <w:p>
      <w:pPr>
        <w:spacing w:after="0" w:line="195"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In addition, as of April 30, 2021, the Company had state net operating loss carry forwards of approximately $21.3 million which begin to expire in 2039, which also may be limited to utilization limitations. Further, as of April 30, 2021, the Company had foreign net operating loss carry forwards of approximately $18.9 million. The ability to utilize these carry forwards may also be limited due to ownership changes.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Net Operating Loss Transfer Program</w:t>
      </w:r>
    </w:p>
    <w:p>
      <w:pPr>
        <w:spacing w:after="0" w:line="225"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During the years ended April 30, 2021 and 2020, the Company sold New Jersey State net operating losses and research and development credits (“NJ NOL”) in the amount of $12.0 million and $10.0 million, respectively, resulting in the recognition of income tax benefits of $1.0 million and $0.9 million, The proceeds of $0.9 million for fiscal year 2020 were recorded in the Company’s Statement of Operations. The sale of the fiscal year 2021 NJ NOL was not completed until May, 2021. The Company received proceeds of $1.0 million for fiscal year 2021 in May, 2021 and recorded the amount to the Company’s Statement of Operations in fiscal year 2022. New Jersey-based technology or biotechnology companies with fewer than 225 US employees may be eligible to sell net operating losses and research and development tax credits to unaffiliated corporations, up to a maximum lifetime benefit of $20 million per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2011 to 2014, when the Company’s Spanish branch was closed (see Note 17 to the Consolidated Financial Statements). At April 30, 2021 and 2020, the Company had no other unrecognized tax positions. The Company does not expect any material increase or decrease in its income tax expense in the next twelve months, related to examinations or uncertain tax positions. The Company is currently going through a state income tax audit for fiscal years 2015 to 2020.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have any interest or penalties accrued related to uncertain tax positions as it does not have any unrecognized tax benefits.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ind w:left="40" w:right="100"/>
        <w:spacing w:after="0" w:line="286"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On August 28, 2018, counsel for Mr. Dunleavy filed a demand for arbitration, captioned Charles F. Dunleavy v. Ocean Power Technologies, Inc., Case No. 01-18-0003-2374, before the American Arbitration Association in New Jersey. The demand named Ocean Power Technologies, Inc. as the respondent and alleged various claims and sought declaratory relief and permanent injunction. The demand sought damages in the amount of $5.0 million for compensatory and punitive damages, plus interest and attorneys’ fees as well as certain equitable relief. On November 8, 2018, the Company through counsel responded to the demand for arbitration, denied all allegations, and asserted various affirmative defenses. The final day of hearing occurred in Princeton, New Jersey on July 15, 2020. Post-hearing briefs were filed on September 22, 2020. Following those filings, the panel issued two interim awards finding, among other things, that the termination for cause of Mr. Dunleavy was in breach of his employment contract and awarding him compensatory damages in the amount of $438,255. The panel denied Mr. Dunleavy’s claims for defamation and injunctive and declaratory relief. The panel also awarded Mr. Dunleavy attorneys’ fees, costs and pre-judgment interest. The Company agreed, on May 24, 2021, to pay Mr. Dunleavy $1,223,963, representing the total compensatory damages, attorneys’ fees, costs and pre-judgment interest, which is the full amount awarded by the panel. This was paid in full on May 26, 2021 and the matter is now closed. This amount has been accrued in the April 30, 2021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The Company underwent an income tax audit in Spain for the period from 2011 to 2014, when our Spanish branch was closed. In connection with the tax audit, the Spanish tax inspector challenged the Company’s recognition of grant funds received in 2011 to 2014 from the European Commission in connection with the Company’s Waveport project. On July 30, 2018, the inspector concluded that although there was no tax owed in light of losses reported, the Company’s Spanish branch owed penalties for failure to properly account for the income associated with the funding grant. On August 30, 2018, the Company filed an administrative appeal of the penalty and its underlying conclusions. During the three months ended July 31, 2020, the Company received notice from the Spanish Central Economic and Administrative Tribunal that it agreed with the inspector and ruled that the Company owes the full amount of the penalty in the amount of €279,870 or approximately $331,000. In the quarter ended October 31, 2020, the Company recorded an additional reserve of €117,146 (or approximately $154,000) to Selling, general and administrative costs in the Statement of Operations making the total reserve €279,870, which amount was paid by the Company to the Spanish Tax Administration on January 25, 2021. As of April 30, 2021, and 2020, the Company has reserved zero and €162,724 (or approximately $177,000), respectively. The penalty was recorded in Accrued expenses in the Consolidated Balance Sheets. The Company has appealed the decision of the Tribunal tax assessment to the Spanish National Court.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Acquisition of 3dent Technologies, LLC</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February 1, 2021, the Company acquired all of the outstanding equity interest of 3Dent, a Houston, Texas based company that offers offshore energy engineering and design services that are complementary to OPT’s technology and products. In consideration for the purchase, the Company issued 361,991 shares of its common stock to the seller, subject to a 12-month post acquisition employment. In addition, the former owners of 3Dent will be eligible for awards of performance stock with a potential value of $360,000 if certain revenue targets are achieved over the next 12 months.</w:t>
      </w:r>
    </w:p>
    <w:p>
      <w:pPr>
        <w:spacing w:after="0" w:line="1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The Company accounted for the transaction as a business combination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Accordingly, the assets and liabilities acquired were recorded at their estimated fair value on the date of acquisition. Under ASC 805, acquisition-related transaction costs (such as advisory, legal, valuation, other professional fees) were expensed in the Consolidated Statement of Operations in the period incurred. The Company recognized $152,000 of acquisition-related costs and these costs are included in the Consolidated Statement of Operations in Selling, general and administrative expenses.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common stock issued by the Company in connection with the 3Dent acquisition was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base purchase price</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60" w:type="dxa"/>
            <w:vAlign w:val="bottom"/>
            <w:shd w:val="clear" w:color="auto" w:fill="CCEEFF"/>
          </w:tcPr>
          <w:p>
            <w:pPr>
              <w:spacing w:after="0"/>
              <w:rPr>
                <w:sz w:val="18"/>
                <w:szCs w:val="18"/>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Less discount for lack of marketability</w:t>
            </w: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r>
      <w:tr>
        <w:trPr>
          <w:trHeight w:val="22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fair value</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adjusted fair value of $1.2M represents the fair value of the shares issued to the sellers adjusted for the lack of marketability since the shares are restricted for one year from the date of acquisition. The Company has a right of return of the shares if any one of the sellers terminates his employment with the Company (other than for Good Reason) or has his employment terminated by the Company (for Cause), in each case prior to the one-year anniversary of the date of the agreement. In such case, the applicable seller will automatically surrender to the Company and forfeit all ownership of his shares. As such, the adjusted fair value of the common stock to the extent of the estimated fair value of the identifiable tangible and intangible net assets acquired has been reflected as the acquisition price and the remainder will be recognized as compensation expense over the course of the one year period of this contract.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tbl>
      <w:tblPr>
        <w:tblLayout w:type="fixed"/>
        <w:tblInd w:w="50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w w:val="96"/>
              </w:rPr>
              <w:t>The following table summarizes the fair value of the net assets acquired (in thousands):</w:t>
            </w: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98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Right of use asset</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Identifiable intangibles</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Lease liability</w:t>
            </w: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19"/>
                <w:szCs w:val="19"/>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assets acquired, excluding goodwill</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acquisition date fair values of identifiable intangible assets acquired are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7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r>
      <w:tr>
        <w:trPr>
          <w:trHeight w:val="237"/>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bottom w:val="single" w:sz="8" w:color="CCEEFF"/>
            </w:tcBorders>
          </w:tcPr>
          <w:p>
            <w:pPr>
              <w:spacing w:after="0"/>
              <w:rPr>
                <w:sz w:val="20"/>
                <w:szCs w:val="20"/>
                <w:color w:val="auto"/>
              </w:rPr>
            </w:pPr>
          </w:p>
        </w:tc>
      </w:tr>
      <w:tr>
        <w:trPr>
          <w:trHeight w:val="229"/>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identifiable intangibles assets</w:t>
            </w:r>
          </w:p>
        </w:tc>
        <w:tc>
          <w:tcPr>
            <w:tcW w:w="1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fair value of the acquired identified intangibles assets were calculated with the assistance of an independent third-party valuation firm and were determined through a variety of valuation techniques. The identifiable intangibles consist of 3Dent trade name and customer relationships. The intangible assets are being amortized using the straight-line method over the estimated useful lives of the assets. The trade name and customer relationship intangible are being amortized over 12 years and 10 years respectively, which is consistent with the pattern of economic benefit of the assets.</w:t>
      </w:r>
    </w:p>
    <w:p>
      <w:pPr>
        <w:spacing w:after="0" w:line="1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amounts of revenue and net loss of 3Dent included in the Company’s Consolidated Statement of Operations from the date of acquisition to April 30, 2021 were as follows (in thousands):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Net loss</w:t>
            </w:r>
          </w:p>
        </w:tc>
        <w:tc>
          <w:tcPr>
            <w:tcW w:w="29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w:t>
            </w: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loss includes $231,201 equity compensation expense related to the performance stock issued to the sellers as part of the acquisition.</w:t>
      </w:r>
    </w:p>
    <w:p>
      <w:pPr>
        <w:spacing w:after="0" w:line="237" w:lineRule="exact"/>
        <w:rPr>
          <w:sz w:val="20"/>
          <w:szCs w:val="20"/>
          <w:color w:val="auto"/>
        </w:rPr>
      </w:pPr>
    </w:p>
    <w:p>
      <w:pPr>
        <w:jc w:val="both"/>
        <w:ind w:left="40" w:right="100" w:firstLine="450"/>
        <w:spacing w:after="0" w:line="275"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3Dent as if the companies had been combined as of May 1, 2019. These amounts have been calculated after applying the Company’s accounting policies and adjusting the results of 3Dent to reflect the additional amortization that would have been charged assuming the fair value adjustments to intangible assets had been applied on May 1, 2019. The following unaudited pro forma financial information is for informational purposes only and is not necessarily indicative of the results of operations that would have been achieved as if the acquisition had taken place as of May 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Twelve months ended April 30,</w:t>
            </w: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2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(14,915)</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(10,406)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9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560" w:type="dxa"/>
            <w:vAlign w:val="bottom"/>
          </w:tcPr>
          <w:p>
            <w:pPr>
              <w:spacing w:after="0"/>
              <w:rPr>
                <w:sz w:val="18"/>
                <w:szCs w:val="18"/>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2"/>
          </w:tcPr>
          <w:p>
            <w:pPr>
              <w:jc w:val="right"/>
              <w:ind w:right="2310"/>
              <w:spacing w:after="0"/>
              <w:rPr>
                <w:sz w:val="20"/>
                <w:szCs w:val="20"/>
                <w:color w:val="auto"/>
              </w:rPr>
            </w:pPr>
            <w:r>
              <w:rPr>
                <w:rFonts w:ascii="Arial" w:cs="Arial" w:eastAsia="Arial" w:hAnsi="Arial"/>
                <w:sz w:val="18"/>
                <w:szCs w:val="18"/>
                <w:color w:val="auto"/>
              </w:rPr>
              <w:t>F-28</w:t>
            </w: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(18) Operating Segments and Geographic Information</w:t>
      </w:r>
    </w:p>
    <w:p>
      <w:pPr>
        <w:spacing w:after="0" w:line="229"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Geographic information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Year Ended April 30, 2021</w:t>
            </w:r>
          </w:p>
        </w:tc>
        <w:tc>
          <w:tcPr>
            <w:tcW w:w="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3"/>
              </w:rPr>
              <w:t>America</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Europe</w:t>
            </w:r>
          </w:p>
        </w:tc>
        <w:tc>
          <w:tcPr>
            <w:tcW w:w="13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Australia</w:t>
            </w:r>
          </w:p>
        </w:tc>
        <w:tc>
          <w:tcPr>
            <w:tcW w:w="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30"/>
        </w:trPr>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4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(13,211)</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(359)</w:t>
            </w:r>
          </w:p>
        </w:tc>
        <w:tc>
          <w:tcPr>
            <w:tcW w:w="1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(13,592)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86,085</w:t>
            </w:r>
          </w:p>
        </w:tc>
        <w:tc>
          <w:tcPr>
            <w:tcW w:w="44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36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86,377</w:t>
            </w:r>
          </w:p>
        </w:tc>
      </w:tr>
      <w:tr>
        <w:trPr>
          <w:trHeight w:val="438"/>
        </w:trPr>
        <w:tc>
          <w:tcPr>
            <w:tcW w:w="3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Year Ended April 30, 2020</w:t>
            </w: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350"/>
              <w:spacing w:after="0"/>
              <w:rPr>
                <w:sz w:val="20"/>
                <w:szCs w:val="20"/>
                <w:color w:val="auto"/>
              </w:rPr>
            </w:pPr>
            <w:r>
              <w:rPr>
                <w:rFonts w:ascii="Arial" w:cs="Arial" w:eastAsia="Arial" w:hAnsi="Arial"/>
                <w:sz w:val="18"/>
                <w:szCs w:val="18"/>
                <w:color w:val="auto"/>
                <w:w w:val="95"/>
              </w:rPr>
              <w:t>North</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ind w:left="580"/>
              <w:spacing w:after="0"/>
              <w:rPr>
                <w:sz w:val="20"/>
                <w:szCs w:val="20"/>
                <w:color w:val="auto"/>
              </w:rPr>
            </w:pPr>
            <w:r>
              <w:rPr>
                <w:rFonts w:ascii="Arial" w:cs="Arial" w:eastAsia="Arial" w:hAnsi="Arial"/>
                <w:sz w:val="18"/>
                <w:szCs w:val="18"/>
                <w:color w:val="auto"/>
              </w:rPr>
              <w:t>Asia and</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center"/>
              <w:ind w:right="350"/>
              <w:spacing w:after="0"/>
              <w:rPr>
                <w:sz w:val="20"/>
                <w:szCs w:val="20"/>
                <w:color w:val="auto"/>
              </w:rPr>
            </w:pPr>
            <w:r>
              <w:rPr>
                <w:rFonts w:ascii="Arial" w:cs="Arial" w:eastAsia="Arial" w:hAnsi="Arial"/>
                <w:sz w:val="18"/>
                <w:szCs w:val="18"/>
                <w:color w:val="auto"/>
                <w:w w:val="93"/>
              </w:rPr>
              <w:t>America</w:t>
            </w:r>
          </w:p>
        </w:tc>
        <w:tc>
          <w:tcPr>
            <w:tcW w:w="44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Europe</w:t>
            </w:r>
          </w:p>
        </w:tc>
        <w:tc>
          <w:tcPr>
            <w:tcW w:w="1360" w:type="dxa"/>
            <w:vAlign w:val="bottom"/>
          </w:tcPr>
          <w:p>
            <w:pPr>
              <w:ind w:left="580"/>
              <w:spacing w:after="0"/>
              <w:rPr>
                <w:sz w:val="20"/>
                <w:szCs w:val="20"/>
                <w:color w:val="auto"/>
              </w:rPr>
            </w:pPr>
            <w:r>
              <w:rPr>
                <w:rFonts w:ascii="Arial" w:cs="Arial" w:eastAsia="Arial" w:hAnsi="Arial"/>
                <w:sz w:val="18"/>
                <w:szCs w:val="18"/>
                <w:color w:val="auto"/>
              </w:rPr>
              <w:t>Australia</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Total</w:t>
            </w:r>
          </w:p>
        </w:tc>
      </w:tr>
      <w:tr>
        <w:trPr>
          <w:trHeight w:val="230"/>
        </w:trPr>
        <w:tc>
          <w:tcPr>
            <w:tcW w:w="3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5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(11,110)</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(234)</w:t>
            </w:r>
          </w:p>
        </w:tc>
        <w:tc>
          <w:tcPr>
            <w:tcW w:w="1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(11,365)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13,251</w:t>
            </w:r>
          </w:p>
        </w:tc>
        <w:tc>
          <w:tcPr>
            <w:tcW w:w="44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136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251</w:t>
            </w:r>
          </w:p>
        </w:tc>
        <w:tc>
          <w:tcPr>
            <w:tcW w:w="4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13,538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June 18, 2021, the Board of Directors appointed Philipp Stratmann as its new President and Chief Executive Officer (CEO), and a Director. Mr.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Stratmann previously served as OPT’s Vice President of Global Business Development since 2019. In addition, the Board of Directors elevated Matthew 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Shafer’s role, to Senior Vice President, Chief Financial Officer and Treasurer. Lastly, George H. Kirby, former President and CEO departed the Company.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$0.001 per share, and 5,000,000 shares of preferred stock, par value $0.001 per share, all of which are undesignated.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12"/>
        <w:spacing w:after="0" w:line="263"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Holders of common stock are entitled to one vote for each share held on all matters submitted to a vote of stockholders and do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voting rights. Accordingly, holders of a majority of the shares of common stock entitled to vote in any election of directors may elect all of the directors standing for election.</w:t>
      </w:r>
    </w:p>
    <w:p>
      <w:pPr>
        <w:spacing w:after="0" w:line="184" w:lineRule="exact"/>
        <w:rPr>
          <w:sz w:val="20"/>
          <w:szCs w:val="20"/>
          <w:color w:val="auto"/>
        </w:rPr>
      </w:pPr>
    </w:p>
    <w:p>
      <w:pPr>
        <w:jc w:val="both"/>
        <w:ind w:right="20" w:firstLine="612"/>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proportionately any dividends that may be declared by our Board,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preferential dividend rights of outstanding preferred stock.</w:t>
      </w:r>
    </w:p>
    <w:p>
      <w:pPr>
        <w:spacing w:after="0" w:line="170" w:lineRule="exact"/>
        <w:rPr>
          <w:sz w:val="20"/>
          <w:szCs w:val="20"/>
          <w:color w:val="auto"/>
        </w:rPr>
      </w:pPr>
    </w:p>
    <w:p>
      <w:pPr>
        <w:jc w:val="both"/>
        <w:ind w:firstLine="612"/>
        <w:spacing w:after="0" w:line="255" w:lineRule="auto"/>
        <w:rPr>
          <w:sz w:val="20"/>
          <w:szCs w:val="20"/>
          <w:color w:val="auto"/>
        </w:rPr>
      </w:pPr>
      <w:r>
        <w:rPr>
          <w:rFonts w:ascii="Arial" w:cs="Arial" w:eastAsia="Arial" w:hAnsi="Arial"/>
          <w:sz w:val="18"/>
          <w:szCs w:val="18"/>
          <w:i w:val="1"/>
          <w:iCs w:val="1"/>
          <w:color w:val="auto"/>
        </w:rPr>
        <w:t>Liquidation and Distribution</w:t>
      </w:r>
      <w:r>
        <w:rPr>
          <w:rFonts w:ascii="Arial" w:cs="Arial" w:eastAsia="Arial" w:hAnsi="Arial"/>
          <w:sz w:val="18"/>
          <w:szCs w:val="18"/>
          <w:color w:val="auto"/>
        </w:rPr>
        <w:t>. Upon our liquidation, dissolution or winding up, the holders of common stock are entitled to receive proportionately</w:t>
      </w:r>
      <w:r>
        <w:rPr>
          <w:rFonts w:ascii="Arial" w:cs="Arial" w:eastAsia="Arial" w:hAnsi="Arial"/>
          <w:sz w:val="18"/>
          <w:szCs w:val="18"/>
          <w:i w:val="1"/>
          <w:iCs w:val="1"/>
          <w:color w:val="auto"/>
        </w:rPr>
        <w:t xml:space="preserve"> </w:t>
      </w:r>
      <w:r>
        <w:rPr>
          <w:rFonts w:ascii="Arial" w:cs="Arial" w:eastAsia="Arial" w:hAnsi="Arial"/>
          <w:sz w:val="18"/>
          <w:szCs w:val="18"/>
          <w:color w:val="auto"/>
        </w:rPr>
        <w:t>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Our Certificate of Incorporation and Our Bylaws</w:t>
      </w:r>
    </w:p>
    <w:p>
      <w:pPr>
        <w:spacing w:after="0" w:line="229" w:lineRule="exact"/>
        <w:rPr>
          <w:sz w:val="20"/>
          <w:szCs w:val="20"/>
          <w:color w:val="auto"/>
        </w:rPr>
      </w:pPr>
    </w:p>
    <w:p>
      <w:pPr>
        <w:jc w:val="both"/>
        <w:ind w:firstLine="612"/>
        <w:spacing w:after="0" w:line="311" w:lineRule="auto"/>
        <w:rPr>
          <w:sz w:val="20"/>
          <w:szCs w:val="20"/>
          <w:color w:val="auto"/>
        </w:rPr>
      </w:pPr>
      <w:r>
        <w:rPr>
          <w:rFonts w:ascii="Arial" w:cs="Arial" w:eastAsia="Arial" w:hAnsi="Arial"/>
          <w:sz w:val="16"/>
          <w:szCs w:val="16"/>
          <w:color w:val="auto"/>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229" w:lineRule="exact"/>
        <w:rPr>
          <w:sz w:val="20"/>
          <w:szCs w:val="20"/>
          <w:color w:val="auto"/>
        </w:rPr>
      </w:pPr>
    </w:p>
    <w:p>
      <w:pPr>
        <w:jc w:val="both"/>
        <w:ind w:firstLine="612"/>
        <w:spacing w:after="0" w:line="287" w:lineRule="auto"/>
        <w:rPr>
          <w:sz w:val="20"/>
          <w:szCs w:val="20"/>
          <w:color w:val="auto"/>
        </w:rPr>
      </w:pPr>
      <w:r>
        <w:rPr>
          <w:rFonts w:ascii="Arial" w:cs="Arial" w:eastAsia="Arial" w:hAnsi="Arial"/>
          <w:sz w:val="16"/>
          <w:szCs w:val="16"/>
          <w:color w:val="auto"/>
        </w:rPr>
        <w:t>Our certificate of incorporation currently provides that directors may be removed only for cause and only by the affirmative vote of the holders of 75% of our shares of capital stock present in person or by proxy and entitled to vote. However, our Board of Directors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spacing w:after="0" w:line="172" w:lineRule="exact"/>
        <w:rPr>
          <w:sz w:val="20"/>
          <w:szCs w:val="20"/>
          <w:color w:val="auto"/>
        </w:rPr>
      </w:pPr>
    </w:p>
    <w:p>
      <w:pPr>
        <w:jc w:val="both"/>
        <w:ind w:firstLine="612"/>
        <w:spacing w:after="0" w:line="255" w:lineRule="auto"/>
        <w:rPr>
          <w:sz w:val="20"/>
          <w:szCs w:val="20"/>
          <w:color w:val="auto"/>
        </w:rPr>
      </w:pPr>
      <w:r>
        <w:rPr>
          <w:rFonts w:ascii="Arial" w:cs="Arial" w:eastAsia="Arial" w:hAnsi="Arial"/>
          <w:sz w:val="18"/>
          <w:szCs w:val="18"/>
          <w:color w:val="auto"/>
        </w:rPr>
        <w:t>Our Board of Directors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the Board, including a vacancy resulting from an enlargement of the Board, may be filled only by vote of a majority of our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612"/>
        <w:spacing w:after="0" w:line="277" w:lineRule="auto"/>
        <w:rPr>
          <w:sz w:val="20"/>
          <w:szCs w:val="20"/>
          <w:color w:val="auto"/>
        </w:rPr>
      </w:pPr>
      <w:r>
        <w:rPr>
          <w:rFonts w:ascii="Arial" w:cs="Arial" w:eastAsia="Arial" w:hAnsi="Arial"/>
          <w:sz w:val="18"/>
          <w:szCs w:val="18"/>
          <w:color w:val="auto"/>
        </w:rPr>
        <w:t>The limitations on the ability of our stockholders to remove directors and fill vacancies could make it more difficult for a third party to acquire, or discourage a third party from seeking to acquire, control of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 Special Meetings</w:t>
      </w:r>
    </w:p>
    <w:p>
      <w:pPr>
        <w:spacing w:after="0" w:line="229" w:lineRule="exact"/>
        <w:rPr>
          <w:sz w:val="20"/>
          <w:szCs w:val="20"/>
          <w:color w:val="auto"/>
        </w:rPr>
      </w:pPr>
    </w:p>
    <w:p>
      <w:pPr>
        <w:jc w:val="both"/>
        <w:ind w:firstLine="612"/>
        <w:spacing w:after="0" w:line="259" w:lineRule="auto"/>
        <w:rPr>
          <w:sz w:val="20"/>
          <w:szCs w:val="20"/>
          <w:color w:val="auto"/>
        </w:rPr>
      </w:pPr>
      <w:r>
        <w:rPr>
          <w:rFonts w:ascii="Arial" w:cs="Arial" w:eastAsia="Arial" w:hAnsi="Arial"/>
          <w:sz w:val="18"/>
          <w:szCs w:val="18"/>
          <w:color w:val="auto"/>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the board, our chief executive officer, our president or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Requirements for Stockholder Proposals</w:t>
      </w:r>
    </w:p>
    <w:p>
      <w:pPr>
        <w:spacing w:after="0" w:line="229" w:lineRule="exact"/>
        <w:rPr>
          <w:sz w:val="20"/>
          <w:szCs w:val="20"/>
          <w:color w:val="auto"/>
        </w:rPr>
      </w:pPr>
    </w:p>
    <w:p>
      <w:pPr>
        <w:jc w:val="both"/>
        <w:ind w:firstLine="612"/>
        <w:spacing w:after="0" w:line="273" w:lineRule="auto"/>
        <w:rPr>
          <w:sz w:val="20"/>
          <w:szCs w:val="20"/>
          <w:color w:val="auto"/>
        </w:rPr>
      </w:pPr>
      <w:r>
        <w:rPr>
          <w:rFonts w:ascii="Arial" w:cs="Arial" w:eastAsia="Arial" w:hAnsi="Arial"/>
          <w:sz w:val="17"/>
          <w:szCs w:val="17"/>
          <w:color w:val="auto"/>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229" w:lineRule="exact"/>
        <w:rPr>
          <w:sz w:val="20"/>
          <w:szCs w:val="20"/>
          <w:color w:val="auto"/>
        </w:rPr>
      </w:pPr>
    </w:p>
    <w:p>
      <w:pPr>
        <w:jc w:val="both"/>
        <w:ind w:firstLine="612"/>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Certificate of Incorporation and Bylaws</w:t>
      </w:r>
    </w:p>
    <w:p>
      <w:pPr>
        <w:spacing w:after="0" w:line="229" w:lineRule="exact"/>
        <w:rPr>
          <w:sz w:val="20"/>
          <w:szCs w:val="20"/>
          <w:color w:val="auto"/>
        </w:rPr>
      </w:pPr>
    </w:p>
    <w:p>
      <w:pPr>
        <w:jc w:val="both"/>
        <w:ind w:firstLine="612"/>
        <w:spacing w:after="0" w:line="279" w:lineRule="auto"/>
        <w:rPr>
          <w:sz w:val="20"/>
          <w:szCs w:val="20"/>
          <w:color w:val="auto"/>
        </w:rPr>
      </w:pPr>
      <w:r>
        <w:rPr>
          <w:rFonts w:ascii="Arial" w:cs="Arial" w:eastAsia="Arial" w:hAnsi="Arial"/>
          <w:sz w:val="17"/>
          <w:szCs w:val="17"/>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voting power of our capital stock issued and outstanding and entitled to vote on the matter.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firstLine="612"/>
        <w:spacing w:after="0" w:line="259" w:lineRule="auto"/>
        <w:rPr>
          <w:sz w:val="20"/>
          <w:szCs w:val="20"/>
          <w:color w:val="auto"/>
        </w:rPr>
      </w:pPr>
      <w:r>
        <w:rPr>
          <w:rFonts w:ascii="Arial" w:cs="Arial" w:eastAsia="Arial" w:hAnsi="Arial"/>
          <w:sz w:val="18"/>
          <w:szCs w:val="18"/>
          <w:color w:val="auto"/>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voting or assenting to unlawful payments of dividends or other distributions;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1" w:lineRule="exact"/>
        <w:rPr>
          <w:sz w:val="20"/>
          <w:szCs w:val="20"/>
          <w:color w:val="auto"/>
        </w:rPr>
      </w:pPr>
    </w:p>
    <w:p>
      <w:pPr>
        <w:jc w:val="both"/>
        <w:ind w:firstLine="612"/>
        <w:spacing w:after="0" w:line="279" w:lineRule="auto"/>
        <w:rPr>
          <w:sz w:val="20"/>
          <w:szCs w:val="20"/>
          <w:color w:val="auto"/>
        </w:rPr>
      </w:pPr>
      <w:r>
        <w:rPr>
          <w:rFonts w:ascii="Arial" w:cs="Arial" w:eastAsia="Arial" w:hAnsi="Arial"/>
          <w:sz w:val="17"/>
          <w:szCs w:val="17"/>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jc w:val="both"/>
        <w:ind w:firstLine="612"/>
        <w:spacing w:after="0" w:line="277" w:lineRule="auto"/>
        <w:rPr>
          <w:sz w:val="20"/>
          <w:szCs w:val="20"/>
          <w:color w:val="auto"/>
        </w:rPr>
      </w:pPr>
      <w:r>
        <w:rPr>
          <w:rFonts w:ascii="Arial" w:cs="Arial" w:eastAsia="Arial" w:hAnsi="Arial"/>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Share Ownership</w:t>
      </w:r>
    </w:p>
    <w:p>
      <w:pPr>
        <w:spacing w:after="0" w:line="229" w:lineRule="exact"/>
        <w:rPr>
          <w:sz w:val="20"/>
          <w:szCs w:val="20"/>
          <w:color w:val="auto"/>
        </w:rPr>
      </w:pPr>
    </w:p>
    <w:p>
      <w:pPr>
        <w:jc w:val="both"/>
        <w:ind w:firstLine="612"/>
        <w:spacing w:after="0" w:line="259" w:lineRule="auto"/>
        <w:rPr>
          <w:sz w:val="20"/>
          <w:szCs w:val="20"/>
          <w:color w:val="auto"/>
        </w:rPr>
      </w:pPr>
      <w:r>
        <w:rPr>
          <w:rFonts w:ascii="Arial" w:cs="Arial" w:eastAsia="Arial" w:hAnsi="Arial"/>
          <w:sz w:val="18"/>
          <w:szCs w:val="18"/>
          <w:color w:val="auto"/>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29" w:lineRule="exact"/>
        <w:rPr>
          <w:sz w:val="20"/>
          <w:szCs w:val="20"/>
          <w:color w:val="auto"/>
        </w:rPr>
      </w:pPr>
    </w:p>
    <w:p>
      <w:pPr>
        <w:jc w:val="both"/>
        <w:ind w:firstLine="612"/>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612"/>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Its address is 462 South 4th Street, Suite 1600, Louisville, KY 40202, and its telephone number is 1-800-662-7232.</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common stock is listed on the NYSE American under the symbol “OPTT.”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ind w:left="2020"/>
              <w:spacing w:after="0"/>
              <w:rPr>
                <w:sz w:val="20"/>
                <w:szCs w:val="20"/>
                <w:color w:val="auto"/>
              </w:rPr>
            </w:pPr>
            <w:r>
              <w:rPr>
                <w:rFonts w:ascii="Arial" w:cs="Arial" w:eastAsia="Arial" w:hAnsi="Arial"/>
                <w:sz w:val="18"/>
                <w:szCs w:val="18"/>
                <w:b w:val="1"/>
                <w:bCs w:val="1"/>
                <w:color w:val="auto"/>
                <w:w w:val="99"/>
              </w:rPr>
              <w:t>EXHIBIT 21.1</w:t>
            </w:r>
          </w:p>
        </w:tc>
      </w:tr>
      <w:tr>
        <w:trPr>
          <w:trHeight w:val="45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18"/>
        </w:trPr>
        <w:tc>
          <w:tcPr>
            <w:tcW w:w="8100" w:type="dxa"/>
            <w:vAlign w:val="bottom"/>
            <w:gridSpan w:val="2"/>
          </w:tcPr>
          <w:p>
            <w:pPr>
              <w:spacing w:after="0"/>
              <w:rPr>
                <w:sz w:val="20"/>
                <w:szCs w:val="20"/>
                <w:color w:val="auto"/>
              </w:rPr>
            </w:pPr>
            <w:r>
              <w:rPr>
                <w:rFonts w:ascii="Arial" w:cs="Arial" w:eastAsia="Arial" w:hAnsi="Arial"/>
                <w:sz w:val="18"/>
                <w:szCs w:val="18"/>
                <w:color w:val="auto"/>
              </w:rPr>
              <w:t>Ocean Power Technologies Ltd</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Ocean Power Technologies (Australasia) Pty Ltd</w:t>
            </w:r>
          </w:p>
        </w:tc>
        <w:tc>
          <w:tcPr>
            <w:tcW w:w="314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Reedsport OPT Wave Park LLC</w:t>
            </w:r>
          </w:p>
        </w:tc>
        <w:tc>
          <w:tcPr>
            <w:tcW w:w="3140" w:type="dxa"/>
            <w:vAlign w:val="bottom"/>
          </w:tcPr>
          <w:p>
            <w:pPr>
              <w:jc w:val="center"/>
              <w:spacing w:after="0"/>
              <w:rPr>
                <w:sz w:val="20"/>
                <w:szCs w:val="20"/>
                <w:color w:val="auto"/>
              </w:rPr>
            </w:pPr>
            <w:r>
              <w:rPr>
                <w:rFonts w:ascii="Arial" w:cs="Arial" w:eastAsia="Arial" w:hAnsi="Arial"/>
                <w:sz w:val="18"/>
                <w:szCs w:val="18"/>
                <w:color w:val="auto"/>
                <w:w w:val="89"/>
              </w:rPr>
              <w:t>Oregon</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Oregon Wave Energy Partners I, LLC</w:t>
            </w:r>
          </w:p>
        </w:tc>
        <w:tc>
          <w:tcPr>
            <w:tcW w:w="31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Victorian Wave Partners Pty Ltd</w:t>
            </w:r>
          </w:p>
        </w:tc>
        <w:tc>
          <w:tcPr>
            <w:tcW w:w="314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3Dent Technology, LLC</w:t>
            </w:r>
          </w:p>
        </w:tc>
        <w:tc>
          <w:tcPr>
            <w:tcW w:w="31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439"/>
        </w:trPr>
        <w:tc>
          <w:tcPr>
            <w:tcW w:w="7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of Ocean Power Technologies, Inc. on Form S-1(No. 333-217209, No. 333-213519, No. 333-226820, No. 333-230199, No. 333-234320, No. 333-235995, No. 333-239130, and No. 333-248911), on Form S-8 (No. 333-208522, No. 333-214316, No. 333-224436 and No. 333-232755) and From S-3 (No. 333-221867 and No. 333-250824) of our report dated July 19, 2021, on our audit of the consolidated financial statements as of April 30, 2021 and for the year then ended, which report is included in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 333-217209, No. 333-213519, No. 333-226820, No. 333-230199, No. 333-234320, No. 333-235995, No. 333-239130, and No. 333-248911) on Form S-1, registration statements (No. 333-208522, No. 333-214316, No. 333-224436 and No. 333-232755) on Form S-8, and the registration statements (No. 333-221867 and No. 333-250824) on Form S-3 of Ocean Power Technologies, Inc. of our report dated June 29, 2020, with respect to the consolidated balance sheet of Ocean Power Technologies, Inc. and subsidiaries as of April 30, 2020, and the related consolidated statements of operations, comprehensive loss, stockholders’ equity, and cash flows for the year then ended, and the related notes, which report appears in the April 30, 2021 annual report on Form 10-K of Ocean Power Technologies,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Philipp Stratmann, certify that:</w:t>
      </w:r>
    </w:p>
    <w:p>
      <w:pPr>
        <w:spacing w:after="0" w:line="225"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260" w:hanging="252"/>
        <w:spacing w:after="0" w:line="342" w:lineRule="auto"/>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260" w:hanging="252"/>
        <w:spacing w:after="0" w:line="263"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260" w:hanging="252"/>
        <w:spacing w:after="0" w:line="308" w:lineRule="auto"/>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260" w:hanging="252"/>
        <w:spacing w:after="0" w:line="277"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Philipp Statman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260" w:hanging="252"/>
        <w:spacing w:after="0" w:line="342" w:lineRule="auto"/>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260" w:hanging="252"/>
        <w:spacing w:after="0" w:line="263"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260" w:hanging="252"/>
        <w:spacing w:after="0" w:line="308"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260" w:hanging="252"/>
        <w:spacing w:after="0" w:line="277"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2021 as filed with the Securities and Exchange Commission on the date hereof (the “Report”), the undersigned, Philipp Stratmann, Chief Executive Officer of the Company, hereby certifies, pursuant to 18 U.S.C. Section 1350, that:</w:t>
      </w:r>
    </w:p>
    <w:p>
      <w:pPr>
        <w:spacing w:after="0" w:line="184"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2021</w:t>
      </w:r>
    </w:p>
    <w:p>
      <w:pPr>
        <w:spacing w:after="0" w:line="225"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2021 as filed with the Securities and Exchange Commission on the date hereof (the “Report”), the undersigned, Matthew T. Shafer, Senior Vice President, Chief Financial Officer of the Company, hereby certifies, pursuant to 18 U.S.C. Section 1350, that:</w:t>
      </w:r>
    </w:p>
    <w:p>
      <w:pPr>
        <w:spacing w:after="0" w:line="184"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2021</w:t>
      </w:r>
    </w:p>
    <w:p>
      <w:pPr>
        <w:spacing w:after="0" w:line="225"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3"/>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decimal"/>
      <w:start w:val="10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lvl w:ilvl="1">
      <w:lvlJc w:val="left"/>
      <w:lvlText w:val="(%2)"/>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decimal"/>
      <w:start w:val="2"/>
    </w:lvl>
    <w:lvl w:ilvl="1">
      <w:lvlJc w:val="left"/>
      <w:lvlText w:val="(%2)"/>
      <w:numFmt w:val="lowerLetter"/>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3" Type="http://schemas.openxmlformats.org/officeDocument/2006/relationships/image" Target="media/image48.png"/><Relationship Id="rId95" Type="http://schemas.openxmlformats.org/officeDocument/2006/relationships/image" Target="media/image49.png"/><Relationship Id="rId96" Type="http://schemas.openxmlformats.org/officeDocument/2006/relationships/image" Target="media/image50.png"/><Relationship Id="rId97" Type="http://schemas.openxmlformats.org/officeDocument/2006/relationships/image" Target="media/image51.png"/><Relationship Id="rId98" Type="http://schemas.openxmlformats.org/officeDocument/2006/relationships/image" Target="media/image52.png"/><Relationship Id="rId99" Type="http://schemas.openxmlformats.org/officeDocument/2006/relationships/image" Target="media/image53.png"/><Relationship Id="rId100" Type="http://schemas.openxmlformats.org/officeDocument/2006/relationships/image" Target="media/image54.png"/><Relationship Id="rId101" Type="http://schemas.openxmlformats.org/officeDocument/2006/relationships/image" Target="media/image55.png"/><Relationship Id="rId102" Type="http://schemas.openxmlformats.org/officeDocument/2006/relationships/image" Target="media/image56.png"/><Relationship Id="rId103" Type="http://schemas.openxmlformats.org/officeDocument/2006/relationships/image" Target="media/image57.png"/><Relationship Id="rId104" Type="http://schemas.openxmlformats.org/officeDocument/2006/relationships/image" Target="media/image58.png"/><Relationship Id="rId105" Type="http://schemas.openxmlformats.org/officeDocument/2006/relationships/image" Target="media/image59.png"/><Relationship Id="rId10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55" Type="http://schemas.openxmlformats.org/officeDocument/2006/relationships/hyperlink" Target="https://www.sec.gov/Archives/edgar/data/1378140/000095012307012637/y39497exv3w1.txt" TargetMode="External"/><Relationship Id="rId56" Type="http://schemas.openxmlformats.org/officeDocument/2006/relationships/hyperlink" Target="https://www.sec.gov/Archives/edgar/data/1378140/000143774915018957/ex3-1.htm" TargetMode="External"/><Relationship Id="rId57" Type="http://schemas.openxmlformats.org/officeDocument/2006/relationships/hyperlink" Target="https://www.sec.gov/Archives/edgar/data/1378140/000143774916034324/ex3-2.htm" TargetMode="External"/><Relationship Id="rId58" Type="http://schemas.openxmlformats.org/officeDocument/2006/relationships/hyperlink" Target="https://www.sec.gov/Archives/edgar/data/1378140/000143774916040048/ex3-1.htm" TargetMode="External"/><Relationship Id="rId59" Type="http://schemas.openxmlformats.org/officeDocument/2006/relationships/hyperlink" Target="https://www.sec.gov/Archives/edgar/data/1378140/000149315218017201/ex3-1.htm" TargetMode="External"/><Relationship Id="rId60" Type="http://schemas.openxmlformats.org/officeDocument/2006/relationships/hyperlink" Target="https://www.sec.gov/Archives/edgar/data/1378140/000149315219003045/ex3-1.htm" TargetMode="External"/><Relationship Id="rId61" Type="http://schemas.openxmlformats.org/officeDocument/2006/relationships/hyperlink" Target="https://www.sec.gov/Archives/edgar/data/1378140/000095012307004036/y25790a2exv4w1.htm" TargetMode="External"/><Relationship Id="rId62" Type="http://schemas.openxmlformats.org/officeDocument/2006/relationships/hyperlink" Target="https://www.sec.gov/Archives/edgar/data/1378140/000143774916033412/ex4-1.htm" TargetMode="External"/><Relationship Id="rId63" Type="http://schemas.openxmlformats.org/officeDocument/2006/relationships/hyperlink" Target="https://www.sec.gov/Archives/edgar/data/1378140/000143774913011400/optt20130826_def14a.htm" TargetMode="External"/><Relationship Id="rId64" Type="http://schemas.openxmlformats.org/officeDocument/2006/relationships/hyperlink" Target="https://www.sec.gov/Archives/edgar/data/1378140/000095012311025230/c14079exv10w1.htm" TargetMode="External"/><Relationship Id="rId65" Type="http://schemas.openxmlformats.org/officeDocument/2006/relationships/hyperlink" Target="https://www.sec.gov/Archives/edgar/data/1378140/000143774915004705/ex10-1.htm" TargetMode="External"/><Relationship Id="rId66" Type="http://schemas.openxmlformats.org/officeDocument/2006/relationships/hyperlink" Target="https://www.sec.gov/Archives/edgar/data/1378140/000143774916033194/ex99-3.htm" TargetMode="External"/><Relationship Id="rId67" Type="http://schemas.openxmlformats.org/officeDocument/2006/relationships/hyperlink" Target="https://www.sec.gov/Archives/edgar/data/1378140/000143774916033412/ex99-4.htm" TargetMode="External"/><Relationship Id="rId68" Type="http://schemas.openxmlformats.org/officeDocument/2006/relationships/hyperlink" Target="https://www.sec.gov/Archives/edgar/data/1378140/000143774915016806/optt20150901_def14a.htm" TargetMode="External"/><Relationship Id="rId69" Type="http://schemas.openxmlformats.org/officeDocument/2006/relationships/hyperlink" Target="https://www.sec.gov/Archives/edgar/data/1378140/000143774916031489/ex10-1.htm" TargetMode="External"/><Relationship Id="rId70" Type="http://schemas.openxmlformats.org/officeDocument/2006/relationships/hyperlink" Target="https://www.sec.gov/Archives/edgar/data/1378140/000143774916033355/ex10-1.htm" TargetMode="External"/><Relationship Id="rId71" Type="http://schemas.openxmlformats.org/officeDocument/2006/relationships/hyperlink" Target="https://www.sec.gov/Archives/edgar/data/1378140/000143774916035442/ex99-2.htm" TargetMode="External"/><Relationship Id="rId72" Type="http://schemas.openxmlformats.org/officeDocument/2006/relationships/hyperlink" Target="https://www.sec.gov/Archives/edgar/data/1378140/000143774916035503/ex10-1.htm" TargetMode="External"/><Relationship Id="rId74" Type="http://schemas.openxmlformats.org/officeDocument/2006/relationships/hyperlink" Target="https://www.sec.gov/Archives/edgar/data/1378140/000143774916038184/ex10-1.htm" TargetMode="External"/><Relationship Id="rId75" Type="http://schemas.openxmlformats.org/officeDocument/2006/relationships/hyperlink" Target="https://www.sec.gov/Archives/edgar/data/1378140/000143774916038671/ex10-1.htm" TargetMode="External"/><Relationship Id="rId76" Type="http://schemas.openxmlformats.org/officeDocument/2006/relationships/hyperlink" Target="https://www.sec.gov/Archives/edgar/data/1378140/000149315218000778/ex10-1.htm" TargetMode="External"/><Relationship Id="rId77" Type="http://schemas.openxmlformats.org/officeDocument/2006/relationships/hyperlink" Target="https://www.sec.gov/Archives/edgar/data/1378140/000149315218000778/ex10-2.htm" TargetMode="External"/><Relationship Id="rId78" Type="http://schemas.openxmlformats.org/officeDocument/2006/relationships/hyperlink" Target="https://www.sec.gov/Archives/edgar/data/1378140/000149315218003541/ex10-1.htm" TargetMode="External"/><Relationship Id="rId79" Type="http://schemas.openxmlformats.org/officeDocument/2006/relationships/hyperlink" Target="https://www.sec.gov/Archives/edgar/data/1378140/000149315218010119/ex10-2.htm" TargetMode="External"/><Relationship Id="rId80" Type="http://schemas.openxmlformats.org/officeDocument/2006/relationships/hyperlink" Target="https://www.sec.gov/Archives/edgar/data/1378140/000149315219003082/ex10-2.htm" TargetMode="External"/><Relationship Id="rId81" Type="http://schemas.openxmlformats.org/officeDocument/2006/relationships/hyperlink" Target="https://www.sec.gov/Archives/edgar/data/1378140/000149315219004836/ex4-7.htm" TargetMode="External"/><Relationship Id="rId82" Type="http://schemas.openxmlformats.org/officeDocument/2006/relationships/hyperlink" Target="https://www.sec.gov/Archives/edgar/data/1378140/000149315219004956/ex4-2.htm" TargetMode="External"/><Relationship Id="rId83" Type="http://schemas.openxmlformats.org/officeDocument/2006/relationships/hyperlink" Target="https://www.sec.gov/Archives/edgar/data/1378140/000149315219004956/ex4-3.htm" TargetMode="External"/><Relationship Id="rId84" Type="http://schemas.openxmlformats.org/officeDocument/2006/relationships/hyperlink" Target="https://www.sec.gov/Archives/edgar/data/1378140/000149315219005032/ex4-1.htm" TargetMode="External"/><Relationship Id="rId85" Type="http://schemas.openxmlformats.org/officeDocument/2006/relationships/hyperlink" Target="https://www.sec.gov/Archives/edgar/data/1378140/000149315219009701/ex10-1.htm" TargetMode="External"/><Relationship Id="rId86" Type="http://schemas.openxmlformats.org/officeDocument/2006/relationships/hyperlink" Target="https://www.sec.gov/Archives/edgar/data/1378140/000149315219010930/ex10-37.htm" TargetMode="External"/><Relationship Id="rId87" Type="http://schemas.openxmlformats.org/officeDocument/2006/relationships/hyperlink" Target="https://www.sec.gov/Archives/edgar/data/1378140/000149315219014434/ex10-1.htm" TargetMode="External"/><Relationship Id="rId88" Type="http://schemas.openxmlformats.org/officeDocument/2006/relationships/hyperlink" Target="https://www.sec.gov/Archives/edgar/data/1378140/000149315219014434/ex10-2.htm" TargetMode="External"/><Relationship Id="rId89" Type="http://schemas.openxmlformats.org/officeDocument/2006/relationships/hyperlink" Target="https://www.sec.gov/Archives/edgar/data/1378140/000149315220003608/ex10-1.htm" TargetMode="External"/><Relationship Id="rId90" Type="http://schemas.openxmlformats.org/officeDocument/2006/relationships/hyperlink" Target="https://www.sec.gov/Archives/edgar/data/1378140/000149315220007938/ex10-1.htm" TargetMode="External"/><Relationship Id="rId91" Type="http://schemas.openxmlformats.org/officeDocument/2006/relationships/hyperlink" Target="https://www.sec.gov/Archives/edgar/data/1378140/000149315220007938/ex10-2.htm" TargetMode="External"/><Relationship Id="rId92" Type="http://schemas.openxmlformats.org/officeDocument/2006/relationships/hyperlink" Target="https://www.sec.gov/Archives/edgar/data/1378140/000149315220018025/ex10-1.htm" TargetMode="External"/><Relationship Id="rId93" Type="http://schemas.openxmlformats.org/officeDocument/2006/relationships/hyperlink" Target="https://www.sec.gov/Archives/edgar/data/1378140/000149315220019983/ex10-1.htm" TargetMode="External"/><Relationship Id="rId94" Type="http://schemas.openxmlformats.org/officeDocument/2006/relationships/hyperlink" Target="https://www.sec.gov/Archives/edgar/data/1378140/00014931522002211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2021-07-19T15:04:50Z</dcterms:created>
  <dcterms:modified xsi:type="dcterms:W3CDTF">2021-07-19T15:04:50Z</dcterms:modified>
</cp:coreProperties>
</file>