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111125</wp:posOffset>
            </wp:positionV>
            <wp:extent cx="1524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122555</wp:posOffset>
            </wp:positionV>
            <wp:extent cx="152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5"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January 31, 2012</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05" w:lineRule="exact"/>
        <w:rPr>
          <w:sz w:val="24"/>
          <w:szCs w:val="24"/>
          <w:color w:val="auto"/>
        </w:rPr>
      </w:pPr>
    </w:p>
    <w:p>
      <w:pPr>
        <w:ind w:left="460" w:hanging="453"/>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5"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001-33417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121920</wp:posOffset>
            </wp:positionV>
            <wp:extent cx="152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118110</wp:posOffset>
            </wp:positionV>
            <wp:extent cx="1524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p>
      <w:pPr>
        <w:spacing w:after="0" w:line="291"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22-2535818</w:t>
      </w:r>
    </w:p>
    <w:p>
      <w:pPr>
        <w:spacing w:after="0" w:line="54" w:lineRule="exact"/>
        <w:rPr>
          <w:sz w:val="24"/>
          <w:szCs w:val="24"/>
          <w:color w:val="auto"/>
        </w:rPr>
      </w:pPr>
    </w:p>
    <w:p>
      <w:pPr>
        <w:sectPr>
          <w:pgSz w:w="11900" w:h="16838" w:orient="portrait"/>
          <w:cols w:equalWidth="0" w:num="2">
            <w:col w:w="7540" w:space="720"/>
            <w:col w:w="3160"/>
          </w:cols>
          <w:pgMar w:left="240" w:top="312" w:right="239" w:bottom="1440" w:gutter="0" w:footer="0" w:header="0"/>
          <w:type w:val="continuous"/>
        </w:sectPr>
      </w:pPr>
    </w:p>
    <w:p>
      <w:pPr>
        <w:ind w:left="2000"/>
        <w:spacing w:after="0"/>
        <w:rPr>
          <w:sz w:val="20"/>
          <w:szCs w:val="20"/>
          <w:color w:val="auto"/>
        </w:rPr>
      </w:pPr>
      <w:r>
        <w:rPr>
          <w:rFonts w:ascii="Arial" w:cs="Arial" w:eastAsia="Arial" w:hAnsi="Arial"/>
          <w:sz w:val="12"/>
          <w:szCs w:val="12"/>
          <w:b w:val="1"/>
          <w:bCs w:val="1"/>
          <w:color w:val="auto"/>
        </w:rPr>
        <w:t>(State or Other Jurisdiction of</w:t>
      </w:r>
    </w:p>
    <w:p>
      <w:pPr>
        <w:spacing w:after="0" w:line="11"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66" w:lineRule="exact"/>
        <w:rPr>
          <w:sz w:val="24"/>
          <w:szCs w:val="24"/>
          <w:color w:val="auto"/>
        </w:rPr>
      </w:pPr>
    </w:p>
    <w:p>
      <w:pPr>
        <w:sectPr>
          <w:pgSz w:w="11900" w:h="16838" w:orient="portrait"/>
          <w:cols w:equalWidth="0" w:num="2">
            <w:col w:w="7440" w:space="720"/>
            <w:col w:w="3260"/>
          </w:cols>
          <w:pgMar w:left="240" w:top="31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1590 REED ROAD, PENNINGTON, NJ 08534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100965</wp:posOffset>
            </wp:positionV>
            <wp:extent cx="152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type w:val="continuous"/>
        </w:sectPr>
      </w:pPr>
    </w:p>
    <w:p>
      <w:pPr>
        <w:spacing w:after="0" w:line="243" w:lineRule="exact"/>
        <w:rPr>
          <w:sz w:val="24"/>
          <w:szCs w:val="24"/>
          <w:color w:val="auto"/>
        </w:rPr>
      </w:pPr>
    </w:p>
    <w:p>
      <w:pPr>
        <w:ind w:right="20"/>
        <w:spacing w:after="0" w:line="22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5" w:lineRule="exact"/>
        <w:rPr>
          <w:sz w:val="24"/>
          <w:szCs w:val="24"/>
          <w:color w:val="auto"/>
        </w:rPr>
      </w:pPr>
    </w:p>
    <w:p>
      <w:pPr>
        <w:ind w:right="280"/>
        <w:spacing w:after="0" w:line="22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5" w:lineRule="exact"/>
        <w:rPr>
          <w:sz w:val="24"/>
          <w:szCs w:val="24"/>
          <w:color w:val="auto"/>
        </w:rPr>
      </w:pPr>
    </w:p>
    <w:p>
      <w:pPr>
        <w:ind w:right="580"/>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17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68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2400" w:type="dxa"/>
            <w:vAlign w:val="bottom"/>
          </w:tcPr>
          <w:p>
            <w:pPr>
              <w:ind w:left="26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0"/>
        </w:trPr>
        <w:tc>
          <w:tcPr>
            <w:tcW w:w="1740" w:type="dxa"/>
            <w:vAlign w:val="bottom"/>
          </w:tcPr>
          <w:p>
            <w:pPr>
              <w:spacing w:after="0"/>
              <w:rPr>
                <w:sz w:val="20"/>
                <w:szCs w:val="20"/>
                <w:color w:val="auto"/>
              </w:rPr>
            </w:pPr>
            <w:r>
              <w:rPr>
                <w:rFonts w:ascii="Arial" w:cs="Arial" w:eastAsia="Arial" w:hAnsi="Arial"/>
                <w:sz w:val="17"/>
                <w:szCs w:val="17"/>
                <w:color w:val="auto"/>
              </w:rPr>
              <w:t>Non-accelerated filer</w:t>
            </w:r>
          </w:p>
        </w:tc>
        <w:tc>
          <w:tcPr>
            <w:tcW w:w="6880" w:type="dxa"/>
            <w:vAlign w:val="bottom"/>
          </w:tcPr>
          <w:p>
            <w:pPr>
              <w:ind w:left="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2400" w:type="dxa"/>
            <w:vAlign w:val="bottom"/>
          </w:tcPr>
          <w:p>
            <w:pPr>
              <w:ind w:left="26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73"/>
        </w:trPr>
        <w:tc>
          <w:tcPr>
            <w:tcW w:w="8620" w:type="dxa"/>
            <w:vAlign w:val="bottom"/>
            <w:gridSpan w:val="2"/>
          </w:tcPr>
          <w:p>
            <w:pPr>
              <w:spacing w:after="0" w:line="196" w:lineRule="exact"/>
              <w:rPr>
                <w:sz w:val="20"/>
                <w:szCs w:val="20"/>
                <w:color w:val="auto"/>
              </w:rPr>
            </w:pPr>
            <w:r>
              <w:rPr>
                <w:rFonts w:ascii="Arial" w:cs="Arial" w:eastAsia="Arial" w:hAnsi="Arial"/>
                <w:sz w:val="17"/>
                <w:szCs w:val="17"/>
                <w:color w:val="auto"/>
                <w:w w:val="94"/>
              </w:rPr>
              <w:t xml:space="preserve">Indicate by check mark whether the registrant is a shell company (as defined in Rule 12b-2 of the Exchange Act).  Yes </w:t>
            </w:r>
            <w:r>
              <w:rPr>
                <w:rFonts w:ascii="MS PGothic" w:cs="MS PGothic" w:eastAsia="MS PGothic" w:hAnsi="MS PGothic"/>
                <w:sz w:val="17"/>
                <w:szCs w:val="17"/>
                <w:color w:val="auto"/>
                <w:w w:val="94"/>
              </w:rPr>
              <w:t>☐</w:t>
            </w:r>
          </w:p>
        </w:tc>
        <w:tc>
          <w:tcPr>
            <w:tcW w:w="2400" w:type="dxa"/>
            <w:vAlign w:val="bottom"/>
          </w:tcPr>
          <w:p>
            <w:pPr>
              <w:ind w:left="10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400" w:type="dxa"/>
            <w:vAlign w:val="bottom"/>
          </w:tcPr>
          <w:p>
            <w:pPr>
              <w:spacing w:after="0"/>
              <w:rPr>
                <w:sz w:val="24"/>
                <w:szCs w:val="24"/>
                <w:color w:val="auto"/>
              </w:rPr>
            </w:pPr>
          </w:p>
        </w:tc>
      </w:tr>
      <w:tr>
        <w:trPr>
          <w:trHeight w:val="355"/>
        </w:trPr>
        <w:tc>
          <w:tcPr>
            <w:tcW w:w="8620" w:type="dxa"/>
            <w:vAlign w:val="bottom"/>
            <w:gridSpan w:val="2"/>
          </w:tcPr>
          <w:p>
            <w:pPr>
              <w:spacing w:after="0"/>
              <w:rPr>
                <w:sz w:val="20"/>
                <w:szCs w:val="20"/>
                <w:color w:val="auto"/>
              </w:rPr>
            </w:pPr>
            <w:r>
              <w:rPr>
                <w:rFonts w:ascii="Arial" w:cs="Arial" w:eastAsia="Arial" w:hAnsi="Arial"/>
                <w:sz w:val="17"/>
                <w:szCs w:val="17"/>
                <w:color w:val="auto"/>
              </w:rPr>
              <w:t>As of February 29, 2012, the number of outstanding shares of common stock of the registrant was 10,414,389.</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1"/>
        </w:trPr>
        <w:tc>
          <w:tcPr>
            <w:tcW w:w="1740" w:type="dxa"/>
            <w:vAlign w:val="bottom"/>
            <w:tcBorders>
              <w:bottom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2"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INDEX TO FORM 10-Q</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FOR THE THREE AND NINE MONTHS ENDED JANUARY 31,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9"/>
        </w:trPr>
        <w:tc>
          <w:tcPr>
            <w:tcW w:w="3140" w:type="dxa"/>
            <w:vAlign w:val="bottom"/>
            <w:gridSpan w:val="9"/>
            <w:vMerge w:val="restart"/>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 — FINANCIAL INFORMATION</w:t>
              </w:r>
            </w:hyperlink>
          </w:p>
        </w:tc>
        <w:tc>
          <w:tcPr>
            <w:tcW w:w="7700" w:type="dxa"/>
            <w:vAlign w:val="bottom"/>
            <w:gridSpan w:val="11"/>
            <w:vMerge w:val="restart"/>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Number</w:t>
            </w:r>
          </w:p>
        </w:tc>
        <w:tc>
          <w:tcPr>
            <w:tcW w:w="0" w:type="dxa"/>
            <w:vAlign w:val="bottom"/>
          </w:tcPr>
          <w:p>
            <w:pPr>
              <w:spacing w:after="0"/>
              <w:rPr>
                <w:sz w:val="1"/>
                <w:szCs w:val="1"/>
                <w:color w:val="auto"/>
              </w:rPr>
            </w:pPr>
          </w:p>
        </w:tc>
      </w:tr>
      <w:tr>
        <w:trPr>
          <w:trHeight w:val="158"/>
        </w:trPr>
        <w:tc>
          <w:tcPr>
            <w:tcW w:w="3140" w:type="dxa"/>
            <w:vAlign w:val="bottom"/>
            <w:tcBorders>
              <w:bottom w:val="single" w:sz="8" w:color="0000EE"/>
            </w:tcBorders>
            <w:gridSpan w:val="9"/>
            <w:vMerge w:val="continue"/>
          </w:tcPr>
          <w:p>
            <w:pPr>
              <w:spacing w:after="0"/>
              <w:rPr>
                <w:sz w:val="13"/>
                <w:szCs w:val="13"/>
                <w:color w:val="auto"/>
              </w:rPr>
            </w:pPr>
          </w:p>
        </w:tc>
        <w:tc>
          <w:tcPr>
            <w:tcW w:w="7700" w:type="dxa"/>
            <w:vAlign w:val="bottom"/>
            <w:gridSpan w:val="11"/>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Item 1. Financial Statements (unaudited):</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Balance Sheets as of January 31, 2012 and April 30, 2011</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Operations for the Three and Nine Months Ended January 31, 2012 and 2011</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20" w:type="dxa"/>
            <w:vAlign w:val="bottom"/>
            <w:tcBorders>
              <w:top w:val="single" w:sz="8" w:color="0000EE"/>
              <w:bottom w:val="single" w:sz="8" w:color="0000EE"/>
            </w:tcBorders>
            <w:gridSpan w:val="15"/>
          </w:tcPr>
          <w:p>
            <w:pPr>
              <w:spacing w:after="0"/>
              <w:rPr>
                <w:rFonts w:ascii="Arial" w:cs="Arial" w:eastAsia="Arial" w:hAnsi="Arial"/>
                <w:sz w:val="17"/>
                <w:szCs w:val="17"/>
                <w:color w:val="0000EE"/>
                <w:w w:val="91"/>
              </w:rPr>
            </w:pPr>
            <w:hyperlink w:anchor="page6">
              <w:r>
                <w:rPr>
                  <w:rFonts w:ascii="Arial" w:cs="Arial" w:eastAsia="Arial" w:hAnsi="Arial"/>
                  <w:sz w:val="17"/>
                  <w:szCs w:val="17"/>
                  <w:color w:val="0000EE"/>
                  <w:w w:val="91"/>
                </w:rPr>
                <w:t>Consolidated Statements of Cash Flows for the Nine Months Ended January 31, 2012 and 2011</w:t>
              </w:r>
            </w:hyperlink>
          </w:p>
        </w:tc>
        <w:tc>
          <w:tcPr>
            <w:tcW w:w="680" w:type="dxa"/>
            <w:vAlign w:val="bottom"/>
            <w:tcBorders>
              <w:top w:val="single" w:sz="8" w:color="0000EE"/>
            </w:tcBorders>
          </w:tcPr>
          <w:p>
            <w:pPr>
              <w:spacing w:after="0"/>
              <w:rPr>
                <w:sz w:val="24"/>
                <w:szCs w:val="24"/>
                <w:color w:val="auto"/>
              </w:rPr>
            </w:pPr>
          </w:p>
        </w:tc>
        <w:tc>
          <w:tcPr>
            <w:tcW w:w="26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Consolidated Statements of Stockholders’ Equity and Comprehensive Loss for the Nine Months Ended January 31, 2012 and 2011</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91"/>
              </w:rPr>
            </w:pPr>
            <w:hyperlink w:anchor="page8">
              <w:r>
                <w:rPr>
                  <w:rFonts w:ascii="Arial" w:cs="Arial" w:eastAsia="Arial" w:hAnsi="Arial"/>
                  <w:sz w:val="17"/>
                  <w:szCs w:val="17"/>
                  <w:color w:val="0000EE"/>
                  <w:w w:val="91"/>
                </w:rPr>
                <w:t>Notes to Consolidated Financial Statements</w:t>
              </w:r>
            </w:hyperlink>
          </w:p>
        </w:tc>
        <w:tc>
          <w:tcPr>
            <w:tcW w:w="6020" w:type="dxa"/>
            <w:vAlign w:val="bottom"/>
            <w:tcBorders>
              <w:top w:val="single" w:sz="8" w:color="0000EE"/>
            </w:tcBorders>
            <w:gridSpan w:val="7"/>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Item 2.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4"/>
              </w:rPr>
            </w:pPr>
            <w:hyperlink w:anchor="page29">
              <w:r>
                <w:rPr>
                  <w:rFonts w:ascii="Arial" w:cs="Arial" w:eastAsia="Arial" w:hAnsi="Arial"/>
                  <w:sz w:val="17"/>
                  <w:szCs w:val="17"/>
                  <w:color w:val="0000EE"/>
                  <w:w w:val="94"/>
                </w:rPr>
                <w:t>Item 3. Quantitative and Qualitative Disclosures About Market Risk</w:t>
              </w:r>
            </w:hyperlink>
          </w:p>
        </w:tc>
        <w:tc>
          <w:tcPr>
            <w:tcW w:w="2000" w:type="dxa"/>
            <w:vAlign w:val="bottom"/>
            <w:tcBorders>
              <w:top w:val="single" w:sz="8" w:color="0000EE"/>
            </w:tcBorders>
            <w:gridSpan w:val="2"/>
          </w:tcPr>
          <w:p>
            <w:pPr>
              <w:spacing w:after="0"/>
              <w:rPr>
                <w:sz w:val="24"/>
                <w:szCs w:val="24"/>
                <w:color w:val="auto"/>
              </w:rPr>
            </w:pPr>
          </w:p>
        </w:tc>
        <w:tc>
          <w:tcPr>
            <w:tcW w:w="36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224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Item 4. Controls and Procedures</w:t>
              </w:r>
            </w:hyperlink>
          </w:p>
        </w:tc>
        <w:tc>
          <w:tcPr>
            <w:tcW w:w="816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0"/>
        </w:trPr>
        <w:tc>
          <w:tcPr>
            <w:tcW w:w="10840" w:type="dxa"/>
            <w:vAlign w:val="bottom"/>
            <w:gridSpan w:val="20"/>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0" w:type="dxa"/>
            <w:vAlign w:val="bottom"/>
            <w:tcBorders>
              <w:top w:val="single" w:sz="8" w:color="0000EE"/>
            </w:tcBorders>
          </w:tcPr>
          <w:p>
            <w:pPr>
              <w:spacing w:after="0"/>
              <w:rPr>
                <w:sz w:val="24"/>
                <w:szCs w:val="24"/>
                <w:color w:val="auto"/>
              </w:rPr>
            </w:pPr>
          </w:p>
        </w:tc>
        <w:tc>
          <w:tcPr>
            <w:tcW w:w="18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1"/>
              </w:rPr>
            </w:pPr>
            <w:hyperlink w:anchor="page30">
              <w:r>
                <w:rPr>
                  <w:rFonts w:ascii="Arial" w:cs="Arial" w:eastAsia="Arial" w:hAnsi="Arial"/>
                  <w:sz w:val="17"/>
                  <w:szCs w:val="17"/>
                  <w:color w:val="0000EE"/>
                  <w:w w:val="91"/>
                </w:rPr>
                <w:t>Item 1. Legal Proceedings</w:t>
              </w:r>
            </w:hyperlink>
          </w:p>
        </w:tc>
        <w:tc>
          <w:tcPr>
            <w:tcW w:w="580" w:type="dxa"/>
            <w:vAlign w:val="bottom"/>
            <w:tcBorders>
              <w:top w:val="single" w:sz="8" w:color="0000EE"/>
            </w:tcBorders>
            <w:gridSpan w:val="2"/>
          </w:tcPr>
          <w:p>
            <w:pPr>
              <w:spacing w:after="0"/>
              <w:rPr>
                <w:sz w:val="24"/>
                <w:szCs w:val="24"/>
                <w:color w:val="auto"/>
              </w:rPr>
            </w:pPr>
          </w:p>
        </w:tc>
        <w:tc>
          <w:tcPr>
            <w:tcW w:w="80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40" w:type="dxa"/>
            <w:vAlign w:val="bottom"/>
          </w:tcPr>
          <w:p>
            <w:pPr>
              <w:spacing w:after="0"/>
              <w:rPr>
                <w:sz w:val="24"/>
                <w:szCs w:val="24"/>
                <w:color w:val="auto"/>
              </w:rPr>
            </w:pPr>
          </w:p>
        </w:tc>
        <w:tc>
          <w:tcPr>
            <w:tcW w:w="472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1">
              <w:r>
                <w:rPr>
                  <w:rFonts w:ascii="Arial" w:cs="Arial" w:eastAsia="Arial" w:hAnsi="Arial"/>
                  <w:sz w:val="17"/>
                  <w:szCs w:val="17"/>
                  <w:color w:val="0000EE"/>
                  <w:w w:val="91"/>
                </w:rPr>
                <w:t>Item 2. Unregistered Sales of Equity Securities and Use of Proceeds</w:t>
              </w:r>
            </w:hyperlink>
          </w:p>
        </w:tc>
        <w:tc>
          <w:tcPr>
            <w:tcW w:w="568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3. Defaults Upon Senior Securities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Item 5. Other Information</w:t>
              </w:r>
            </w:hyperlink>
          </w:p>
        </w:tc>
        <w:tc>
          <w:tcPr>
            <w:tcW w:w="960" w:type="dxa"/>
            <w:vAlign w:val="bottom"/>
            <w:tcBorders>
              <w:top w:val="single" w:sz="8" w:color="0000EE"/>
            </w:tcBorders>
            <w:gridSpan w:val="5"/>
          </w:tcPr>
          <w:p>
            <w:pPr>
              <w:spacing w:after="0"/>
              <w:rPr>
                <w:sz w:val="24"/>
                <w:szCs w:val="24"/>
                <w:color w:val="auto"/>
              </w:rPr>
            </w:pPr>
          </w:p>
        </w:tc>
        <w:tc>
          <w:tcPr>
            <w:tcW w:w="764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Item 6. Exhibits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30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0840" w:type="dxa"/>
            <w:vAlign w:val="bottom"/>
            <w:gridSpan w:val="20"/>
          </w:tcPr>
          <w:p>
            <w:pPr>
              <w:spacing w:after="0"/>
              <w:rPr>
                <w:sz w:val="20"/>
                <w:szCs w:val="20"/>
                <w:color w:val="auto"/>
              </w:rPr>
            </w:pPr>
            <w:r>
              <w:rPr>
                <w:rFonts w:ascii="Arial" w:cs="Arial" w:eastAsia="Arial" w:hAnsi="Arial"/>
                <w:sz w:val="17"/>
                <w:szCs w:val="17"/>
                <w:color w:val="auto"/>
              </w:rPr>
              <w:t>EX-31.1: CERTIFICATION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40" w:type="dxa"/>
            <w:vAlign w:val="bottom"/>
            <w:gridSpan w:val="20"/>
          </w:tcPr>
          <w:p>
            <w:pPr>
              <w:spacing w:after="0"/>
              <w:rPr>
                <w:sz w:val="20"/>
                <w:szCs w:val="20"/>
                <w:color w:val="auto"/>
              </w:rPr>
            </w:pPr>
            <w:r>
              <w:rPr>
                <w:rFonts w:ascii="Arial" w:cs="Arial" w:eastAsia="Arial" w:hAnsi="Arial"/>
                <w:sz w:val="17"/>
                <w:szCs w:val="17"/>
                <w:color w:val="auto"/>
              </w:rPr>
              <w:t>EX-31.2: CERTIFICATION</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40" w:type="dxa"/>
            <w:vAlign w:val="bottom"/>
            <w:gridSpan w:val="20"/>
          </w:tcPr>
          <w:p>
            <w:pPr>
              <w:spacing w:after="0"/>
              <w:rPr>
                <w:sz w:val="20"/>
                <w:szCs w:val="20"/>
                <w:color w:val="auto"/>
              </w:rPr>
            </w:pPr>
            <w:r>
              <w:rPr>
                <w:rFonts w:ascii="Arial" w:cs="Arial" w:eastAsia="Arial" w:hAnsi="Arial"/>
                <w:sz w:val="17"/>
                <w:szCs w:val="17"/>
                <w:color w:val="auto"/>
              </w:rPr>
              <w:t>EX-32.1: CERTIFICATION</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840" w:type="dxa"/>
            <w:vAlign w:val="bottom"/>
            <w:gridSpan w:val="20"/>
          </w:tcPr>
          <w:p>
            <w:pPr>
              <w:spacing w:after="0"/>
              <w:rPr>
                <w:sz w:val="20"/>
                <w:szCs w:val="20"/>
                <w:color w:val="auto"/>
              </w:rPr>
            </w:pPr>
            <w:r>
              <w:rPr>
                <w:rFonts w:ascii="Arial" w:cs="Arial" w:eastAsia="Arial" w:hAnsi="Arial"/>
                <w:sz w:val="17"/>
                <w:szCs w:val="17"/>
                <w:color w:val="auto"/>
              </w:rPr>
              <w:t>EX-32.2: CERTIFICATION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PowerBuoy</w:t>
      </w:r>
      <w:r>
        <w:rPr>
          <w:rFonts w:ascii="Arial" w:cs="Arial" w:eastAsia="Arial" w:hAnsi="Arial"/>
          <w:sz w:val="11"/>
          <w:szCs w:val="11"/>
          <w:color w:val="auto"/>
        </w:rPr>
        <w:t>®</w:t>
      </w:r>
      <w:r>
        <w:rPr>
          <w:rFonts w:ascii="Arial" w:cs="Arial" w:eastAsia="Arial" w:hAnsi="Arial"/>
          <w:sz w:val="17"/>
          <w:szCs w:val="17"/>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ectPr>
          <w:pgSz w:w="11900" w:h="16838" w:orient="portrait"/>
          <w:cols w:equalWidth="0" w:num="1">
            <w:col w:w="11320"/>
          </w:cols>
          <w:pgMar w:left="240" w:top="272"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Special Note Regarding Forward-Looking Statements</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2011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2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240" w:top="272"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00" w:type="dxa"/>
            <w:vAlign w:val="bottom"/>
          </w:tcPr>
          <w:p>
            <w:pPr>
              <w:jc w:val="center"/>
              <w:ind w:left="1893"/>
              <w:spacing w:after="0"/>
              <w:rPr>
                <w:sz w:val="20"/>
                <w:szCs w:val="20"/>
                <w:color w:val="auto"/>
              </w:rPr>
            </w:pPr>
            <w:r>
              <w:rPr>
                <w:rFonts w:ascii="Arial" w:cs="Arial" w:eastAsia="Arial" w:hAnsi="Arial"/>
                <w:sz w:val="17"/>
                <w:szCs w:val="17"/>
                <w:b w:val="1"/>
                <w:bCs w:val="1"/>
                <w:color w:val="auto"/>
              </w:rPr>
              <w:t>PART I — FINANCIAL INFORMATION</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8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8300" w:type="dxa"/>
            <w:vAlign w:val="bottom"/>
          </w:tcPr>
          <w:p>
            <w:pPr>
              <w:ind w:left="460"/>
              <w:spacing w:after="0"/>
              <w:rPr>
                <w:sz w:val="20"/>
                <w:szCs w:val="20"/>
                <w:color w:val="auto"/>
              </w:rPr>
            </w:pPr>
            <w:r>
              <w:rPr>
                <w:rFonts w:ascii="Arial" w:cs="Arial" w:eastAsia="Arial" w:hAnsi="Arial"/>
                <w:sz w:val="17"/>
                <w:szCs w:val="17"/>
                <w:b w:val="1"/>
                <w:bCs w:val="1"/>
                <w:i w:val="1"/>
                <w:iCs w:val="1"/>
                <w:color w:val="auto"/>
              </w:rPr>
              <w:t>FINANCIAL STATEMENTS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00" w:type="dxa"/>
            <w:vAlign w:val="bottom"/>
          </w:tcPr>
          <w:p>
            <w:pPr>
              <w:jc w:val="center"/>
              <w:ind w:left="1873"/>
              <w:spacing w:after="0"/>
              <w:rPr>
                <w:sz w:val="20"/>
                <w:szCs w:val="20"/>
                <w:color w:val="auto"/>
              </w:rPr>
            </w:pPr>
            <w:r>
              <w:rPr>
                <w:rFonts w:ascii="Arial" w:cs="Arial" w:eastAsia="Arial" w:hAnsi="Arial"/>
                <w:sz w:val="17"/>
                <w:szCs w:val="17"/>
                <w:b w:val="1"/>
                <w:bCs w:val="1"/>
                <w:color w:val="auto"/>
                <w:w w:val="90"/>
              </w:rPr>
              <w:t>Ocean Power Technologies, Inc. and Subsidiaries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00" w:type="dxa"/>
            <w:vAlign w:val="bottom"/>
          </w:tcPr>
          <w:p>
            <w:pPr>
              <w:jc w:val="center"/>
              <w:ind w:left="1893"/>
              <w:spacing w:after="0"/>
              <w:rPr>
                <w:sz w:val="20"/>
                <w:szCs w:val="20"/>
                <w:color w:val="auto"/>
              </w:rPr>
            </w:pPr>
            <w:r>
              <w:rPr>
                <w:rFonts w:ascii="Arial" w:cs="Arial" w:eastAsia="Arial" w:hAnsi="Arial"/>
                <w:sz w:val="17"/>
                <w:szCs w:val="17"/>
                <w:b w:val="1"/>
                <w:bCs w:val="1"/>
                <w:color w:val="auto"/>
                <w:w w:val="89"/>
              </w:rPr>
              <w:t>Consolidated Balance Sheets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 2012</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April 30, 2011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4"/>
              <w:spacing w:after="0" w:line="140" w:lineRule="exact"/>
              <w:rPr>
                <w:sz w:val="20"/>
                <w:szCs w:val="20"/>
                <w:color w:val="auto"/>
              </w:rPr>
            </w:pPr>
            <w:r>
              <w:rPr>
                <w:rFonts w:ascii="Arial" w:cs="Arial" w:eastAsia="Arial" w:hAnsi="Arial"/>
                <w:sz w:val="13"/>
                <w:szCs w:val="13"/>
                <w:b w:val="1"/>
                <w:bCs w:val="1"/>
                <w:color w:val="auto"/>
              </w:rPr>
              <w:t>(Unaudited)</w:t>
            </w:r>
          </w:p>
        </w:tc>
        <w:tc>
          <w:tcPr>
            <w:tcW w:w="4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00" w:type="dxa"/>
            <w:vAlign w:val="bottom"/>
            <w:shd w:val="clear" w:color="auto" w:fill="CCEEFF"/>
          </w:tcPr>
          <w:p>
            <w:pPr>
              <w:ind w:left="3380"/>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7,829,751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Marketable securities</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25,466,356</w:t>
            </w:r>
          </w:p>
        </w:tc>
        <w:tc>
          <w:tcPr>
            <w:tcW w:w="980" w:type="dxa"/>
            <w:vAlign w:val="bottom"/>
          </w:tcPr>
          <w:p>
            <w:pPr>
              <w:jc w:val="right"/>
              <w:spacing w:after="0"/>
              <w:rPr>
                <w:sz w:val="20"/>
                <w:szCs w:val="20"/>
                <w:color w:val="auto"/>
              </w:rPr>
            </w:pPr>
            <w:r>
              <w:rPr>
                <w:rFonts w:ascii="Arial" w:cs="Arial" w:eastAsia="Arial" w:hAnsi="Arial"/>
                <w:sz w:val="17"/>
                <w:szCs w:val="17"/>
                <w:color w:val="auto"/>
              </w:rPr>
              <w:t>26,018,594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Accounts receivable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886,428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Unbilled receivables</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133,982</w:t>
            </w:r>
          </w:p>
        </w:tc>
        <w:tc>
          <w:tcPr>
            <w:tcW w:w="980" w:type="dxa"/>
            <w:vAlign w:val="bottom"/>
          </w:tcPr>
          <w:p>
            <w:pPr>
              <w:jc w:val="right"/>
              <w:spacing w:after="0"/>
              <w:rPr>
                <w:sz w:val="20"/>
                <w:szCs w:val="20"/>
                <w:color w:val="auto"/>
              </w:rPr>
            </w:pPr>
            <w:r>
              <w:rPr>
                <w:rFonts w:ascii="Arial" w:cs="Arial" w:eastAsia="Arial" w:hAnsi="Arial"/>
                <w:sz w:val="17"/>
                <w:szCs w:val="17"/>
                <w:color w:val="auto"/>
              </w:rPr>
              <w:t>456,316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current assets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801,009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vMerge w:val="restart"/>
          </w:tcPr>
          <w:p>
            <w:pPr>
              <w:ind w:left="280"/>
              <w:spacing w:after="0"/>
              <w:rPr>
                <w:sz w:val="20"/>
                <w:szCs w:val="20"/>
                <w:color w:val="auto"/>
              </w:rPr>
            </w:pPr>
            <w:r>
              <w:rPr>
                <w:rFonts w:ascii="Arial" w:cs="Arial" w:eastAsia="Arial" w:hAnsi="Arial"/>
                <w:sz w:val="17"/>
                <w:szCs w:val="17"/>
                <w:color w:val="auto"/>
              </w:rPr>
              <w:t>Total current assets</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35,117,526</w:t>
            </w:r>
          </w:p>
        </w:tc>
        <w:tc>
          <w:tcPr>
            <w:tcW w:w="980" w:type="dxa"/>
            <w:vAlign w:val="bottom"/>
          </w:tcPr>
          <w:p>
            <w:pPr>
              <w:jc w:val="right"/>
              <w:spacing w:after="0"/>
              <w:rPr>
                <w:sz w:val="20"/>
                <w:szCs w:val="20"/>
                <w:color w:val="auto"/>
              </w:rPr>
            </w:pPr>
            <w:r>
              <w:rPr>
                <w:rFonts w:ascii="Arial" w:cs="Arial" w:eastAsia="Arial" w:hAnsi="Arial"/>
                <w:sz w:val="17"/>
                <w:szCs w:val="17"/>
                <w:color w:val="auto"/>
              </w:rPr>
              <w:t>32,968,188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734,734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7"/>
                <w:szCs w:val="17"/>
                <w:color w:val="auto"/>
              </w:rPr>
              <w:t>Patents, net</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1,349,857</w:t>
            </w:r>
          </w:p>
        </w:tc>
        <w:tc>
          <w:tcPr>
            <w:tcW w:w="980" w:type="dxa"/>
            <w:vAlign w:val="bottom"/>
          </w:tcPr>
          <w:p>
            <w:pPr>
              <w:jc w:val="right"/>
              <w:spacing w:after="0"/>
              <w:rPr>
                <w:sz w:val="20"/>
                <w:szCs w:val="20"/>
                <w:color w:val="auto"/>
              </w:rPr>
            </w:pPr>
            <w:r>
              <w:rPr>
                <w:rFonts w:ascii="Arial" w:cs="Arial" w:eastAsia="Arial" w:hAnsi="Arial"/>
                <w:sz w:val="17"/>
                <w:szCs w:val="17"/>
                <w:color w:val="auto"/>
              </w:rPr>
              <w:t>1,222,368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1,446,944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7"/>
                <w:szCs w:val="17"/>
                <w:color w:val="auto"/>
              </w:rPr>
              <w:t>Marketable securities</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3,015,708</w:t>
            </w:r>
          </w:p>
        </w:tc>
        <w:tc>
          <w:tcPr>
            <w:tcW w:w="980" w:type="dxa"/>
            <w:vAlign w:val="bottom"/>
          </w:tcPr>
          <w:p>
            <w:pPr>
              <w:jc w:val="right"/>
              <w:spacing w:after="0"/>
              <w:rPr>
                <w:sz w:val="20"/>
                <w:szCs w:val="20"/>
                <w:color w:val="auto"/>
              </w:rPr>
            </w:pPr>
            <w:r>
              <w:rPr>
                <w:rFonts w:ascii="Arial" w:cs="Arial" w:eastAsia="Arial" w:hAnsi="Arial"/>
                <w:sz w:val="17"/>
                <w:szCs w:val="17"/>
                <w:color w:val="auto"/>
              </w:rPr>
              <w:t>16,323,016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520,647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vMerge w:val="restart"/>
          </w:tcPr>
          <w:p>
            <w:pPr>
              <w:ind w:left="28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42,185,416</w:t>
            </w:r>
          </w:p>
        </w:tc>
        <w:tc>
          <w:tcPr>
            <w:tcW w:w="980" w:type="dxa"/>
            <w:vAlign w:val="bottom"/>
          </w:tcPr>
          <w:p>
            <w:pPr>
              <w:jc w:val="right"/>
              <w:spacing w:after="0"/>
              <w:rPr>
                <w:sz w:val="20"/>
                <w:szCs w:val="20"/>
                <w:color w:val="auto"/>
              </w:rPr>
            </w:pPr>
            <w:r>
              <w:rPr>
                <w:rFonts w:ascii="Arial" w:cs="Arial" w:eastAsia="Arial" w:hAnsi="Arial"/>
                <w:sz w:val="17"/>
                <w:szCs w:val="17"/>
                <w:color w:val="auto"/>
              </w:rPr>
              <w:t>53,552,578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00" w:type="dxa"/>
            <w:vAlign w:val="bottom"/>
            <w:shd w:val="clear" w:color="auto" w:fill="CCEEFF"/>
          </w:tcPr>
          <w:p>
            <w:pPr>
              <w:ind w:left="1800"/>
              <w:spacing w:after="0"/>
              <w:rPr>
                <w:sz w:val="20"/>
                <w:szCs w:val="20"/>
                <w:color w:val="auto"/>
              </w:rPr>
            </w:pPr>
            <w:r>
              <w:rPr>
                <w:rFonts w:ascii="Arial" w:cs="Arial" w:eastAsia="Arial" w:hAnsi="Arial"/>
                <w:sz w:val="17"/>
                <w:szCs w:val="17"/>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458,571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Accrued expenses</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3,360,517</w:t>
            </w:r>
          </w:p>
        </w:tc>
        <w:tc>
          <w:tcPr>
            <w:tcW w:w="980" w:type="dxa"/>
            <w:vAlign w:val="bottom"/>
          </w:tcPr>
          <w:p>
            <w:pPr>
              <w:jc w:val="right"/>
              <w:spacing w:after="0"/>
              <w:rPr>
                <w:sz w:val="20"/>
                <w:szCs w:val="20"/>
                <w:color w:val="auto"/>
              </w:rPr>
            </w:pPr>
            <w:r>
              <w:rPr>
                <w:rFonts w:ascii="Arial" w:cs="Arial" w:eastAsia="Arial" w:hAnsi="Arial"/>
                <w:sz w:val="17"/>
                <w:szCs w:val="17"/>
                <w:color w:val="auto"/>
              </w:rPr>
              <w:t>4,302,952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Deferred credits payable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600,000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Unearned revenues</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1,264,608</w:t>
            </w:r>
          </w:p>
        </w:tc>
        <w:tc>
          <w:tcPr>
            <w:tcW w:w="980" w:type="dxa"/>
            <w:vAlign w:val="bottom"/>
          </w:tcPr>
          <w:p>
            <w:pPr>
              <w:jc w:val="right"/>
              <w:spacing w:after="0"/>
              <w:rPr>
                <w:sz w:val="20"/>
                <w:szCs w:val="20"/>
                <w:color w:val="auto"/>
              </w:rPr>
            </w:pPr>
            <w:r>
              <w:rPr>
                <w:rFonts w:ascii="Arial" w:cs="Arial" w:eastAsia="Arial" w:hAnsi="Arial"/>
                <w:sz w:val="17"/>
                <w:szCs w:val="17"/>
                <w:color w:val="auto"/>
              </w:rPr>
              <w:t>344,022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Current portion of long-term debt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100,000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vMerge w:val="restart"/>
          </w:tcPr>
          <w:p>
            <w:pPr>
              <w:ind w:left="280"/>
              <w:spacing w:after="0"/>
              <w:rPr>
                <w:sz w:val="20"/>
                <w:szCs w:val="20"/>
                <w:color w:val="auto"/>
              </w:rPr>
            </w:pPr>
            <w:r>
              <w:rPr>
                <w:rFonts w:ascii="Arial" w:cs="Arial" w:eastAsia="Arial" w:hAnsi="Arial"/>
                <w:sz w:val="17"/>
                <w:szCs w:val="17"/>
                <w:color w:val="auto"/>
              </w:rPr>
              <w:t>Total current liabilities</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5,783,696</w:t>
            </w:r>
          </w:p>
        </w:tc>
        <w:tc>
          <w:tcPr>
            <w:tcW w:w="980" w:type="dxa"/>
            <w:vAlign w:val="bottom"/>
          </w:tcPr>
          <w:p>
            <w:pPr>
              <w:jc w:val="right"/>
              <w:spacing w:after="0"/>
              <w:rPr>
                <w:sz w:val="20"/>
                <w:szCs w:val="20"/>
                <w:color w:val="auto"/>
              </w:rPr>
            </w:pPr>
            <w:r>
              <w:rPr>
                <w:rFonts w:ascii="Arial" w:cs="Arial" w:eastAsia="Arial" w:hAnsi="Arial"/>
                <w:sz w:val="17"/>
                <w:szCs w:val="17"/>
                <w:color w:val="auto"/>
              </w:rPr>
              <w:t>6,011,080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375,000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7"/>
                <w:szCs w:val="17"/>
                <w:color w:val="auto"/>
              </w:rPr>
              <w:t>Deferred credits</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liabilities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6,158,696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80" w:type="dxa"/>
            <w:vAlign w:val="bottom"/>
            <w:gridSpan w:val="3"/>
          </w:tcPr>
          <w:p>
            <w:pPr>
              <w:spacing w:after="0"/>
              <w:rPr>
                <w:sz w:val="20"/>
                <w:szCs w:val="20"/>
                <w:color w:val="auto"/>
              </w:rPr>
            </w:pPr>
            <w:r>
              <w:rPr>
                <w:rFonts w:ascii="Arial" w:cs="Arial" w:eastAsia="Arial" w:hAnsi="Arial"/>
                <w:sz w:val="17"/>
                <w:szCs w:val="17"/>
                <w:color w:val="auto"/>
              </w:rPr>
              <w:t>Commitments and contingencies (note 9)</w:t>
            </w: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Preferred stock, $0.001 par value; authorized 5,000,000 shares, none issued or outstanding</w:t>
            </w: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Common stock, $0.001 par value; authorized 105,000,000 shares, issued 10,414,389 and 10,419,183 shares,</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respectively</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10,414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Treasury stock, at cost; 22,195 and 7,685 shares, respectively</w:t>
            </w:r>
          </w:p>
        </w:tc>
        <w:tc>
          <w:tcPr>
            <w:tcW w:w="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7"/>
                <w:szCs w:val="17"/>
                <w:color w:val="auto"/>
              </w:rPr>
              <w:t>(98,517)</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(42,734)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158,110,305</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157,174,930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7"/>
                <w:szCs w:val="17"/>
                <w:color w:val="auto"/>
              </w:rPr>
              <w:t>Accumulated deficit</w:t>
            </w:r>
          </w:p>
        </w:tc>
        <w:tc>
          <w:tcPr>
            <w:tcW w:w="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(121,893,079)</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(110,848,972)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Accumulated other comprehensive (loss) income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(90,266)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vMerge w:val="restart"/>
          </w:tcPr>
          <w:p>
            <w:pPr>
              <w:ind w:left="280"/>
              <w:spacing w:after="0"/>
              <w:rPr>
                <w:sz w:val="20"/>
                <w:szCs w:val="20"/>
                <w:color w:val="auto"/>
              </w:rPr>
            </w:pPr>
            <w:r>
              <w:rPr>
                <w:rFonts w:ascii="Arial" w:cs="Arial" w:eastAsia="Arial" w:hAnsi="Arial"/>
                <w:sz w:val="17"/>
                <w:szCs w:val="17"/>
                <w:color w:val="auto"/>
              </w:rPr>
              <w:t>Total Ocean Power Technologies, Inc. stockholders’ equity</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36,038,857</w:t>
            </w:r>
          </w:p>
        </w:tc>
        <w:tc>
          <w:tcPr>
            <w:tcW w:w="980" w:type="dxa"/>
            <w:vAlign w:val="bottom"/>
          </w:tcPr>
          <w:p>
            <w:pPr>
              <w:jc w:val="right"/>
              <w:spacing w:after="0"/>
              <w:rPr>
                <w:sz w:val="20"/>
                <w:szCs w:val="20"/>
                <w:color w:val="auto"/>
              </w:rPr>
            </w:pPr>
            <w:r>
              <w:rPr>
                <w:rFonts w:ascii="Arial" w:cs="Arial" w:eastAsia="Arial" w:hAnsi="Arial"/>
                <w:sz w:val="17"/>
                <w:szCs w:val="17"/>
                <w:color w:val="auto"/>
              </w:rPr>
              <w:t>46,469,550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 in Ocean Power Technologies (Australasia) Pty Ltd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(12,137)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equity</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36,026,720</w:t>
            </w:r>
          </w:p>
        </w:tc>
        <w:tc>
          <w:tcPr>
            <w:tcW w:w="980" w:type="dxa"/>
            <w:vAlign w:val="bottom"/>
          </w:tcPr>
          <w:p>
            <w:pPr>
              <w:jc w:val="right"/>
              <w:spacing w:after="0"/>
              <w:rPr>
                <w:sz w:val="20"/>
                <w:szCs w:val="20"/>
                <w:color w:val="auto"/>
              </w:rPr>
            </w:pPr>
            <w:r>
              <w:rPr>
                <w:rFonts w:ascii="Arial" w:cs="Arial" w:eastAsia="Arial" w:hAnsi="Arial"/>
                <w:sz w:val="17"/>
                <w:szCs w:val="17"/>
                <w:color w:val="auto"/>
              </w:rPr>
              <w:t>46,491,498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42,185,416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53,552,578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See accompanying notes to consolidated financial statements (unaudited).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2" w:right="239" w:bottom="1440" w:gutter="0" w:footer="0" w:header="0"/>
        </w:sectPr>
      </w:pPr>
    </w:p>
    <w:bookmarkStart w:id="4" w:name="page5"/>
    <w:bookmarkEnd w:id="4"/>
    <w:p>
      <w:pPr>
        <w:ind w:left="39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98"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5"/>
              </w:rPr>
              <w:t>Three Months Ended January 31,</w:t>
            </w:r>
          </w:p>
        </w:tc>
        <w:tc>
          <w:tcPr>
            <w:tcW w:w="21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6"/>
              </w:rPr>
              <w:t>Nine Months Ended January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0"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0" w:lineRule="exact"/>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0"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0"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923,619</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1,523,601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4,349,908</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4,762,415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Cost of revenues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934,142</w:t>
            </w:r>
          </w:p>
        </w:tc>
        <w:tc>
          <w:tcPr>
            <w:tcW w:w="880" w:type="dxa"/>
            <w:vAlign w:val="bottom"/>
          </w:tcPr>
          <w:p>
            <w:pPr>
              <w:jc w:val="right"/>
              <w:spacing w:after="0"/>
              <w:rPr>
                <w:sz w:val="20"/>
                <w:szCs w:val="20"/>
                <w:color w:val="auto"/>
              </w:rPr>
            </w:pPr>
            <w:r>
              <w:rPr>
                <w:rFonts w:ascii="Arial" w:cs="Arial" w:eastAsia="Arial" w:hAnsi="Arial"/>
                <w:sz w:val="17"/>
                <w:szCs w:val="17"/>
                <w:color w:val="auto"/>
              </w:rPr>
              <w:t>1,453,397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4,319,634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4,818,623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Gross (loss) profit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(10,523)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70,204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(56,208)</w:t>
            </w:r>
          </w:p>
        </w:tc>
        <w:tc>
          <w:tcPr>
            <w:tcW w:w="0" w:type="dxa"/>
            <w:vAlign w:val="bottom"/>
          </w:tcPr>
          <w:p>
            <w:pPr>
              <w:spacing w:after="0"/>
              <w:rPr>
                <w:sz w:val="1"/>
                <w:szCs w:val="1"/>
                <w:color w:val="auto"/>
              </w:rPr>
            </w:pPr>
          </w:p>
        </w:tc>
      </w:tr>
      <w:tr>
        <w:trPr>
          <w:trHeight w:val="219"/>
        </w:trPr>
        <w:tc>
          <w:tcPr>
            <w:tcW w:w="67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Product development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1,388,380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2,026,336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6,551,507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9,731,592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7"/>
                <w:szCs w:val="17"/>
                <w:color w:val="auto"/>
              </w:rPr>
              <w:t>Selling, general and administrative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1,822,806</w:t>
            </w:r>
          </w:p>
        </w:tc>
        <w:tc>
          <w:tcPr>
            <w:tcW w:w="880" w:type="dxa"/>
            <w:vAlign w:val="bottom"/>
          </w:tcPr>
          <w:p>
            <w:pPr>
              <w:jc w:val="right"/>
              <w:spacing w:after="0"/>
              <w:rPr>
                <w:sz w:val="20"/>
                <w:szCs w:val="20"/>
                <w:color w:val="auto"/>
              </w:rPr>
            </w:pPr>
            <w:r>
              <w:rPr>
                <w:rFonts w:ascii="Arial" w:cs="Arial" w:eastAsia="Arial" w:hAnsi="Arial"/>
                <w:sz w:val="17"/>
                <w:szCs w:val="17"/>
                <w:color w:val="auto"/>
              </w:rPr>
              <w:t>1,884,950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5,857,656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6,060,705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3,211,186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3,911,286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12,409,163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15,792,297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7"/>
                <w:szCs w:val="17"/>
                <w:color w:val="auto"/>
              </w:rPr>
              <w:t>Operating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(3,221,709)</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(3,841,082)</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(12,378,889)</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(15,848,505)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95,261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148,480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341,631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Foreign exchange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(113,373)</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(38,014)</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(93,080)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(205,824)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(3,239,821)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(3,730,616)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(12,130,338)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(15,507,500)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Income tax benefit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1,053,427</w:t>
            </w:r>
          </w:p>
        </w:tc>
        <w:tc>
          <w:tcPr>
            <w:tcW w:w="880" w:type="dxa"/>
            <w:vAlign w:val="bottom"/>
          </w:tcPr>
          <w:p>
            <w:pPr>
              <w:jc w:val="right"/>
              <w:spacing w:after="0"/>
              <w:rPr>
                <w:sz w:val="20"/>
                <w:szCs w:val="20"/>
                <w:color w:val="auto"/>
              </w:rPr>
            </w:pPr>
            <w:r>
              <w:rPr>
                <w:rFonts w:ascii="Arial" w:cs="Arial" w:eastAsia="Arial" w:hAnsi="Arial"/>
                <w:sz w:val="17"/>
                <w:szCs w:val="17"/>
                <w:color w:val="auto"/>
              </w:rPr>
              <w:t>364,105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1,053,427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364,105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(2,186,394)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(3,366,511)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(11,076,911)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(15,143,395)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Arial" w:cs="Arial" w:eastAsia="Arial" w:hAnsi="Arial"/>
                <w:sz w:val="17"/>
                <w:szCs w:val="17"/>
                <w:color w:val="auto"/>
                <w:w w:val="97"/>
              </w:rPr>
              <w:t>Less: Net loss attributable to the noncontrolling interest in Ocean Power Technologies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ind w:left="620"/>
              <w:spacing w:after="0"/>
              <w:rPr>
                <w:sz w:val="20"/>
                <w:szCs w:val="20"/>
                <w:color w:val="auto"/>
              </w:rPr>
            </w:pPr>
            <w:r>
              <w:rPr>
                <w:rFonts w:ascii="Arial" w:cs="Arial" w:eastAsia="Arial" w:hAnsi="Arial"/>
                <w:sz w:val="17"/>
                <w:szCs w:val="17"/>
                <w:color w:val="auto"/>
              </w:rPr>
              <w:t>(Australasia) Pty Ltd.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19,708</w:t>
            </w:r>
          </w:p>
        </w:tc>
        <w:tc>
          <w:tcPr>
            <w:tcW w:w="880" w:type="dxa"/>
            <w:vAlign w:val="bottom"/>
          </w:tcPr>
          <w:p>
            <w:pPr>
              <w:jc w:val="right"/>
              <w:spacing w:after="0"/>
              <w:rPr>
                <w:sz w:val="20"/>
                <w:szCs w:val="20"/>
                <w:color w:val="auto"/>
              </w:rPr>
            </w:pPr>
            <w:r>
              <w:rPr>
                <w:rFonts w:ascii="Arial" w:cs="Arial" w:eastAsia="Arial" w:hAnsi="Arial"/>
                <w:sz w:val="17"/>
                <w:szCs w:val="17"/>
                <w:color w:val="auto"/>
              </w:rPr>
              <w:t>3,693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32,804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Ocean Power Technologies, Inc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(2,166,686)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(3,362,818)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(11,044,107)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(15,128,603)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7"/>
                <w:szCs w:val="17"/>
                <w:color w:val="auto"/>
              </w:rPr>
              <w:t>Basic and diluted net loss per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60" w:type="dxa"/>
            <w:vAlign w:val="bottom"/>
            <w:gridSpan w:val="2"/>
            <w:vMerge w:val="continue"/>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(0.21)</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(0.33)</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(1.07)</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to compute basic and diluted net loss per share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10,276,788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10,248,092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10,273,636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10,242,528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 (unaudited).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2" w:right="239" w:bottom="1440" w:gutter="0" w:footer="0" w:header="0"/>
        </w:sectPr>
      </w:pPr>
    </w:p>
    <w:bookmarkStart w:id="5" w:name="page6"/>
    <w:bookmarkEnd w:id="5"/>
    <w:p>
      <w:pPr>
        <w:ind w:left="39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98"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6"/>
              </w:rPr>
              <w:t>Nine Months Ended January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5"/>
              <w:spacing w:after="0" w:line="140" w:lineRule="exact"/>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0"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operating activities:</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7"/>
                <w:szCs w:val="17"/>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(11,076,911)</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(15,143,395)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840"/>
              <w:spacing w:after="0"/>
              <w:rPr>
                <w:sz w:val="20"/>
                <w:szCs w:val="20"/>
                <w:color w:val="auto"/>
              </w:rPr>
            </w:pPr>
            <w:r>
              <w:rPr>
                <w:rFonts w:ascii="Arial" w:cs="Arial" w:eastAsia="Arial" w:hAnsi="Arial"/>
                <w:sz w:val="17"/>
                <w:szCs w:val="17"/>
                <w:color w:val="auto"/>
              </w:rPr>
              <w:t>Foreign exchange loss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93,080</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294,820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840"/>
              <w:spacing w:after="0"/>
              <w:rPr>
                <w:sz w:val="20"/>
                <w:szCs w:val="20"/>
                <w:color w:val="auto"/>
              </w:rPr>
            </w:pPr>
            <w:r>
              <w:rPr>
                <w:rFonts w:ascii="Arial" w:cs="Arial" w:eastAsia="Arial" w:hAnsi="Arial"/>
                <w:sz w:val="17"/>
                <w:szCs w:val="17"/>
                <w:color w:val="auto"/>
              </w:rPr>
              <w:t>Loss on disposals of property, plant and equipment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9,715</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Treasury note (discount) premium amortization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(31,633)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840"/>
              <w:spacing w:after="0"/>
              <w:rPr>
                <w:sz w:val="20"/>
                <w:szCs w:val="20"/>
                <w:color w:val="auto"/>
              </w:rPr>
            </w:pPr>
            <w:r>
              <w:rPr>
                <w:rFonts w:ascii="Arial" w:cs="Arial" w:eastAsia="Arial" w:hAnsi="Arial"/>
                <w:sz w:val="17"/>
                <w:szCs w:val="17"/>
                <w:color w:val="auto"/>
              </w:rPr>
              <w:t>Compensation expense related to stock option grants and restricted stock</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935,370</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953,738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Changes in operating assets and liabilities: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1260"/>
              <w:spacing w:after="0"/>
              <w:rPr>
                <w:sz w:val="20"/>
                <w:szCs w:val="20"/>
                <w:color w:val="auto"/>
              </w:rPr>
            </w:pPr>
            <w:r>
              <w:rPr>
                <w:rFonts w:ascii="Arial" w:cs="Arial" w:eastAsia="Arial" w:hAnsi="Arial"/>
                <w:sz w:val="17"/>
                <w:szCs w:val="17"/>
                <w:color w:val="auto"/>
              </w:rPr>
              <w:t>Accounts receivable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334,946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776,316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Unbilled receivables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316,084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(192,577)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1260"/>
              <w:spacing w:after="0"/>
              <w:rPr>
                <w:sz w:val="20"/>
                <w:szCs w:val="20"/>
                <w:color w:val="auto"/>
              </w:rPr>
            </w:pPr>
            <w:r>
              <w:rPr>
                <w:rFonts w:ascii="Arial" w:cs="Arial" w:eastAsia="Arial" w:hAnsi="Arial"/>
                <w:sz w:val="17"/>
                <w:szCs w:val="17"/>
                <w:color w:val="auto"/>
              </w:rPr>
              <w:t>Other current assets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20,340</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325,440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Other noncurrent 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54,183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1260"/>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(761,241)</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(715,927)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Accrued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(860,101)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(787,537)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1260"/>
              <w:spacing w:after="0"/>
              <w:rPr>
                <w:sz w:val="20"/>
                <w:szCs w:val="20"/>
                <w:color w:val="auto"/>
              </w:rPr>
            </w:pPr>
            <w:r>
              <w:rPr>
                <w:rFonts w:ascii="Arial" w:cs="Arial" w:eastAsia="Arial" w:hAnsi="Arial"/>
                <w:sz w:val="17"/>
                <w:szCs w:val="17"/>
                <w:color w:val="auto"/>
              </w:rPr>
              <w:t>Unearned revenues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928,016</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(351,625)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Other noncurrent liabilities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(142,586)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1700"/>
              <w:spacing w:after="0"/>
              <w:rPr>
                <w:sz w:val="20"/>
                <w:szCs w:val="20"/>
                <w:color w:val="auto"/>
              </w:rPr>
            </w:pPr>
            <w:r>
              <w:rPr>
                <w:rFonts w:ascii="Arial" w:cs="Arial" w:eastAsia="Arial" w:hAnsi="Arial"/>
                <w:sz w:val="17"/>
                <w:szCs w:val="17"/>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(9,743,332)</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(13,987,263)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7"/>
                <w:szCs w:val="17"/>
                <w:color w:val="auto"/>
              </w:rPr>
              <w:t>Purchases of marketable securities</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(12,849,207)</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(7,528,436)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Maturities of marketable securities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26,727,857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27,011,971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7"/>
                <w:szCs w:val="17"/>
                <w:color w:val="auto"/>
              </w:rPr>
              <w:t>Restricted cash</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53,936</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Purchases of equipment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(210,316)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(67,356)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7"/>
                <w:szCs w:val="17"/>
                <w:color w:val="auto"/>
              </w:rPr>
              <w:t>Payments of patent costs</w:t>
            </w:r>
          </w:p>
        </w:tc>
        <w:tc>
          <w:tcPr>
            <w:tcW w:w="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(138,889)</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(190,547)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1700"/>
              <w:spacing w:after="0"/>
              <w:rPr>
                <w:sz w:val="20"/>
                <w:szCs w:val="20"/>
                <w:color w:val="auto"/>
              </w:rPr>
            </w:pPr>
            <w:r>
              <w:rPr>
                <w:rFonts w:ascii="Arial" w:cs="Arial" w:eastAsia="Arial" w:hAnsi="Arial"/>
                <w:sz w:val="17"/>
                <w:szCs w:val="17"/>
                <w:color w:val="auto"/>
              </w:rPr>
              <w:t>Net cash provided by investing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13,583,381</w:t>
            </w: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18,975,632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60" w:type="dxa"/>
            <w:vAlign w:val="bottom"/>
            <w:gridSpan w:val="2"/>
          </w:tcPr>
          <w:p>
            <w:pPr>
              <w:spacing w:after="0"/>
              <w:rPr>
                <w:sz w:val="20"/>
                <w:szCs w:val="20"/>
                <w:color w:val="auto"/>
              </w:rPr>
            </w:pPr>
            <w:r>
              <w:rPr>
                <w:rFonts w:ascii="Arial" w:cs="Arial" w:eastAsia="Arial" w:hAnsi="Arial"/>
                <w:sz w:val="17"/>
                <w:szCs w:val="17"/>
                <w:color w:val="auto"/>
              </w:rPr>
              <w:t>Cash flows from financing activities: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long-term debt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7"/>
                <w:szCs w:val="17"/>
                <w:color w:val="auto"/>
              </w:rPr>
              <w:t>Repayment of debt</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(114,378)</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(6,008)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Acquisition of treasury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(55,783)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1700"/>
              <w:spacing w:after="0"/>
              <w:rPr>
                <w:sz w:val="20"/>
                <w:szCs w:val="20"/>
                <w:color w:val="auto"/>
              </w:rPr>
            </w:pPr>
            <w:r>
              <w:rPr>
                <w:rFonts w:ascii="Arial" w:cs="Arial" w:eastAsia="Arial" w:hAnsi="Arial"/>
                <w:sz w:val="17"/>
                <w:szCs w:val="17"/>
                <w:color w:val="auto"/>
              </w:rPr>
              <w:t>Net cash (used in) provided by financing activities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(170,161)</w:t>
            </w:r>
          </w:p>
        </w:tc>
        <w:tc>
          <w:tcPr>
            <w:tcW w:w="900" w:type="dxa"/>
            <w:vAlign w:val="bottom"/>
          </w:tcPr>
          <w:p>
            <w:pPr>
              <w:jc w:val="right"/>
              <w:spacing w:after="0"/>
              <w:rPr>
                <w:sz w:val="20"/>
                <w:szCs w:val="20"/>
                <w:color w:val="auto"/>
              </w:rPr>
            </w:pPr>
            <w:r>
              <w:rPr>
                <w:rFonts w:ascii="Arial" w:cs="Arial" w:eastAsia="Arial" w:hAnsi="Arial"/>
                <w:sz w:val="17"/>
                <w:szCs w:val="17"/>
                <w:color w:val="auto"/>
              </w:rPr>
              <w:t>213,133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(216,273)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40" w:type="dxa"/>
            <w:vAlign w:val="bottom"/>
          </w:tcPr>
          <w:p>
            <w:pPr>
              <w:ind w:left="1700"/>
              <w:spacing w:after="0"/>
              <w:rPr>
                <w:sz w:val="20"/>
                <w:szCs w:val="20"/>
                <w:color w:val="auto"/>
              </w:rPr>
            </w:pPr>
            <w:r>
              <w:rPr>
                <w:rFonts w:ascii="Arial" w:cs="Arial" w:eastAsia="Arial" w:hAnsi="Arial"/>
                <w:sz w:val="17"/>
                <w:szCs w:val="17"/>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3,453,615</w:t>
            </w:r>
          </w:p>
        </w:tc>
        <w:tc>
          <w:tcPr>
            <w:tcW w:w="3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5,266,027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4,376,136</w:t>
            </w:r>
          </w:p>
        </w:tc>
        <w:tc>
          <w:tcPr>
            <w:tcW w:w="3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60" w:type="dxa"/>
            <w:vAlign w:val="bottom"/>
            <w:gridSpan w:val="2"/>
          </w:tcPr>
          <w:p>
            <w:pPr>
              <w:spacing w:after="0"/>
              <w:rPr>
                <w:sz w:val="20"/>
                <w:szCs w:val="20"/>
                <w:color w:val="auto"/>
              </w:rPr>
            </w:pPr>
            <w:r>
              <w:rPr>
                <w:rFonts w:ascii="Arial" w:cs="Arial" w:eastAsia="Arial" w:hAnsi="Arial"/>
                <w:sz w:val="17"/>
                <w:szCs w:val="17"/>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7,829,751</w:t>
            </w: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9,502,624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7"/>
                <w:szCs w:val="17"/>
                <w:color w:val="auto"/>
              </w:rPr>
              <w:t>Capitalized patent costs financed through 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73,019</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Capitalized purchases of equipment financed through accounts payable and accrued expenses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 (unaudited).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2" w:right="239" w:bottom="1440" w:gutter="0" w:footer="0" w:header="0"/>
        </w:sectPr>
      </w:pPr>
    </w:p>
    <w:bookmarkStart w:id="6" w:name="page7"/>
    <w:bookmarkEnd w:id="6"/>
    <w:p>
      <w:pPr>
        <w:ind w:left="39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9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Consolidated Statements of Stockholders’ Equity and</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Comprehensive Loss</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Additional</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jc w:val="center"/>
              <w:ind w:right="140"/>
              <w:spacing w:after="0" w:line="147" w:lineRule="exact"/>
              <w:rPr>
                <w:sz w:val="20"/>
                <w:szCs w:val="20"/>
                <w:color w:val="auto"/>
              </w:rPr>
            </w:pPr>
            <w:r>
              <w:rPr>
                <w:rFonts w:ascii="Arial" w:cs="Arial" w:eastAsia="Arial" w:hAnsi="Arial"/>
                <w:sz w:val="13"/>
                <w:szCs w:val="13"/>
                <w:b w:val="1"/>
                <w:bCs w:val="1"/>
                <w:color w:val="auto"/>
                <w:w w:val="97"/>
              </w:rPr>
              <w:t>Other</w:t>
            </w:r>
          </w:p>
        </w:tc>
        <w:tc>
          <w:tcPr>
            <w:tcW w:w="1320" w:type="dxa"/>
            <w:vAlign w:val="bottom"/>
            <w:gridSpan w:val="2"/>
            <w:vMerge w:val="restart"/>
          </w:tcPr>
          <w:p>
            <w:pPr>
              <w:jc w:val="center"/>
              <w:ind w:right="160"/>
              <w:spacing w:after="0" w:line="147" w:lineRule="exact"/>
              <w:rPr>
                <w:sz w:val="20"/>
                <w:szCs w:val="20"/>
                <w:color w:val="auto"/>
              </w:rPr>
            </w:pPr>
            <w:r>
              <w:rPr>
                <w:rFonts w:ascii="Arial" w:cs="Arial" w:eastAsia="Arial" w:hAnsi="Arial"/>
                <w:sz w:val="13"/>
                <w:szCs w:val="13"/>
                <w:b w:val="1"/>
                <w:bCs w:val="1"/>
                <w:color w:val="auto"/>
                <w:w w:val="92"/>
              </w:rPr>
              <w:t>Total Ocean Power</w:t>
            </w: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740" w:type="dxa"/>
            <w:vAlign w:val="bottom"/>
          </w:tcPr>
          <w:p>
            <w:pPr>
              <w:spacing w:after="0"/>
              <w:rPr>
                <w:sz w:val="5"/>
                <w:szCs w:val="5"/>
                <w:color w:val="auto"/>
              </w:rPr>
            </w:pPr>
          </w:p>
        </w:tc>
        <w:tc>
          <w:tcPr>
            <w:tcW w:w="1560" w:type="dxa"/>
            <w:vAlign w:val="bottom"/>
            <w:gridSpan w:val="4"/>
            <w:vMerge w:val="restart"/>
          </w:tcPr>
          <w:p>
            <w:pPr>
              <w:jc w:val="right"/>
              <w:ind w:right="214"/>
              <w:spacing w:after="0"/>
              <w:rPr>
                <w:sz w:val="20"/>
                <w:szCs w:val="20"/>
                <w:color w:val="auto"/>
              </w:rPr>
            </w:pPr>
            <w:r>
              <w:rPr>
                <w:rFonts w:ascii="Arial" w:cs="Arial" w:eastAsia="Arial" w:hAnsi="Arial"/>
                <w:sz w:val="13"/>
                <w:szCs w:val="13"/>
                <w:b w:val="1"/>
                <w:bCs w:val="1"/>
                <w:color w:val="auto"/>
              </w:rPr>
              <w:t>Common Shares</w:t>
            </w:r>
          </w:p>
        </w:tc>
        <w:tc>
          <w:tcPr>
            <w:tcW w:w="140" w:type="dxa"/>
            <w:vAlign w:val="bottom"/>
            <w:vMerge w:val="restart"/>
          </w:tcPr>
          <w:p>
            <w:pPr>
              <w:spacing w:after="0"/>
              <w:rPr>
                <w:sz w:val="5"/>
                <w:szCs w:val="5"/>
                <w:color w:val="auto"/>
              </w:rPr>
            </w:pPr>
          </w:p>
        </w:tc>
        <w:tc>
          <w:tcPr>
            <w:tcW w:w="1400" w:type="dxa"/>
            <w:vAlign w:val="bottom"/>
            <w:gridSpan w:val="5"/>
            <w:vMerge w:val="restart"/>
          </w:tcPr>
          <w:p>
            <w:pPr>
              <w:jc w:val="right"/>
              <w:ind w:right="154"/>
              <w:spacing w:after="0"/>
              <w:rPr>
                <w:sz w:val="20"/>
                <w:szCs w:val="20"/>
                <w:color w:val="auto"/>
              </w:rPr>
            </w:pPr>
            <w:r>
              <w:rPr>
                <w:rFonts w:ascii="Arial" w:cs="Arial" w:eastAsia="Arial" w:hAnsi="Arial"/>
                <w:sz w:val="13"/>
                <w:szCs w:val="13"/>
                <w:b w:val="1"/>
                <w:bCs w:val="1"/>
                <w:color w:val="auto"/>
              </w:rPr>
              <w:t>Treasury Shares</w:t>
            </w:r>
          </w:p>
        </w:tc>
        <w:tc>
          <w:tcPr>
            <w:tcW w:w="140" w:type="dxa"/>
            <w:vAlign w:val="bottom"/>
          </w:tcPr>
          <w:p>
            <w:pPr>
              <w:spacing w:after="0"/>
              <w:rPr>
                <w:sz w:val="5"/>
                <w:szCs w:val="5"/>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00" w:type="dxa"/>
            <w:vAlign w:val="bottom"/>
            <w:tcBorders>
              <w:bottom w:val="single" w:sz="8" w:color="auto"/>
            </w:tcBorders>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gridSpan w:val="2"/>
          </w:tcPr>
          <w:p>
            <w:pPr>
              <w:jc w:val="right"/>
              <w:ind w:right="260"/>
              <w:spacing w:after="0" w:line="113"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2"/>
          </w:tcPr>
          <w:p>
            <w:pPr>
              <w:jc w:val="center"/>
              <w:ind w:right="120"/>
              <w:spacing w:after="0" w:line="113" w:lineRule="exact"/>
              <w:rPr>
                <w:sz w:val="20"/>
                <w:szCs w:val="20"/>
                <w:color w:val="auto"/>
              </w:rPr>
            </w:pPr>
            <w:r>
              <w:rPr>
                <w:rFonts w:ascii="Arial" w:cs="Arial" w:eastAsia="Arial" w:hAnsi="Arial"/>
                <w:sz w:val="13"/>
                <w:szCs w:val="13"/>
                <w:b w:val="1"/>
                <w:bCs w:val="1"/>
                <w:color w:val="auto"/>
                <w:w w:val="90"/>
              </w:rPr>
              <w:t>Comprehensive</w:t>
            </w:r>
          </w:p>
        </w:tc>
        <w:tc>
          <w:tcPr>
            <w:tcW w:w="132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89"/>
              </w:rPr>
              <w:t>Technologies, Inc,</w:t>
            </w:r>
          </w:p>
        </w:tc>
        <w:tc>
          <w:tcPr>
            <w:tcW w:w="1000" w:type="dxa"/>
            <w:vAlign w:val="bottom"/>
            <w:gridSpan w:val="2"/>
          </w:tcPr>
          <w:p>
            <w:pPr>
              <w:jc w:val="right"/>
              <w:ind w:right="140"/>
              <w:spacing w:after="0" w:line="113" w:lineRule="exact"/>
              <w:rPr>
                <w:sz w:val="20"/>
                <w:szCs w:val="20"/>
                <w:color w:val="auto"/>
              </w:rPr>
            </w:pPr>
            <w:r>
              <w:rPr>
                <w:rFonts w:ascii="Arial" w:cs="Arial" w:eastAsia="Arial" w:hAnsi="Arial"/>
                <w:sz w:val="13"/>
                <w:szCs w:val="13"/>
                <w:b w:val="1"/>
                <w:bCs w:val="1"/>
                <w:color w:val="auto"/>
                <w:w w:val="90"/>
              </w:rPr>
              <w:t>Noncontrolling</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11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Deficit</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Loss</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Stockholders Equity</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207"/>
        </w:trPr>
        <w:tc>
          <w:tcPr>
            <w:tcW w:w="1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Balance, April 30, 2010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10,390,563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$10,391</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(6,443)</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155,726,672</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(90,413,098)</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(503,322)</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64,814,200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40,890</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64,855,090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7"/>
                <w:szCs w:val="17"/>
                <w:color w:val="auto"/>
              </w:rPr>
              <w:t>Net loss</w:t>
            </w:r>
          </w:p>
        </w:tc>
        <w:tc>
          <w:tcPr>
            <w:tcW w:w="9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(15,128,603)</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(15,128,603)</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(14,792)</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(15,143,395)</w:t>
            </w:r>
          </w:p>
        </w:tc>
        <w:tc>
          <w:tcPr>
            <w:tcW w:w="0" w:type="dxa"/>
            <w:vAlign w:val="bottom"/>
          </w:tcPr>
          <w:p>
            <w:pPr>
              <w:spacing w:after="0"/>
              <w:rPr>
                <w:sz w:val="1"/>
                <w:szCs w:val="1"/>
                <w:color w:val="auto"/>
              </w:rPr>
            </w:pPr>
          </w:p>
        </w:tc>
      </w:tr>
      <w:tr>
        <w:trPr>
          <w:trHeight w:val="205"/>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translation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300,586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300,586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302,576</w:t>
            </w:r>
          </w:p>
        </w:tc>
        <w:tc>
          <w:tcPr>
            <w:tcW w:w="0" w:type="dxa"/>
            <w:vAlign w:val="bottom"/>
          </w:tcPr>
          <w:p>
            <w:pPr>
              <w:spacing w:after="0"/>
              <w:rPr>
                <w:sz w:val="1"/>
                <w:szCs w:val="1"/>
                <w:color w:val="auto"/>
              </w:rPr>
            </w:pPr>
          </w:p>
        </w:tc>
      </w:tr>
      <w:tr>
        <w:trPr>
          <w:trHeight w:val="212"/>
        </w:trPr>
        <w:tc>
          <w:tcPr>
            <w:tcW w:w="1740" w:type="dxa"/>
            <w:vAlign w:val="bottom"/>
          </w:tcPr>
          <w:p>
            <w:pPr>
              <w:ind w:left="220"/>
              <w:spacing w:after="0"/>
              <w:rPr>
                <w:sz w:val="20"/>
                <w:szCs w:val="20"/>
                <w:color w:val="auto"/>
              </w:rPr>
            </w:pPr>
            <w:r>
              <w:rPr>
                <w:rFonts w:ascii="Arial" w:cs="Arial" w:eastAsia="Arial" w:hAnsi="Arial"/>
                <w:sz w:val="17"/>
                <w:szCs w:val="17"/>
                <w:color w:val="auto"/>
                <w:w w:val="95"/>
              </w:rPr>
              <w:t>Total comprehensive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40"/>
              <w:spacing w:after="0"/>
              <w:rPr>
                <w:sz w:val="20"/>
                <w:szCs w:val="20"/>
                <w:color w:val="auto"/>
              </w:rPr>
            </w:pPr>
            <w:r>
              <w:rPr>
                <w:rFonts w:ascii="Arial" w:cs="Arial" w:eastAsia="Arial" w:hAnsi="Arial"/>
                <w:sz w:val="17"/>
                <w:szCs w:val="17"/>
                <w:color w:val="auto"/>
              </w:rPr>
              <w:t>loss</w:t>
            </w:r>
          </w:p>
        </w:tc>
        <w:tc>
          <w:tcPr>
            <w:tcW w:w="9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(14,828,017)</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(12,802)</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(14,840,819)</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Stock based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compensation</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753,022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753,022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753,022</w:t>
            </w:r>
          </w:p>
        </w:tc>
        <w:tc>
          <w:tcPr>
            <w:tcW w:w="0" w:type="dxa"/>
            <w:vAlign w:val="bottom"/>
          </w:tcPr>
          <w:p>
            <w:pPr>
              <w:spacing w:after="0"/>
              <w:rPr>
                <w:sz w:val="1"/>
                <w:szCs w:val="1"/>
                <w:color w:val="auto"/>
              </w:rPr>
            </w:pPr>
          </w:p>
        </w:tc>
      </w:tr>
      <w:tr>
        <w:trPr>
          <w:trHeight w:val="205"/>
        </w:trPr>
        <w:tc>
          <w:tcPr>
            <w:tcW w:w="1740" w:type="dxa"/>
            <w:vAlign w:val="bottom"/>
          </w:tcPr>
          <w:p>
            <w:pPr>
              <w:spacing w:after="0"/>
              <w:rPr>
                <w:sz w:val="20"/>
                <w:szCs w:val="20"/>
                <w:color w:val="auto"/>
              </w:rPr>
            </w:pPr>
            <w:r>
              <w:rPr>
                <w:rFonts w:ascii="Arial" w:cs="Arial" w:eastAsia="Arial" w:hAnsi="Arial"/>
                <w:sz w:val="17"/>
                <w:szCs w:val="17"/>
                <w:color w:val="auto"/>
              </w:rPr>
              <w:t>Issuance (forfeiture)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220"/>
              <w:spacing w:after="0"/>
              <w:rPr>
                <w:sz w:val="20"/>
                <w:szCs w:val="20"/>
                <w:color w:val="auto"/>
              </w:rPr>
            </w:pPr>
            <w:r>
              <w:rPr>
                <w:rFonts w:ascii="Arial" w:cs="Arial" w:eastAsia="Arial" w:hAnsi="Arial"/>
                <w:sz w:val="17"/>
                <w:szCs w:val="17"/>
                <w:color w:val="auto"/>
              </w:rPr>
              <w:t>restricted stock, net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28,620</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200,688</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200,716</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200,716</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treasury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(5,601)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(30,859)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(30,859)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(30,859)</w:t>
            </w:r>
          </w:p>
        </w:tc>
        <w:tc>
          <w:tcPr>
            <w:tcW w:w="0" w:type="dxa"/>
            <w:vAlign w:val="bottom"/>
          </w:tcPr>
          <w:p>
            <w:pPr>
              <w:spacing w:after="0"/>
              <w:rPr>
                <w:sz w:val="1"/>
                <w:szCs w:val="1"/>
                <w:color w:val="auto"/>
              </w:rPr>
            </w:pPr>
          </w:p>
        </w:tc>
      </w:tr>
      <w:tr>
        <w:trPr>
          <w:trHeight w:val="212"/>
        </w:trPr>
        <w:tc>
          <w:tcPr>
            <w:tcW w:w="1740" w:type="dxa"/>
            <w:vAlign w:val="bottom"/>
          </w:tcPr>
          <w:p>
            <w:pPr>
              <w:spacing w:after="0"/>
              <w:rPr>
                <w:sz w:val="20"/>
                <w:szCs w:val="20"/>
                <w:color w:val="auto"/>
              </w:rPr>
            </w:pPr>
            <w:r>
              <w:rPr>
                <w:rFonts w:ascii="Arial" w:cs="Arial" w:eastAsia="Arial" w:hAnsi="Arial"/>
                <w:sz w:val="17"/>
                <w:szCs w:val="17"/>
                <w:color w:val="auto"/>
              </w:rPr>
              <w:t>Balance, January 31,</w:t>
            </w: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ind w:left="220"/>
              <w:spacing w:after="0"/>
              <w:rPr>
                <w:sz w:val="20"/>
                <w:szCs w:val="20"/>
                <w:color w:val="auto"/>
              </w:rPr>
            </w:pPr>
            <w:r>
              <w:rPr>
                <w:rFonts w:ascii="Arial" w:cs="Arial" w:eastAsia="Arial" w:hAnsi="Arial"/>
                <w:sz w:val="17"/>
                <w:szCs w:val="17"/>
                <w:color w:val="auto"/>
              </w:rPr>
              <w:t>2011</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10,419,183</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10,419</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(6,673)</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(37,302)</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156,680,382</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(105,541,701)</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(202,736)</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50,909,062</w:t>
            </w:r>
          </w:p>
        </w:tc>
        <w:tc>
          <w:tcPr>
            <w:tcW w:w="860" w:type="dxa"/>
            <w:vAlign w:val="bottom"/>
          </w:tcPr>
          <w:p>
            <w:pPr>
              <w:jc w:val="right"/>
              <w:spacing w:after="0"/>
              <w:rPr>
                <w:sz w:val="20"/>
                <w:szCs w:val="20"/>
                <w:color w:val="auto"/>
              </w:rPr>
            </w:pPr>
            <w:r>
              <w:rPr>
                <w:rFonts w:ascii="Arial" w:cs="Arial" w:eastAsia="Arial" w:hAnsi="Arial"/>
                <w:sz w:val="17"/>
                <w:szCs w:val="17"/>
                <w:color w:val="auto"/>
              </w:rPr>
              <w:t>28,088</w:t>
            </w: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50,937,150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w w:val="97"/>
              </w:rPr>
              <w:t>Balance, April 30, 2011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10,419,183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$10,419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(42,734)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157,174,930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(110,848,972)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175,907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46,469,550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46,491,498</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7"/>
                <w:szCs w:val="17"/>
                <w:color w:val="auto"/>
              </w:rPr>
              <w:t>Net loss</w:t>
            </w:r>
          </w:p>
        </w:tc>
        <w:tc>
          <w:tcPr>
            <w:tcW w:w="9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(11,044,107)</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(11,044,107)</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(32,804)</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(11,076,911)</w:t>
            </w:r>
          </w:p>
        </w:tc>
        <w:tc>
          <w:tcPr>
            <w:tcW w:w="0" w:type="dxa"/>
            <w:vAlign w:val="bottom"/>
          </w:tcPr>
          <w:p>
            <w:pPr>
              <w:spacing w:after="0"/>
              <w:rPr>
                <w:sz w:val="1"/>
                <w:szCs w:val="1"/>
                <w:color w:val="auto"/>
              </w:rPr>
            </w:pPr>
          </w:p>
        </w:tc>
      </w:tr>
      <w:tr>
        <w:trPr>
          <w:trHeight w:val="205"/>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translation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(266,173)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(266,173)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(267,454)</w:t>
            </w:r>
          </w:p>
        </w:tc>
        <w:tc>
          <w:tcPr>
            <w:tcW w:w="0" w:type="dxa"/>
            <w:vAlign w:val="bottom"/>
          </w:tcPr>
          <w:p>
            <w:pPr>
              <w:spacing w:after="0"/>
              <w:rPr>
                <w:sz w:val="1"/>
                <w:szCs w:val="1"/>
                <w:color w:val="auto"/>
              </w:rPr>
            </w:pPr>
          </w:p>
        </w:tc>
      </w:tr>
      <w:tr>
        <w:trPr>
          <w:trHeight w:val="212"/>
        </w:trPr>
        <w:tc>
          <w:tcPr>
            <w:tcW w:w="1740" w:type="dxa"/>
            <w:vAlign w:val="bottom"/>
          </w:tcPr>
          <w:p>
            <w:pPr>
              <w:ind w:left="440"/>
              <w:spacing w:after="0"/>
              <w:rPr>
                <w:sz w:val="20"/>
                <w:szCs w:val="20"/>
                <w:color w:val="auto"/>
              </w:rPr>
            </w:pPr>
            <w:r>
              <w:rPr>
                <w:rFonts w:ascii="Arial" w:cs="Arial" w:eastAsia="Arial" w:hAnsi="Arial"/>
                <w:sz w:val="17"/>
                <w:szCs w:val="17"/>
                <w:color w:val="auto"/>
              </w:rPr>
              <w:t>Total</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tcPr>
          <w:p>
            <w:pPr>
              <w:ind w:left="640"/>
              <w:spacing w:after="0"/>
              <w:rPr>
                <w:sz w:val="20"/>
                <w:szCs w:val="20"/>
                <w:color w:val="auto"/>
              </w:rPr>
            </w:pPr>
            <w:r>
              <w:rPr>
                <w:rFonts w:ascii="Arial" w:cs="Arial" w:eastAsia="Arial" w:hAnsi="Arial"/>
                <w:sz w:val="17"/>
                <w:szCs w:val="17"/>
                <w:color w:val="auto"/>
                <w:w w:val="93"/>
              </w:rPr>
              <w:t>comprehensive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640"/>
              <w:spacing w:after="0"/>
              <w:rPr>
                <w:sz w:val="20"/>
                <w:szCs w:val="20"/>
                <w:color w:val="auto"/>
              </w:rPr>
            </w:pPr>
            <w:r>
              <w:rPr>
                <w:rFonts w:ascii="Arial" w:cs="Arial" w:eastAsia="Arial" w:hAnsi="Arial"/>
                <w:sz w:val="17"/>
                <w:szCs w:val="17"/>
                <w:color w:val="auto"/>
              </w:rPr>
              <w:t>loss</w:t>
            </w:r>
          </w:p>
        </w:tc>
        <w:tc>
          <w:tcPr>
            <w:tcW w:w="9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(11,310,280)</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(34,085)</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(11,344,365)</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Stock based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compensation</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841,602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841,602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841,602</w:t>
            </w:r>
          </w:p>
        </w:tc>
        <w:tc>
          <w:tcPr>
            <w:tcW w:w="0" w:type="dxa"/>
            <w:vAlign w:val="bottom"/>
          </w:tcPr>
          <w:p>
            <w:pPr>
              <w:spacing w:after="0"/>
              <w:rPr>
                <w:sz w:val="1"/>
                <w:szCs w:val="1"/>
                <w:color w:val="auto"/>
              </w:rPr>
            </w:pPr>
          </w:p>
        </w:tc>
      </w:tr>
      <w:tr>
        <w:trPr>
          <w:trHeight w:val="205"/>
        </w:trPr>
        <w:tc>
          <w:tcPr>
            <w:tcW w:w="1740" w:type="dxa"/>
            <w:vAlign w:val="bottom"/>
          </w:tcPr>
          <w:p>
            <w:pPr>
              <w:spacing w:after="0"/>
              <w:rPr>
                <w:sz w:val="20"/>
                <w:szCs w:val="20"/>
                <w:color w:val="auto"/>
              </w:rPr>
            </w:pPr>
            <w:r>
              <w:rPr>
                <w:rFonts w:ascii="Arial" w:cs="Arial" w:eastAsia="Arial" w:hAnsi="Arial"/>
                <w:sz w:val="17"/>
                <w:szCs w:val="17"/>
                <w:color w:val="auto"/>
              </w:rPr>
              <w:t>Issuance (forfeiture)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220"/>
              <w:spacing w:after="0"/>
              <w:rPr>
                <w:sz w:val="20"/>
                <w:szCs w:val="20"/>
                <w:color w:val="auto"/>
              </w:rPr>
            </w:pPr>
            <w:r>
              <w:rPr>
                <w:rFonts w:ascii="Arial" w:cs="Arial" w:eastAsia="Arial" w:hAnsi="Arial"/>
                <w:sz w:val="17"/>
                <w:szCs w:val="17"/>
                <w:color w:val="auto"/>
              </w:rPr>
              <w:t>restricted stock, net</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(4,794)</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93,773</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93,768</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93,768</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treasury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(55,783)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(55,783)</w:t>
            </w:r>
          </w:p>
        </w:tc>
        <w:tc>
          <w:tcPr>
            <w:tcW w:w="0" w:type="dxa"/>
            <w:vAlign w:val="bottom"/>
          </w:tcPr>
          <w:p>
            <w:pPr>
              <w:spacing w:after="0"/>
              <w:rPr>
                <w:sz w:val="1"/>
                <w:szCs w:val="1"/>
                <w:color w:val="auto"/>
              </w:rPr>
            </w:pPr>
          </w:p>
        </w:tc>
      </w:tr>
      <w:tr>
        <w:trPr>
          <w:trHeight w:val="212"/>
        </w:trPr>
        <w:tc>
          <w:tcPr>
            <w:tcW w:w="1740" w:type="dxa"/>
            <w:vAlign w:val="bottom"/>
          </w:tcPr>
          <w:p>
            <w:pPr>
              <w:spacing w:after="0"/>
              <w:rPr>
                <w:sz w:val="20"/>
                <w:szCs w:val="20"/>
                <w:color w:val="auto"/>
              </w:rPr>
            </w:pPr>
            <w:r>
              <w:rPr>
                <w:rFonts w:ascii="Arial" w:cs="Arial" w:eastAsia="Arial" w:hAnsi="Arial"/>
                <w:sz w:val="17"/>
                <w:szCs w:val="17"/>
                <w:color w:val="auto"/>
              </w:rPr>
              <w:t>Balance, January 31,</w:t>
            </w: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ind w:left="220"/>
              <w:spacing w:after="0"/>
              <w:rPr>
                <w:sz w:val="20"/>
                <w:szCs w:val="20"/>
                <w:color w:val="auto"/>
              </w:rPr>
            </w:pPr>
            <w:r>
              <w:rPr>
                <w:rFonts w:ascii="Arial" w:cs="Arial" w:eastAsia="Arial" w:hAnsi="Arial"/>
                <w:sz w:val="17"/>
                <w:szCs w:val="17"/>
                <w:color w:val="auto"/>
              </w:rPr>
              <w:t>2012</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10,414,389</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10,414</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(22,195)</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(98,517)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158,110,305</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(121,893,079)</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(90,266)</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36,038,857</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(12,137)</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36,026,720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 (unaudited).</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520"/>
          </w:cols>
          <w:pgMar w:left="240" w:top="272" w:right="1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Background and Basis of Presentation</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Ocean Power Technologies, Inc. (the “Company”) was incorporated on April 19, 1984 in New Jersey, commenced business operations in 1994 and re-incorporated in Delaware in April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over time, is to generate revenues from utilities and other non-government commercial customers and to have such revenues represent a greater portion of its total revenues. In addition, the Company expects that in the future an increased portion of its revenues will be from the sale of products and maintenance services, as compared to revenue to support its product development efforts.</w:t>
      </w:r>
    </w:p>
    <w:p>
      <w:pPr>
        <w:spacing w:after="0" w:line="11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2011 filed with the Securities and Exchange Commission (“SEC”) and elsewhere in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98"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2012, there was one noncontrolling interest, consisting of 11.8% of the Company’s Australian subsidiary, Ocean Power Technologies (Australasia) Pty. Ltd.</w:t>
      </w:r>
    </w:p>
    <w:p>
      <w:pPr>
        <w:spacing w:after="0" w:line="10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2012, there were no such entities.</w:t>
      </w:r>
    </w:p>
    <w:p>
      <w:pPr>
        <w:spacing w:after="0" w:line="1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Company has a 10% investment in Iberdrola Energias Marinas de Cantabria, S.A. (“Iberdrola Cantabria”). Revenues from Iberdrola Cantabria for the nine months ended January 31, 2012 and 2011 were $0 and $(240,000), respectively. Additionally, accounts receivable from Iberdrola Cantabria aggregated $302,000 and $341,000 as of January 31, 2012 and April 30, 2011, respectively. See Note 2(a) and Note 9.</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2"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51" w:lineRule="exact"/>
        <w:rPr>
          <w:sz w:val="20"/>
          <w:szCs w:val="20"/>
          <w:color w:val="auto"/>
        </w:rPr>
      </w:pPr>
    </w:p>
    <w:p>
      <w:pPr>
        <w:ind w:left="260" w:hanging="253"/>
        <w:spacing w:after="0"/>
        <w:tabs>
          <w:tab w:leader="none" w:pos="2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03"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 Revenue Recognition</w:t>
      </w:r>
    </w:p>
    <w:p>
      <w:pPr>
        <w:spacing w:after="0" w:line="9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January 31, 2012 and April 30, 2011. Modifications to contract provisions, such as those currently being discussed in connection with the Company’s Spain construction agreement (see Note 9), as well as modifications in contract loss estimates, may require changes in accruals established for anticipated contract losses. During the nine months ended January 31, 2011, the Company’s revenue was reduced by approximately $240,000 due to a change in estimated revenue to be recognized in connection with the Spain construction agreement.</w:t>
      </w:r>
    </w:p>
    <w:p>
      <w:pPr>
        <w:spacing w:after="0" w:line="11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10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Generally the Company’s contracts are either cost plus or fixed price contracts. Under cost plus contracts, customers are billed for actual expenses incurred plus an agreed-upon fee. Revenue is typically recorded using the percentage-of-completion method based on the maximum awarded contract amount. In certain cases, the Company may choose to incur costs in excess of the maximum awarded contract amount, resulting in a loss on the contract. Currently, the Company has two types of fixed price contracts, firm fixed price and cost-sharing. Under firm fixed price contracts, the Company receives an agreed-upon amount for providing products and services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The Company funds the remainder of the costs as part of its product development efforts. Revenue is typically recorded using the percentage-of-completion method based on the amount agreed upon with the customer. An amount corresponding to the revenue is recorded in cost of revenues, resulting in gross profit on these contracts of zero. The Company’s share of the costs is recorded as product development expense.</w:t>
      </w:r>
    </w:p>
    <w:p>
      <w:pPr>
        <w:spacing w:after="0" w:line="1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 During the nine months ended January 31, 2012, the Company received a $1.1 million advance payment, which was recorded as unearned revenues, related to a grant from the European Union for the WavePort project in Spain. As of January 31, 2012, $687,237 of the advanced payment remained in unearned revenue.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Cash and Cash Equivalents</w:t>
      </w:r>
    </w:p>
    <w:p>
      <w:pPr>
        <w:spacing w:after="0" w:line="98"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Cash equivalents consist of investments in short-term financial instruments with initial maturities of three months or less from the date of purchase. Cash and cash equivalents include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January 31, 2012</w:t>
            </w:r>
          </w:p>
        </w:tc>
        <w:tc>
          <w:tcPr>
            <w:tcW w:w="6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April 30, 2011</w:t>
            </w:r>
          </w:p>
        </w:tc>
        <w:tc>
          <w:tcPr>
            <w:tcW w:w="0" w:type="dxa"/>
            <w:vAlign w:val="bottom"/>
          </w:tcPr>
          <w:p>
            <w:pPr>
              <w:spacing w:after="0"/>
              <w:rPr>
                <w:sz w:val="1"/>
                <w:szCs w:val="1"/>
                <w:color w:val="auto"/>
              </w:rPr>
            </w:pPr>
          </w:p>
        </w:tc>
      </w:tr>
      <w:tr>
        <w:trPr>
          <w:trHeight w:val="207"/>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Checking and savings accounts</w:t>
            </w:r>
          </w:p>
        </w:tc>
        <w:tc>
          <w:tcPr>
            <w:tcW w:w="2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2,981,926</w:t>
            </w:r>
          </w:p>
        </w:tc>
        <w:tc>
          <w:tcPr>
            <w:tcW w:w="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3,621,136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20"/>
                <w:szCs w:val="20"/>
                <w:color w:val="auto"/>
              </w:rPr>
            </w:pPr>
            <w:r>
              <w:rPr>
                <w:rFonts w:ascii="Arial" w:cs="Arial" w:eastAsia="Arial" w:hAnsi="Arial"/>
                <w:sz w:val="17"/>
                <w:szCs w:val="17"/>
                <w:color w:val="auto"/>
              </w:rPr>
              <w:t>Certificates of deposits and US Treasury obligations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2,499,945</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273,000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2,347,880</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2440" w:type="dxa"/>
            <w:vAlign w:val="bottom"/>
            <w:gridSpan w:val="2"/>
          </w:tcPr>
          <w:p>
            <w:pPr>
              <w:jc w:val="right"/>
              <w:ind w:right="49"/>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7,829,751</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4,376,136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40" w:type="dxa"/>
            <w:vAlign w:val="bottom"/>
            <w:vMerge w:val="restart"/>
          </w:tcPr>
          <w:p>
            <w:pPr>
              <w:jc w:val="right"/>
              <w:ind w:right="1733"/>
              <w:spacing w:after="0"/>
              <w:rPr>
                <w:sz w:val="20"/>
                <w:szCs w:val="20"/>
                <w:color w:val="auto"/>
              </w:rPr>
            </w:pPr>
            <w:r>
              <w:rPr>
                <w:rFonts w:ascii="Arial" w:cs="Arial" w:eastAsia="Arial" w:hAnsi="Arial"/>
                <w:sz w:val="17"/>
                <w:szCs w:val="17"/>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9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Restricted Cash and Credit Facility</w:t>
      </w:r>
    </w:p>
    <w:p>
      <w:pPr>
        <w:spacing w:after="0" w:line="98"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The Company had $1,446,944 and $1,624,669 of restricted cash as of January 31, 2012 and April 30, 2011, respectively. The cash is restricted under the terms of two security agreements.</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agreement is between Ocean Power Technologies, Inc. and Barclays Bank. Under this agreement, the restricted cash is on deposit at Barclays Bank and serves as security for letters of credit that are expected to be issued by Barclays Bank on behalf of Ocean Power Technologies Ltd., one of the Company’s wholly-owned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January 31, 2012, there were €266,000 in letters of credit outstanding under this agreement. The credit facility does not have an expiration date, but is cancelable at the discretion of the bank. As of January 31, 2012, approximately €720,000 was included in restricted cash related to this arrangement.</w:t>
      </w:r>
    </w:p>
    <w:p>
      <w:pPr>
        <w:spacing w:after="0" w:line="12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The Company has assigned to the NJBPU certificates of deposit in the amount of $500,000, which were included in restricted cash at January 31, 2012. See Note 6.</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Foreign Exchange Gains and Losses</w:t>
      </w:r>
    </w:p>
    <w:p>
      <w:pPr>
        <w:spacing w:after="0" w:line="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gain (loss) in the accompanying consolidated statements of operations.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80" w:type="dxa"/>
            <w:vAlign w:val="bottom"/>
            <w:gridSpan w:val="6"/>
          </w:tcPr>
          <w:p>
            <w:pPr>
              <w:ind w:left="80"/>
              <w:spacing w:after="0"/>
              <w:rPr>
                <w:sz w:val="20"/>
                <w:szCs w:val="20"/>
                <w:color w:val="auto"/>
              </w:rPr>
            </w:pPr>
            <w:r>
              <w:rPr>
                <w:rFonts w:ascii="Arial" w:cs="Arial" w:eastAsia="Arial" w:hAnsi="Arial"/>
                <w:sz w:val="13"/>
                <w:szCs w:val="13"/>
                <w:b w:val="1"/>
                <w:bCs w:val="1"/>
                <w:color w:val="auto"/>
              </w:rPr>
              <w:t>Three Months Ended January 31,</w:t>
            </w:r>
          </w:p>
        </w:tc>
        <w:tc>
          <w:tcPr>
            <w:tcW w:w="180" w:type="dxa"/>
            <w:vAlign w:val="bottom"/>
          </w:tcPr>
          <w:p>
            <w:pPr>
              <w:spacing w:after="0"/>
              <w:rPr>
                <w:sz w:val="13"/>
                <w:szCs w:val="13"/>
                <w:color w:val="auto"/>
              </w:rPr>
            </w:pPr>
          </w:p>
        </w:tc>
        <w:tc>
          <w:tcPr>
            <w:tcW w:w="2080" w:type="dxa"/>
            <w:vAlign w:val="bottom"/>
            <w:gridSpan w:val="7"/>
          </w:tcPr>
          <w:p>
            <w:pPr>
              <w:ind w:left="60"/>
              <w:spacing w:after="0"/>
              <w:rPr>
                <w:sz w:val="20"/>
                <w:szCs w:val="20"/>
                <w:color w:val="auto"/>
              </w:rPr>
            </w:pPr>
            <w:r>
              <w:rPr>
                <w:rFonts w:ascii="Arial" w:cs="Arial" w:eastAsia="Arial" w:hAnsi="Arial"/>
                <w:sz w:val="13"/>
                <w:szCs w:val="13"/>
                <w:b w:val="1"/>
                <w:bCs w:val="1"/>
                <w:color w:val="auto"/>
              </w:rPr>
              <w:t>Nine Months Ended January 31,</w:t>
            </w:r>
          </w:p>
        </w:tc>
      </w:tr>
      <w:tr>
        <w:trPr>
          <w:trHeight w:val="140"/>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20"/>
              <w:spacing w:after="0" w:line="140"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60"/>
              <w:spacing w:after="0" w:line="140"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240"/>
              <w:spacing w:after="0" w:line="140"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33"/>
              <w:spacing w:after="0" w:line="140" w:lineRule="exact"/>
              <w:rPr>
                <w:sz w:val="20"/>
                <w:szCs w:val="20"/>
                <w:color w:val="auto"/>
              </w:rPr>
            </w:pPr>
            <w:r>
              <w:rPr>
                <w:rFonts w:ascii="Arial" w:cs="Arial" w:eastAsia="Arial" w:hAnsi="Arial"/>
                <w:sz w:val="13"/>
                <w:szCs w:val="13"/>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gain (loss)</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9"/>
              </w:rPr>
              <w:t>(113,373</w:t>
            </w:r>
          </w:p>
        </w:tc>
        <w:tc>
          <w:tcPr>
            <w:tcW w:w="320" w:type="dxa"/>
            <w:vAlign w:val="bottom"/>
            <w:shd w:val="clear" w:color="auto" w:fill="CCEEFF"/>
          </w:tcPr>
          <w:p>
            <w:pPr>
              <w:jc w:val="right"/>
              <w:ind w:right="242"/>
              <w:spacing w:after="0"/>
              <w:rPr>
                <w:sz w:val="20"/>
                <w:szCs w:val="20"/>
                <w:color w:val="auto"/>
              </w:rPr>
            </w:pPr>
            <w:r>
              <w:rPr>
                <w:rFonts w:ascii="Arial" w:cs="Arial" w:eastAsia="Arial" w:hAnsi="Arial"/>
                <w:sz w:val="8"/>
                <w:szCs w:val="8"/>
                <w:color w:val="auto"/>
                <w:w w:val="73"/>
              </w:rPr>
              <w:t>)</w:t>
            </w:r>
          </w:p>
        </w:tc>
        <w:tc>
          <w:tcPr>
            <w:tcW w:w="8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w w:val="82"/>
              </w:rPr>
              <w:t>(38,014)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7"/>
                <w:szCs w:val="17"/>
                <w:color w:val="auto"/>
                <w:w w:val="82"/>
              </w:rPr>
              <w:t>(93,080)</w:t>
            </w:r>
          </w:p>
        </w:tc>
        <w:tc>
          <w:tcPr>
            <w:tcW w:w="320" w:type="dxa"/>
            <w:vAlign w:val="bottom"/>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(205,824)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7"/>
          </w:tcPr>
          <w:p>
            <w:pPr>
              <w:ind w:left="680"/>
              <w:spacing w:after="0"/>
              <w:rPr>
                <w:sz w:val="20"/>
                <w:szCs w:val="20"/>
                <w:color w:val="auto"/>
              </w:rPr>
            </w:pPr>
            <w:r>
              <w:rPr>
                <w:rFonts w:ascii="Arial" w:cs="Arial" w:eastAsia="Arial" w:hAnsi="Arial"/>
                <w:sz w:val="13"/>
                <w:szCs w:val="13"/>
                <w:b w:val="1"/>
                <w:bCs w:val="1"/>
                <w:color w:val="auto"/>
              </w:rPr>
              <w:t>January 31, 2012</w:t>
            </w:r>
          </w:p>
        </w:tc>
        <w:tc>
          <w:tcPr>
            <w:tcW w:w="10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April 30, 2011</w:t>
            </w:r>
          </w:p>
        </w:tc>
      </w:tr>
      <w:tr>
        <w:trPr>
          <w:trHeight w:val="207"/>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 currency denominated certificates of deposit and cash accounts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7"/>
              </w:rPr>
              <w:t>3,562,000</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4,793,000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Long-Lived Assets</w:t>
      </w:r>
    </w:p>
    <w:p>
      <w:pPr>
        <w:spacing w:after="0" w:line="98" w:lineRule="exact"/>
        <w:rPr>
          <w:sz w:val="20"/>
          <w:szCs w:val="20"/>
          <w:color w:val="auto"/>
        </w:rPr>
      </w:pPr>
    </w:p>
    <w:p>
      <w:pPr>
        <w:ind w:right="140"/>
        <w:spacing w:after="0" w:line="313" w:lineRule="auto"/>
        <w:rPr>
          <w:sz w:val="20"/>
          <w:szCs w:val="20"/>
          <w:color w:val="auto"/>
        </w:rPr>
      </w:pPr>
      <w:r>
        <w:rPr>
          <w:rFonts w:ascii="Arial" w:cs="Arial" w:eastAsia="Arial" w:hAnsi="Arial"/>
          <w:sz w:val="15"/>
          <w:szCs w:val="15"/>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nine months ended January 31, 2012.</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Concentration of Credit Risk</w:t>
      </w:r>
    </w:p>
    <w:p>
      <w:pPr>
        <w:spacing w:after="0" w:line="9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272" w:right="27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ind w:right="800"/>
        <w:spacing w:after="0" w:line="292" w:lineRule="auto"/>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 Company’s consolidated revenues for at least one of the periods indicated: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46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Customer</w:t>
            </w:r>
          </w:p>
        </w:tc>
        <w:tc>
          <w:tcPr>
            <w:tcW w:w="3300" w:type="dxa"/>
            <w:vAlign w:val="bottom"/>
            <w:gridSpan w:val="4"/>
          </w:tcPr>
          <w:p>
            <w:pPr>
              <w:jc w:val="right"/>
              <w:ind w:right="1140"/>
              <w:spacing w:after="0"/>
              <w:rPr>
                <w:sz w:val="20"/>
                <w:szCs w:val="20"/>
                <w:color w:val="auto"/>
              </w:rPr>
            </w:pPr>
            <w:r>
              <w:rPr>
                <w:rFonts w:ascii="Arial" w:cs="Arial" w:eastAsia="Arial" w:hAnsi="Arial"/>
                <w:sz w:val="13"/>
                <w:szCs w:val="13"/>
                <w:b w:val="1"/>
                <w:bCs w:val="1"/>
                <w:color w:val="auto"/>
              </w:rPr>
              <w:t>Three months ended January 31,</w:t>
            </w:r>
          </w:p>
        </w:tc>
        <w:tc>
          <w:tcPr>
            <w:tcW w:w="25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Nine months ended January 31,</w:t>
            </w:r>
          </w:p>
        </w:tc>
        <w:tc>
          <w:tcPr>
            <w:tcW w:w="0" w:type="dxa"/>
            <w:vAlign w:val="bottom"/>
          </w:tcPr>
          <w:p>
            <w:pPr>
              <w:spacing w:after="0"/>
              <w:rPr>
                <w:sz w:val="1"/>
                <w:szCs w:val="1"/>
                <w:color w:val="auto"/>
              </w:rPr>
            </w:pPr>
          </w:p>
        </w:tc>
      </w:tr>
      <w:tr>
        <w:trPr>
          <w:trHeight w:val="127"/>
        </w:trPr>
        <w:tc>
          <w:tcPr>
            <w:tcW w:w="4620" w:type="dxa"/>
            <w:vAlign w:val="bottom"/>
            <w:gridSpan w:val="3"/>
            <w:vMerge w:val="continue"/>
          </w:tcPr>
          <w:p>
            <w:pPr>
              <w:spacing w:after="0"/>
              <w:rPr>
                <w:sz w:val="11"/>
                <w:szCs w:val="11"/>
                <w:color w:val="auto"/>
              </w:rPr>
            </w:pPr>
          </w:p>
        </w:tc>
        <w:tc>
          <w:tcPr>
            <w:tcW w:w="600" w:type="dxa"/>
            <w:vAlign w:val="bottom"/>
            <w:tcBorders>
              <w:top w:val="single" w:sz="8" w:color="auto"/>
            </w:tcBorders>
          </w:tcPr>
          <w:p>
            <w:pPr>
              <w:jc w:val="right"/>
              <w:ind w:right="79"/>
              <w:spacing w:after="0" w:line="127" w:lineRule="exact"/>
              <w:rPr>
                <w:sz w:val="20"/>
                <w:szCs w:val="20"/>
                <w:color w:val="auto"/>
              </w:rPr>
            </w:pPr>
            <w:r>
              <w:rPr>
                <w:rFonts w:ascii="Arial" w:cs="Arial" w:eastAsia="Arial" w:hAnsi="Arial"/>
                <w:sz w:val="13"/>
                <w:szCs w:val="13"/>
                <w:b w:val="1"/>
                <w:bCs w:val="1"/>
                <w:color w:val="auto"/>
              </w:rPr>
              <w:t>2012</w:t>
            </w:r>
          </w:p>
        </w:tc>
        <w:tc>
          <w:tcPr>
            <w:tcW w:w="1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7"/>
              <w:spacing w:after="0" w:line="127" w:lineRule="exact"/>
              <w:rPr>
                <w:sz w:val="20"/>
                <w:szCs w:val="20"/>
                <w:color w:val="auto"/>
              </w:rPr>
            </w:pPr>
            <w:r>
              <w:rPr>
                <w:rFonts w:ascii="Arial" w:cs="Arial" w:eastAsia="Arial" w:hAnsi="Arial"/>
                <w:sz w:val="13"/>
                <w:szCs w:val="13"/>
                <w:b w:val="1"/>
                <w:bCs w:val="1"/>
                <w:color w:val="auto"/>
              </w:rPr>
              <w:t>2011</w:t>
            </w:r>
          </w:p>
        </w:tc>
        <w:tc>
          <w:tcPr>
            <w:tcW w:w="840" w:type="dxa"/>
            <w:vAlign w:val="bottom"/>
          </w:tcPr>
          <w:p>
            <w:pPr>
              <w:spacing w:after="0"/>
              <w:rPr>
                <w:sz w:val="11"/>
                <w:szCs w:val="11"/>
                <w:color w:val="auto"/>
              </w:rPr>
            </w:pPr>
          </w:p>
        </w:tc>
        <w:tc>
          <w:tcPr>
            <w:tcW w:w="580" w:type="dxa"/>
            <w:vAlign w:val="bottom"/>
            <w:tcBorders>
              <w:top w:val="single" w:sz="8" w:color="auto"/>
            </w:tcBorders>
          </w:tcPr>
          <w:p>
            <w:pPr>
              <w:jc w:val="right"/>
              <w:ind w:right="79"/>
              <w:spacing w:after="0" w:line="127" w:lineRule="exact"/>
              <w:rPr>
                <w:sz w:val="20"/>
                <w:szCs w:val="20"/>
                <w:color w:val="auto"/>
              </w:rPr>
            </w:pPr>
            <w:r>
              <w:rPr>
                <w:rFonts w:ascii="Arial" w:cs="Arial" w:eastAsia="Arial" w:hAnsi="Arial"/>
                <w:sz w:val="13"/>
                <w:szCs w:val="13"/>
                <w:b w:val="1"/>
                <w:bCs w:val="1"/>
                <w:color w:val="auto"/>
              </w:rPr>
              <w:t>2012</w:t>
            </w:r>
          </w:p>
        </w:tc>
        <w:tc>
          <w:tcPr>
            <w:tcW w:w="10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7"/>
              <w:spacing w:after="0" w:line="127"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Navy</w:t>
            </w:r>
          </w:p>
        </w:tc>
        <w:tc>
          <w:tcPr>
            <w:tcW w:w="17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1%</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33%</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US Department of Energy</w:t>
            </w:r>
          </w:p>
        </w:tc>
        <w:tc>
          <w:tcPr>
            <w:tcW w:w="1720" w:type="dxa"/>
            <w:vAlign w:val="bottom"/>
            <w:gridSpan w:val="2"/>
          </w:tcPr>
          <w:p>
            <w:pPr>
              <w:jc w:val="right"/>
              <w:ind w:right="980"/>
              <w:spacing w:after="0"/>
              <w:rPr>
                <w:sz w:val="20"/>
                <w:szCs w:val="20"/>
                <w:color w:val="auto"/>
              </w:rPr>
            </w:pPr>
            <w:r>
              <w:rPr>
                <w:rFonts w:ascii="Arial" w:cs="Arial" w:eastAsia="Arial" w:hAnsi="Arial"/>
                <w:sz w:val="17"/>
                <w:szCs w:val="17"/>
                <w:color w:val="auto"/>
              </w:rPr>
              <w:t>42%</w:t>
            </w:r>
          </w:p>
        </w:tc>
        <w:tc>
          <w:tcPr>
            <w:tcW w:w="1580" w:type="dxa"/>
            <w:vAlign w:val="bottom"/>
            <w:gridSpan w:val="2"/>
          </w:tcPr>
          <w:p>
            <w:pPr>
              <w:jc w:val="right"/>
              <w:ind w:right="700"/>
              <w:spacing w:after="0"/>
              <w:rPr>
                <w:sz w:val="20"/>
                <w:szCs w:val="20"/>
                <w:color w:val="auto"/>
              </w:rPr>
            </w:pPr>
            <w:r>
              <w:rPr>
                <w:rFonts w:ascii="Arial" w:cs="Arial" w:eastAsia="Arial" w:hAnsi="Arial"/>
                <w:sz w:val="17"/>
                <w:szCs w:val="17"/>
                <w:color w:val="auto"/>
              </w:rPr>
              <w:t>39%</w:t>
            </w:r>
          </w:p>
        </w:tc>
        <w:tc>
          <w:tcPr>
            <w:tcW w:w="1660" w:type="dxa"/>
            <w:vAlign w:val="bottom"/>
            <w:gridSpan w:val="2"/>
          </w:tcPr>
          <w:p>
            <w:pPr>
              <w:jc w:val="right"/>
              <w:ind w:right="940"/>
              <w:spacing w:after="0"/>
              <w:rPr>
                <w:sz w:val="20"/>
                <w:szCs w:val="20"/>
                <w:color w:val="auto"/>
              </w:rPr>
            </w:pPr>
            <w:r>
              <w:rPr>
                <w:rFonts w:ascii="Arial" w:cs="Arial" w:eastAsia="Arial" w:hAnsi="Arial"/>
                <w:sz w:val="17"/>
                <w:szCs w:val="17"/>
                <w:color w:val="auto"/>
              </w:rPr>
              <w:t>28%</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UK Government’s Technology Strategy Board</w:t>
            </w:r>
          </w:p>
        </w:tc>
        <w:tc>
          <w:tcPr>
            <w:tcW w:w="17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30%</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22%</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23%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European Union (WavePort project)</w:t>
            </w:r>
          </w:p>
        </w:tc>
        <w:tc>
          <w:tcPr>
            <w:tcW w:w="1720" w:type="dxa"/>
            <w:vAlign w:val="bottom"/>
            <w:gridSpan w:val="2"/>
          </w:tcPr>
          <w:p>
            <w:pPr>
              <w:jc w:val="right"/>
              <w:ind w:right="980"/>
              <w:spacing w:after="0"/>
              <w:rPr>
                <w:sz w:val="20"/>
                <w:szCs w:val="20"/>
                <w:color w:val="auto"/>
              </w:rPr>
            </w:pPr>
            <w:r>
              <w:rPr>
                <w:rFonts w:ascii="Arial" w:cs="Arial" w:eastAsia="Arial" w:hAnsi="Arial"/>
                <w:sz w:val="17"/>
                <w:szCs w:val="17"/>
                <w:color w:val="auto"/>
              </w:rPr>
              <w:t>19%</w:t>
            </w:r>
          </w:p>
        </w:tc>
        <w:tc>
          <w:tcPr>
            <w:tcW w:w="158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940"/>
              <w:spacing w:after="0"/>
              <w:rPr>
                <w:sz w:val="20"/>
                <w:szCs w:val="20"/>
                <w:color w:val="auto"/>
              </w:rPr>
            </w:pPr>
            <w:r>
              <w:rPr>
                <w:rFonts w:ascii="Arial" w:cs="Arial" w:eastAsia="Arial" w:hAnsi="Arial"/>
                <w:sz w:val="17"/>
                <w:szCs w:val="17"/>
                <w:color w:val="auto"/>
              </w:rPr>
              <w:t>8%</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92%</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94%</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96%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right="440"/>
        <w:spacing w:after="0" w:line="292" w:lineRule="auto"/>
        <w:rPr>
          <w:sz w:val="20"/>
          <w:szCs w:val="20"/>
          <w:color w:val="auto"/>
        </w:rPr>
      </w:pPr>
      <w:r>
        <w:rPr>
          <w:rFonts w:ascii="Arial" w:cs="Arial" w:eastAsia="Arial" w:hAnsi="Arial"/>
          <w:sz w:val="17"/>
          <w:szCs w:val="17"/>
          <w:color w:val="auto"/>
        </w:rPr>
        <w:t>The loss of, or a significant reduction in revenues from, any of the current customers could significantly impact the Company’s financial position or results of operations. The Company does not require its customers to post collateral.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Net Loss per Common Share</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23"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In computing diluted net loss per share, options to purchase shares of common stock and non-vested restricted stock issued to employees and non-employee directors, totaling 1,534,767 for the three and nine months ended January 31, 2012, and 1,691,900 for the three and nine months ended January 31, 2011, were excluded from the computations as the effect would be anti-dilutive due to the Company’s losses.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Recently Issued Accounting Standards</w:t>
      </w:r>
    </w:p>
    <w:p>
      <w:pPr>
        <w:spacing w:after="0" w:line="9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 The Company is currently assessing the impact of the guidance.</w:t>
      </w:r>
    </w:p>
    <w:p>
      <w:pPr>
        <w:spacing w:after="0" w:line="11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guidance is effective for fiscal years and interim periods within those years beginning after December 15, 2011. The adoption of this new guidance will not impact the Company’s financial position,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Reclassifications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have been reclassified to conform to the current year presentation.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272"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Marketable Securities</w:t>
      </w:r>
    </w:p>
    <w:p>
      <w:pPr>
        <w:spacing w:after="0" w:line="104"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Marketable securities with initial maturities longer than three months but that mature within one year from the balance sheet date are classified as current assets and are summarized as follows: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April 30,</w:t>
            </w:r>
          </w:p>
        </w:tc>
      </w:tr>
      <w:tr>
        <w:trPr>
          <w:trHeight w:val="159"/>
        </w:trPr>
        <w:tc>
          <w:tcPr>
            <w:tcW w:w="64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CCEEFF"/>
            </w:tcBorders>
          </w:tcPr>
          <w:p>
            <w:pPr>
              <w:spacing w:after="0"/>
              <w:rPr>
                <w:sz w:val="13"/>
                <w:szCs w:val="13"/>
                <w:color w:val="auto"/>
              </w:rPr>
            </w:pPr>
          </w:p>
        </w:tc>
      </w:t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Certificates of deposit denominated in Australian dollars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664,478</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491,895</w:t>
            </w:r>
          </w:p>
        </w:tc>
        <w:tc>
          <w:tcPr>
            <w:tcW w:w="80" w:type="dxa"/>
            <w:vAlign w:val="bottom"/>
            <w:shd w:val="clear" w:color="auto" w:fill="CCEEFF"/>
          </w:tcPr>
          <w:p>
            <w:pPr>
              <w:spacing w:after="0"/>
              <w:rPr>
                <w:sz w:val="17"/>
                <w:szCs w:val="17"/>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7"/>
                <w:szCs w:val="17"/>
                <w:color w:val="auto"/>
              </w:rPr>
              <w:t>Certificate of deposit denominated in US dollars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3,806,808</w:t>
            </w:r>
          </w:p>
        </w:tc>
        <w:tc>
          <w:tcPr>
            <w:tcW w:w="42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213"/>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US Treasury obligations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20,995,070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25,526,699</w:t>
            </w:r>
          </w:p>
        </w:tc>
        <w:tc>
          <w:tcPr>
            <w:tcW w:w="80" w:type="dxa"/>
            <w:vAlign w:val="bottom"/>
            <w:shd w:val="clear" w:color="auto" w:fill="CCEEFF"/>
          </w:tcPr>
          <w:p>
            <w:pPr>
              <w:spacing w:after="0"/>
              <w:rPr>
                <w:sz w:val="18"/>
                <w:szCs w:val="18"/>
                <w:color w:val="auto"/>
              </w:rPr>
            </w:pPr>
          </w:p>
        </w:tc>
      </w:tr>
      <w:tr>
        <w:trPr>
          <w:trHeight w:val="219"/>
        </w:trPr>
        <w:tc>
          <w:tcPr>
            <w:tcW w:w="6420" w:type="dxa"/>
            <w:vAlign w:val="bottom"/>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1"/>
              </w:rPr>
              <w:t>25,466,356</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26,018,594</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The Company’s marketable securities that mature more than one year from the balance sheet date are classified as noncurrent assets. These marketable securities all mature in less than three years, are all classified as held-to-maturity, are carried at amortized cost and are summarized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color w:val="auto"/>
                <w:w w:val="86"/>
              </w:rPr>
              <w:t>Gross</w:t>
            </w: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Gross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7" w:lineRule="exact"/>
              <w:rPr>
                <w:sz w:val="20"/>
                <w:szCs w:val="20"/>
                <w:color w:val="auto"/>
              </w:rPr>
            </w:pPr>
            <w:r>
              <w:rPr>
                <w:rFonts w:ascii="Arial" w:cs="Arial" w:eastAsia="Arial" w:hAnsi="Arial"/>
                <w:sz w:val="13"/>
                <w:szCs w:val="13"/>
                <w:color w:val="auto"/>
              </w:rPr>
              <w:t>Amortized</w:t>
            </w: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3"/>
                <w:szCs w:val="13"/>
                <w:color w:val="auto"/>
                <w:w w:val="93"/>
              </w:rPr>
              <w:t>unrealized</w:t>
            </w:r>
          </w:p>
        </w:tc>
        <w:tc>
          <w:tcPr>
            <w:tcW w:w="560" w:type="dxa"/>
            <w:vAlign w:val="bottom"/>
          </w:tcPr>
          <w:p>
            <w:pPr>
              <w:jc w:val="center"/>
              <w:spacing w:after="0" w:line="147" w:lineRule="exact"/>
              <w:rPr>
                <w:sz w:val="20"/>
                <w:szCs w:val="20"/>
                <w:color w:val="auto"/>
              </w:rPr>
            </w:pPr>
            <w:r>
              <w:rPr>
                <w:rFonts w:ascii="Arial" w:cs="Arial" w:eastAsia="Arial" w:hAnsi="Arial"/>
                <w:sz w:val="13"/>
                <w:szCs w:val="13"/>
                <w:color w:val="auto"/>
                <w:w w:val="89"/>
              </w:rPr>
              <w:t>unrealized</w:t>
            </w: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Market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3"/>
                <w:szCs w:val="13"/>
                <w:color w:val="auto"/>
              </w:rPr>
              <w:t>cost</w:t>
            </w:r>
          </w:p>
        </w:tc>
        <w:tc>
          <w:tcPr>
            <w:tcW w:w="940" w:type="dxa"/>
            <w:vAlign w:val="bottom"/>
            <w:gridSpan w:val="2"/>
          </w:tcPr>
          <w:p>
            <w:pPr>
              <w:jc w:val="center"/>
              <w:ind w:right="300"/>
              <w:spacing w:after="0"/>
              <w:rPr>
                <w:sz w:val="20"/>
                <w:szCs w:val="20"/>
                <w:color w:val="auto"/>
              </w:rPr>
            </w:pPr>
            <w:r>
              <w:rPr>
                <w:rFonts w:ascii="Arial" w:cs="Arial" w:eastAsia="Arial" w:hAnsi="Arial"/>
                <w:sz w:val="13"/>
                <w:szCs w:val="13"/>
                <w:color w:val="auto"/>
                <w:w w:val="89"/>
              </w:rPr>
              <w:t>gains</w:t>
            </w: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losses</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Borders>
              <w:top w:val="single" w:sz="8" w:color="CCEEFF"/>
              <w:bottom w:val="single" w:sz="8" w:color="auto"/>
            </w:tcBorders>
            <w:gridSpan w:val="2"/>
            <w:shd w:val="clear" w:color="auto" w:fill="CCEEFF"/>
          </w:tcPr>
          <w:p>
            <w:pPr>
              <w:spacing w:after="0" w:line="154" w:lineRule="exact"/>
              <w:rPr>
                <w:sz w:val="20"/>
                <w:szCs w:val="20"/>
                <w:color w:val="auto"/>
              </w:rPr>
            </w:pPr>
            <w:r>
              <w:rPr>
                <w:rFonts w:ascii="Arial" w:cs="Arial" w:eastAsia="Arial" w:hAnsi="Arial"/>
                <w:sz w:val="17"/>
                <w:szCs w:val="17"/>
                <w:color w:val="auto"/>
                <w:w w:val="88"/>
              </w:rPr>
              <w:t>January 31, 2012</w:t>
            </w:r>
          </w:p>
        </w:tc>
        <w:tc>
          <w:tcPr>
            <w:tcW w:w="2460" w:type="dxa"/>
            <w:vAlign w:val="bottom"/>
            <w:tcBorders>
              <w:top w:val="single" w:sz="8" w:color="CCEEFF"/>
              <w:bottom w:val="single" w:sz="8" w:color="CCEEFF"/>
            </w:tcBorders>
            <w:shd w:val="clear" w:color="auto" w:fill="CCEEFF"/>
          </w:tcPr>
          <w:p>
            <w:pPr>
              <w:spacing w:after="0"/>
              <w:rPr>
                <w:sz w:val="15"/>
                <w:szCs w:val="15"/>
                <w:color w:val="auto"/>
              </w:rPr>
            </w:pPr>
          </w:p>
        </w:tc>
        <w:tc>
          <w:tcPr>
            <w:tcW w:w="38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auto"/>
              </w:rPr>
              <w:t>US Treasury obligations</w:t>
            </w:r>
          </w:p>
        </w:tc>
        <w:tc>
          <w:tcPr>
            <w:tcW w:w="3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3,015,708</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24,132</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3,039,840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3,015,708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24,132</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3,039,840</w:t>
            </w: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Arial" w:cs="Arial" w:eastAsia="Arial" w:hAnsi="Arial"/>
                <w:sz w:val="17"/>
                <w:szCs w:val="17"/>
                <w:color w:val="auto"/>
              </w:rPr>
              <w:t>April 30, 2011</w:t>
            </w: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660" w:type="dxa"/>
            <w:vAlign w:val="bottom"/>
            <w:gridSpan w:val="4"/>
            <w:vMerge w:val="continue"/>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obligations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12,516,208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164,107</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12,680,315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auto"/>
              </w:rPr>
              <w:t>Certificate of deposit</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3,806,808</w:t>
            </w:r>
          </w:p>
        </w:tc>
        <w:tc>
          <w:tcPr>
            <w:tcW w:w="9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3,806,808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16,323,016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164,107</w:t>
            </w: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16,487,123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vMerge w:val="restart"/>
          </w:tcPr>
          <w:p>
            <w:pPr>
              <w:jc w:val="right"/>
              <w:ind w:right="1573"/>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Detail</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January 31, 2012</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April 30, 2011</w:t>
            </w:r>
          </w:p>
        </w:tc>
      </w:tr>
      <w:tr>
        <w:trPr>
          <w:trHeight w:val="193"/>
        </w:trPr>
        <w:tc>
          <w:tcPr>
            <w:tcW w:w="4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Property and Equipment</w:t>
            </w:r>
          </w:p>
        </w:tc>
        <w:tc>
          <w:tcPr>
            <w:tcW w:w="1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Property and Equipment</w:t>
            </w:r>
          </w:p>
        </w:tc>
        <w:tc>
          <w:tcPr>
            <w:tcW w:w="14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2,320,733</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2,151,179</w:t>
            </w:r>
          </w:p>
        </w:tc>
      </w:tr>
      <w:tr>
        <w:trPr>
          <w:trHeight w:val="213"/>
        </w:trPr>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Accumulated depreciation and amortization</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8"/>
              </w:rPr>
              <w:t>(1,585,999)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(1,359,087)</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4780" w:type="dxa"/>
            <w:vAlign w:val="bottom"/>
          </w:tcPr>
          <w:p>
            <w:pPr>
              <w:spacing w:after="0"/>
              <w:rPr>
                <w:sz w:val="19"/>
                <w:szCs w:val="19"/>
                <w:color w:val="auto"/>
              </w:rPr>
            </w:pPr>
          </w:p>
        </w:tc>
        <w:tc>
          <w:tcPr>
            <w:tcW w:w="14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734,734</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792,092</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Patents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Patents</w:t>
            </w:r>
          </w:p>
        </w:tc>
        <w:tc>
          <w:tcPr>
            <w:tcW w:w="14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1,726,463</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1,556,277</w:t>
            </w:r>
          </w:p>
        </w:tc>
      </w:tr>
      <w:tr>
        <w:trPr>
          <w:trHeight w:val="213"/>
        </w:trPr>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Accumulated amortization</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(376,606)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(333,909)</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4780" w:type="dxa"/>
            <w:vAlign w:val="bottom"/>
          </w:tcPr>
          <w:p>
            <w:pPr>
              <w:spacing w:after="0"/>
              <w:rPr>
                <w:sz w:val="19"/>
                <w:szCs w:val="19"/>
                <w:color w:val="auto"/>
              </w:rPr>
            </w:pPr>
          </w:p>
        </w:tc>
        <w:tc>
          <w:tcPr>
            <w:tcW w:w="14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1,349,857</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1,222,368</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Accrued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Project costs</w:t>
            </w:r>
          </w:p>
        </w:tc>
        <w:tc>
          <w:tcPr>
            <w:tcW w:w="14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1,051,425</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1,505,981</w:t>
            </w:r>
          </w:p>
        </w:tc>
      </w:tr>
      <w:tr>
        <w:trPr>
          <w:trHeight w:val="213"/>
        </w:trPr>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Contract loss reserves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785,000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785,000</w:t>
            </w: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Employee incentive payments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413,645</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749,464</w:t>
            </w:r>
          </w:p>
        </w:tc>
      </w:tr>
      <w:tr>
        <w:trPr>
          <w:trHeight w:val="213"/>
        </w:trPr>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268,707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282,999</w:t>
            </w: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Employee-related costs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285,031</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364,799</w:t>
            </w:r>
          </w:p>
        </w:tc>
      </w:tr>
      <w:tr>
        <w:trPr>
          <w:trHeight w:val="213"/>
        </w:trPr>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Payroll tax withholdings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190,814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219,632</w:t>
            </w: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Investment in joint venture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174,874</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197,318</w:t>
            </w:r>
          </w:p>
        </w:tc>
      </w:tr>
      <w:tr>
        <w:trPr>
          <w:trHeight w:val="213"/>
        </w:trPr>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Legal and accounting fees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183,193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157,616</w:t>
            </w:r>
          </w:p>
        </w:tc>
      </w:tr>
      <w:tr>
        <w:trPr>
          <w:trHeight w:val="213"/>
        </w:trPr>
        <w:tc>
          <w:tcPr>
            <w:tcW w:w="4780" w:type="dxa"/>
            <w:vAlign w:val="bottom"/>
          </w:tcPr>
          <w:p>
            <w:pPr>
              <w:ind w:left="420"/>
              <w:spacing w:after="0"/>
              <w:rPr>
                <w:sz w:val="20"/>
                <w:szCs w:val="20"/>
                <w:color w:val="auto"/>
              </w:rPr>
            </w:pPr>
            <w:r>
              <w:rPr>
                <w:rFonts w:ascii="Arial" w:cs="Arial" w:eastAsia="Arial" w:hAnsi="Arial"/>
                <w:sz w:val="17"/>
                <w:szCs w:val="17"/>
                <w:color w:val="auto"/>
              </w:rPr>
              <w:t>Value-added tax</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7"/>
                <w:szCs w:val="17"/>
                <w:color w:val="auto"/>
              </w:rPr>
              <w:t>7,828</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40,143</w:t>
            </w:r>
          </w:p>
        </w:tc>
      </w:tr>
      <w:tr>
        <w:trPr>
          <w:trHeight w:val="27"/>
        </w:trPr>
        <w:tc>
          <w:tcPr>
            <w:tcW w:w="4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4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3,360,517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4,302,952</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Related Party Transactions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1999, the Company entered into a consulting agreement with an individual for the provision of marketing services. Currently, this agreement provides for fees at a rate of $950 per day of services provided. The individual became a member of the board of directors in June 2006. In addition, this individual is also the chief executive officer of a company that provides engineering and technical services to the Company. The Company also provides services to the company where this individual is the chief executive officer.</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January 31,</w:t>
            </w:r>
          </w:p>
        </w:tc>
        <w:tc>
          <w:tcPr>
            <w:tcW w:w="2120" w:type="dxa"/>
            <w:vAlign w:val="bottom"/>
            <w:gridSpan w:val="6"/>
          </w:tcPr>
          <w:p>
            <w:pPr>
              <w:ind w:left="80"/>
              <w:spacing w:after="0"/>
              <w:rPr>
                <w:sz w:val="20"/>
                <w:szCs w:val="20"/>
                <w:color w:val="auto"/>
              </w:rPr>
            </w:pPr>
            <w:r>
              <w:rPr>
                <w:rFonts w:ascii="Arial" w:cs="Arial" w:eastAsia="Arial" w:hAnsi="Arial"/>
                <w:sz w:val="13"/>
                <w:szCs w:val="13"/>
                <w:b w:val="1"/>
                <w:bCs w:val="1"/>
                <w:color w:val="auto"/>
              </w:rPr>
              <w:t>Nine Months Ended January 31,</w:t>
            </w:r>
          </w:p>
        </w:tc>
      </w:tr>
      <w:tr>
        <w:trPr>
          <w:trHeight w:val="140"/>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1"/>
              <w:spacing w:after="0" w:line="140" w:lineRule="exact"/>
              <w:rPr>
                <w:sz w:val="20"/>
                <w:szCs w:val="20"/>
                <w:color w:val="auto"/>
              </w:rPr>
            </w:pPr>
            <w:r>
              <w:rPr>
                <w:rFonts w:ascii="Arial" w:cs="Arial" w:eastAsia="Arial" w:hAnsi="Arial"/>
                <w:sz w:val="13"/>
                <w:szCs w:val="13"/>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80"/>
              <w:spacing w:after="0" w:line="140" w:lineRule="exact"/>
              <w:rPr>
                <w:sz w:val="20"/>
                <w:szCs w:val="20"/>
                <w:color w:val="auto"/>
              </w:rPr>
            </w:pPr>
            <w:r>
              <w:rPr>
                <w:rFonts w:ascii="Arial" w:cs="Arial" w:eastAsia="Arial" w:hAnsi="Arial"/>
                <w:sz w:val="13"/>
                <w:szCs w:val="13"/>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13"/>
              <w:spacing w:after="0" w:line="140" w:lineRule="exact"/>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Related party consulting expense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21,000</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63,000</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Expenses for services provided by related party company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30,000</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29,000</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130,000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Revenue for services provided to related party company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122,000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36,000</w:t>
            </w:r>
          </w:p>
        </w:tc>
        <w:tc>
          <w:tcPr>
            <w:tcW w:w="80" w:type="dxa"/>
            <w:vAlign w:val="bottom"/>
            <w:shd w:val="clear" w:color="auto" w:fill="CCEEFF"/>
          </w:tcPr>
          <w:p>
            <w:pPr>
              <w:spacing w:after="0"/>
              <w:rPr>
                <w:sz w:val="18"/>
                <w:szCs w:val="18"/>
                <w:color w:val="auto"/>
              </w:rPr>
            </w:pPr>
          </w:p>
        </w:tc>
      </w:tr>
      <w:tr>
        <w:trPr>
          <w:trHeight w:val="34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gridSpan w:val="6"/>
          </w:tcPr>
          <w:p>
            <w:pPr>
              <w:ind w:left="600"/>
              <w:spacing w:after="0"/>
              <w:rPr>
                <w:sz w:val="20"/>
                <w:szCs w:val="20"/>
                <w:color w:val="auto"/>
              </w:rPr>
            </w:pPr>
            <w:r>
              <w:rPr>
                <w:rFonts w:ascii="Arial" w:cs="Arial" w:eastAsia="Arial" w:hAnsi="Arial"/>
                <w:sz w:val="13"/>
                <w:szCs w:val="13"/>
                <w:b w:val="1"/>
                <w:bCs w:val="1"/>
                <w:color w:val="auto"/>
              </w:rPr>
              <w:t>January 31, 2012</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April 30, 2011</w:t>
            </w:r>
          </w:p>
        </w:tc>
      </w:tr>
      <w:tr>
        <w:trPr>
          <w:trHeight w:val="207"/>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Consulting fees payable to related party</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7,000</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Payable to related party company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center"/>
              <w:ind w:right="7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56,000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related party company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27,000</w:t>
            </w:r>
          </w:p>
        </w:tc>
        <w:tc>
          <w:tcPr>
            <w:tcW w:w="80" w:type="dxa"/>
            <w:vAlign w:val="bottom"/>
            <w:shd w:val="clear" w:color="auto" w:fill="CCEEFF"/>
          </w:tcPr>
          <w:p>
            <w:pPr>
              <w:spacing w:after="0"/>
              <w:rPr>
                <w:sz w:val="18"/>
                <w:szCs w:val="18"/>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80"/>
          </w:cols>
          <w:pgMar w:left="240" w:top="272"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was required to repay the amount funded, without interest, by July 15, 2012. The amounts to be repaid each year were determined as a percentage of revenues (as defined in the loan agreement) the Company received that year from its customer contracts that met criteria specified in the loan agreement. The Company has repaid the entire award of $250,000 as of January 31, 2012, with the final payment of $89,378 made in May 2011.</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January 31, 2012 and April 30, 2011, $100,000 and $50,000, respectively, was included in current portion of long-term debt on the accompanying consolidated balance sheets. The terms also required the Company to assign to the NJBPU a certificate of deposit in an amount equal to the outstanding grant balance. The Company received $250,000, representing the first half of the grant, during the year ended April 30, 2010, and the remaining $250,000 was received in June 2010. See Note 2(c).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Deferred Credits Payable and Deferred Credits</w:t>
      </w:r>
    </w:p>
    <w:p>
      <w:pPr>
        <w:spacing w:after="0" w:line="1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payable and deferred credits in the accompanying consolidated balance sheets as of January 31, 2012 and April 30, 2011, respectively.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 As of January 31, 2012, the Company has not generated any emissions credits eligible for purchase under the agreement and the Company does not expect to generate any eligible emissions credits before December 31, 2012. Accordingly, this amount has been classified as a current liability as of January 31, 2012.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104"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$935,000 and $954,000 for the nine months ended January 31, 2012 and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2"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Stock Options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Assumptions for Options Granted During the Nine Months Ended January 31, 2012 and 2011</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fair value of each stock option granted during the nine months ended January 31, 2012 and 2011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historical volatility for a peer group of companies for a period equal to the stock option’s expected life, calculated on a daily basis.</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6340" w:type="dxa"/>
            <w:vAlign w:val="bottom"/>
          </w:tcPr>
          <w:p>
            <w:pPr>
              <w:spacing w:after="0"/>
              <w:rPr>
                <w:sz w:val="13"/>
                <w:szCs w:val="13"/>
                <w:color w:val="auto"/>
              </w:rPr>
            </w:pPr>
          </w:p>
        </w:tc>
        <w:tc>
          <w:tcPr>
            <w:tcW w:w="2320" w:type="dxa"/>
            <w:vAlign w:val="bottom"/>
            <w:gridSpan w:val="4"/>
          </w:tcPr>
          <w:p>
            <w:pPr>
              <w:ind w:left="140"/>
              <w:spacing w:after="0"/>
              <w:rPr>
                <w:sz w:val="20"/>
                <w:szCs w:val="20"/>
                <w:color w:val="auto"/>
              </w:rPr>
            </w:pPr>
            <w:r>
              <w:rPr>
                <w:rFonts w:ascii="Arial" w:cs="Arial" w:eastAsia="Arial" w:hAnsi="Arial"/>
                <w:sz w:val="13"/>
                <w:szCs w:val="13"/>
                <w:b w:val="1"/>
                <w:bCs w:val="1"/>
                <w:color w:val="auto"/>
              </w:rPr>
              <w:t>Nine Months Ended January 31,</w:t>
            </w:r>
          </w:p>
        </w:tc>
      </w:tr>
      <w:tr>
        <w:trPr>
          <w:trHeight w:val="140"/>
        </w:trPr>
        <w:tc>
          <w:tcPr>
            <w:tcW w:w="63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0"/>
              <w:spacing w:after="0" w:line="140" w:lineRule="exact"/>
              <w:rPr>
                <w:sz w:val="20"/>
                <w:szCs w:val="20"/>
                <w:color w:val="auto"/>
              </w:rPr>
            </w:pPr>
            <w:r>
              <w:rPr>
                <w:rFonts w:ascii="Arial" w:cs="Arial" w:eastAsia="Arial" w:hAnsi="Arial"/>
                <w:sz w:val="13"/>
                <w:szCs w:val="13"/>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0"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07"/>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r>
      <w:tr>
        <w:trPr>
          <w:trHeight w:val="213"/>
        </w:trPr>
        <w:tc>
          <w:tcPr>
            <w:tcW w:w="63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r>
        <w:trPr>
          <w:trHeight w:val="213"/>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Expected life</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5.8 years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 years</w:t>
            </w:r>
          </w:p>
        </w:tc>
      </w:tr>
      <w:tr>
        <w:trPr>
          <w:trHeight w:val="220"/>
        </w:trPr>
        <w:tc>
          <w:tcPr>
            <w:tcW w:w="6340" w:type="dxa"/>
            <w:vAlign w:val="bottom"/>
          </w:tcPr>
          <w:p>
            <w:pPr>
              <w:spacing w:after="0"/>
              <w:rPr>
                <w:sz w:val="20"/>
                <w:szCs w:val="20"/>
                <w:color w:val="auto"/>
              </w:rPr>
            </w:pPr>
            <w:r>
              <w:rPr>
                <w:rFonts w:ascii="Arial" w:cs="Arial" w:eastAsia="Arial" w:hAnsi="Arial"/>
                <w:sz w:val="17"/>
                <w:szCs w:val="17"/>
                <w:color w:val="auto"/>
              </w:rPr>
              <w:t>Expected volatility</w:t>
            </w: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94.5%</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93.8%</w:t>
            </w:r>
          </w:p>
        </w:tc>
      </w:tr>
    </w:tbl>
    <w:p>
      <w:pPr>
        <w:spacing w:after="0" w:line="144"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The above assumptions were used to determine the weighted average per share fair value of $2.98 and $5.36 for stock options granted during the nine months ended January 31, 2012 and 2011,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options under the plans is as follows: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ind w:left="197"/>
              <w:spacing w:after="0" w:line="147" w:lineRule="exact"/>
              <w:rPr>
                <w:sz w:val="20"/>
                <w:szCs w:val="20"/>
                <w:color w:val="auto"/>
              </w:rPr>
            </w:pPr>
            <w:r>
              <w:rPr>
                <w:rFonts w:ascii="Arial" w:cs="Arial" w:eastAsia="Arial" w:hAnsi="Arial"/>
                <w:sz w:val="13"/>
                <w:szCs w:val="13"/>
                <w:b w:val="1"/>
                <w:bCs w:val="1"/>
                <w:color w:val="auto"/>
                <w:w w:val="92"/>
              </w:rPr>
              <w:t>Weighted</w:t>
            </w: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80" w:type="dxa"/>
            <w:vAlign w:val="bottom"/>
            <w:gridSpan w:val="2"/>
          </w:tcPr>
          <w:p>
            <w:pPr>
              <w:jc w:val="center"/>
              <w:ind w:right="340"/>
              <w:spacing w:after="0" w:line="147" w:lineRule="exact"/>
              <w:rPr>
                <w:sz w:val="20"/>
                <w:szCs w:val="20"/>
                <w:color w:val="auto"/>
              </w:rPr>
            </w:pPr>
            <w:r>
              <w:rPr>
                <w:rFonts w:ascii="Arial" w:cs="Arial" w:eastAsia="Arial" w:hAnsi="Arial"/>
                <w:sz w:val="13"/>
                <w:szCs w:val="13"/>
                <w:b w:val="1"/>
                <w:bCs w:val="1"/>
                <w:color w:val="auto"/>
                <w:w w:val="87"/>
              </w:rPr>
              <w:t>Shares</w:t>
            </w:r>
          </w:p>
        </w:tc>
        <w:tc>
          <w:tcPr>
            <w:tcW w:w="28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9"/>
              </w:rPr>
              <w:t>Average</w:t>
            </w:r>
          </w:p>
        </w:tc>
        <w:tc>
          <w:tcPr>
            <w:tcW w:w="1400" w:type="dxa"/>
            <w:vAlign w:val="bottom"/>
            <w:gridSpan w:val="3"/>
          </w:tcPr>
          <w:p>
            <w:pPr>
              <w:jc w:val="center"/>
              <w:ind w:left="420"/>
              <w:spacing w:after="0" w:line="147" w:lineRule="exact"/>
              <w:rPr>
                <w:sz w:val="20"/>
                <w:szCs w:val="20"/>
                <w:color w:val="auto"/>
              </w:rPr>
            </w:pPr>
            <w:r>
              <w:rPr>
                <w:rFonts w:ascii="Arial" w:cs="Arial" w:eastAsia="Arial" w:hAnsi="Arial"/>
                <w:sz w:val="13"/>
                <w:szCs w:val="13"/>
                <w:b w:val="1"/>
                <w:bCs w:val="1"/>
                <w:color w:val="auto"/>
                <w:w w:val="96"/>
              </w:rPr>
              <w:t>Contractual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80" w:type="dxa"/>
            <w:vAlign w:val="bottom"/>
            <w:gridSpan w:val="2"/>
          </w:tcPr>
          <w:p>
            <w:pPr>
              <w:jc w:val="center"/>
              <w:ind w:right="360"/>
              <w:spacing w:after="0" w:line="147" w:lineRule="exact"/>
              <w:rPr>
                <w:sz w:val="20"/>
                <w:szCs w:val="20"/>
                <w:color w:val="auto"/>
              </w:rPr>
            </w:pPr>
            <w:r>
              <w:rPr>
                <w:rFonts w:ascii="Arial" w:cs="Arial" w:eastAsia="Arial" w:hAnsi="Arial"/>
                <w:sz w:val="13"/>
                <w:szCs w:val="13"/>
                <w:b w:val="1"/>
                <w:bCs w:val="1"/>
                <w:color w:val="auto"/>
                <w:w w:val="94"/>
              </w:rPr>
              <w:t>Underlying</w:t>
            </w:r>
          </w:p>
        </w:tc>
        <w:tc>
          <w:tcPr>
            <w:tcW w:w="28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9"/>
              </w:rPr>
              <w:t>Exercise</w:t>
            </w: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94"/>
              </w:rPr>
              <w:t>Term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Options</w:t>
            </w:r>
          </w:p>
        </w:tc>
        <w:tc>
          <w:tcPr>
            <w:tcW w:w="2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60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 Years)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April 30, 2011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1,353,935</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$ 10.30</w:t>
            </w: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Forfeited</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(190,830)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12.78</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Granted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266,822</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31, 2012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1,429,927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7"/>
                <w:szCs w:val="17"/>
                <w:color w:val="auto"/>
              </w:rPr>
              <w:t>Exercisable as of January 31, 2012</w:t>
            </w: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11.15</w:t>
            </w:r>
          </w:p>
        </w:tc>
        <w:tc>
          <w:tcPr>
            <w:tcW w:w="1300" w:type="dxa"/>
            <w:vAlign w:val="bottom"/>
            <w:gridSpan w:val="2"/>
            <w:vMerge w:val="restart"/>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00" w:type="dxa"/>
            <w:vAlign w:val="bottom"/>
            <w:gridSpan w:val="2"/>
            <w:vMerge w:val="continue"/>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817,163</w:t>
            </w:r>
          </w:p>
        </w:tc>
        <w:tc>
          <w:tcPr>
            <w:tcW w:w="3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There was no intrinsic value of outstanding and exercisable options as of January 31, 2012, because the exercise price of the options exceeded the market price of the Company’s common stock. As of January 31, 2012, approximately 613,000 additional options are expected to vest in the future, which options have no intrinsic value and a weighted average remaining contractual term of 8.4 years. There was approximately $842,000 and $753,000 of total recognized compensation cost related to stock options for the nine months ended January 31, 2012 and 2011, respectively. As of January 31, 2012, there was approximately $1,775,000 of total unrecognized compensation cost related to non-vested stock options granted under the plans. This cost is expected to be recognized over a weighted-average period of 3.0 years. The Company normally issues new shares to satisfy option exercises under these plans. During the nine months ended January 31, 2012, stock options granted included 16,996 stock options which were subject to performance-based vesting requirements. Stock options outstanding as of January 31, 2012 included 16,996 stock options subject to performance-based vesting requirements.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Restricted Stock</w:t>
      </w:r>
    </w:p>
    <w:p>
      <w:pPr>
        <w:spacing w:after="0" w:line="9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Compensation expense for non-vested restricted stock was historically recorded based on its market value on the date of grant and recognized over the associated service and performance period. During the nine months ended January 31, 2012, there were 9,000 shares of non-vested restricted stock granted to employees with performance-based vesting requirements and 5,634 shares of non-vested restricted stock granted to a member of the Board of Directors with service based requirements. During the nine months ended January 31, 2012, 16,888 shares of non-vested restricted stock subject to performance-based vesting requirements were forfeited in accordance with performance objectives and 2,540 shares of non-vested restricted stock subject to service-based requirements were forfeited. Restricted stock issued and unvested at January 31, 2012 included 71,999 shares of non-vested restricted stock subject to performance-based vesting requirements.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2"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non-vested restricted stock under the plans is as follows: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ind w:left="82"/>
              <w:spacing w:after="0"/>
              <w:rPr>
                <w:sz w:val="20"/>
                <w:szCs w:val="20"/>
                <w:color w:val="auto"/>
              </w:rPr>
            </w:pPr>
            <w:r>
              <w:rPr>
                <w:rFonts w:ascii="Arial" w:cs="Arial" w:eastAsia="Arial" w:hAnsi="Arial"/>
                <w:sz w:val="13"/>
                <w:szCs w:val="13"/>
                <w:b w:val="1"/>
                <w:bCs w:val="1"/>
                <w:color w:val="auto"/>
                <w:w w:val="92"/>
              </w:rPr>
              <w:t>Weighted</w:t>
            </w:r>
          </w:p>
        </w:tc>
      </w:tr>
      <w:tr>
        <w:trPr>
          <w:trHeight w:val="147"/>
        </w:trPr>
        <w:tc>
          <w:tcPr>
            <w:tcW w:w="6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left="62"/>
              <w:spacing w:after="0" w:line="147" w:lineRule="exact"/>
              <w:rPr>
                <w:sz w:val="20"/>
                <w:szCs w:val="20"/>
                <w:color w:val="auto"/>
              </w:rPr>
            </w:pPr>
            <w:r>
              <w:rPr>
                <w:rFonts w:ascii="Arial" w:cs="Arial" w:eastAsia="Arial" w:hAnsi="Arial"/>
                <w:sz w:val="13"/>
                <w:szCs w:val="13"/>
                <w:b w:val="1"/>
                <w:bCs w:val="1"/>
                <w:color w:val="auto"/>
                <w:w w:val="93"/>
              </w:rPr>
              <w:t>Average</w:t>
            </w:r>
          </w:p>
        </w:tc>
      </w:tr>
      <w:tr>
        <w:trPr>
          <w:trHeight w:val="147"/>
        </w:trPr>
        <w:tc>
          <w:tcPr>
            <w:tcW w:w="6900" w:type="dxa"/>
            <w:vAlign w:val="bottom"/>
          </w:tcPr>
          <w:p>
            <w:pPr>
              <w:spacing w:after="0"/>
              <w:rPr>
                <w:sz w:val="12"/>
                <w:szCs w:val="12"/>
                <w:color w:val="auto"/>
              </w:rPr>
            </w:pPr>
          </w:p>
        </w:tc>
        <w:tc>
          <w:tcPr>
            <w:tcW w:w="900" w:type="dxa"/>
            <w:vAlign w:val="bottom"/>
            <w:gridSpan w:val="2"/>
          </w:tcPr>
          <w:p>
            <w:pPr>
              <w:jc w:val="right"/>
              <w:ind w:right="360"/>
              <w:spacing w:after="0" w:line="147" w:lineRule="exact"/>
              <w:rPr>
                <w:sz w:val="20"/>
                <w:szCs w:val="20"/>
                <w:color w:val="auto"/>
              </w:rPr>
            </w:pPr>
            <w:r>
              <w:rPr>
                <w:rFonts w:ascii="Arial" w:cs="Arial" w:eastAsia="Arial" w:hAnsi="Arial"/>
                <w:sz w:val="13"/>
                <w:szCs w:val="13"/>
                <w:b w:val="1"/>
                <w:bCs w:val="1"/>
                <w:color w:val="auto"/>
              </w:rPr>
              <w:t>Number</w:t>
            </w:r>
          </w:p>
        </w:tc>
        <w:tc>
          <w:tcPr>
            <w:tcW w:w="860" w:type="dxa"/>
            <w:vAlign w:val="bottom"/>
          </w:tcPr>
          <w:p>
            <w:pPr>
              <w:jc w:val="center"/>
              <w:ind w:left="62"/>
              <w:spacing w:after="0" w:line="147" w:lineRule="exact"/>
              <w:rPr>
                <w:sz w:val="20"/>
                <w:szCs w:val="20"/>
                <w:color w:val="auto"/>
              </w:rPr>
            </w:pPr>
            <w:r>
              <w:rPr>
                <w:rFonts w:ascii="Arial" w:cs="Arial" w:eastAsia="Arial" w:hAnsi="Arial"/>
                <w:sz w:val="13"/>
                <w:szCs w:val="13"/>
                <w:b w:val="1"/>
                <w:bCs w:val="1"/>
                <w:color w:val="auto"/>
                <w:w w:val="93"/>
              </w:rPr>
              <w:t>Price per</w:t>
            </w:r>
          </w:p>
        </w:tc>
      </w:tr>
      <w:tr>
        <w:trPr>
          <w:trHeight w:val="159"/>
        </w:trPr>
        <w:tc>
          <w:tcPr>
            <w:tcW w:w="69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4"/>
              </w:rPr>
              <w:t>of Shares</w:t>
            </w:r>
          </w:p>
        </w:tc>
        <w:tc>
          <w:tcPr>
            <w:tcW w:w="860" w:type="dxa"/>
            <w:vAlign w:val="bottom"/>
          </w:tcPr>
          <w:p>
            <w:pPr>
              <w:jc w:val="center"/>
              <w:ind w:left="62"/>
              <w:spacing w:after="0"/>
              <w:rPr>
                <w:sz w:val="20"/>
                <w:szCs w:val="20"/>
                <w:color w:val="auto"/>
              </w:rPr>
            </w:pPr>
            <w:r>
              <w:rPr>
                <w:rFonts w:ascii="Arial" w:cs="Arial" w:eastAsia="Arial" w:hAnsi="Arial"/>
                <w:sz w:val="13"/>
                <w:szCs w:val="13"/>
                <w:b w:val="1"/>
                <w:bCs w:val="1"/>
                <w:color w:val="auto"/>
                <w:w w:val="88"/>
              </w:rPr>
              <w:t>Share</w:t>
            </w:r>
          </w:p>
        </w:tc>
      </w:tr>
      <w:tr>
        <w:trPr>
          <w:trHeight w:val="21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Issued and unvested at April 30, 2011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150,953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  6.16</w:t>
            </w:r>
          </w:p>
        </w:tc>
      </w:tr>
      <w:tr>
        <w:trPr>
          <w:trHeight w:val="213"/>
        </w:trPr>
        <w:tc>
          <w:tcPr>
            <w:tcW w:w="6900" w:type="dxa"/>
            <w:vAlign w:val="bottom"/>
          </w:tcPr>
          <w:p>
            <w:pPr>
              <w:spacing w:after="0"/>
              <w:rPr>
                <w:sz w:val="20"/>
                <w:szCs w:val="20"/>
                <w:color w:val="auto"/>
              </w:rPr>
            </w:pPr>
            <w:r>
              <w:rPr>
                <w:rFonts w:ascii="Arial" w:cs="Arial" w:eastAsia="Arial" w:hAnsi="Arial"/>
                <w:sz w:val="17"/>
                <w:szCs w:val="17"/>
                <w:color w:val="auto"/>
              </w:rPr>
              <w:t>Granted</w:t>
            </w:r>
          </w:p>
        </w:tc>
        <w:tc>
          <w:tcPr>
            <w:tcW w:w="620" w:type="dxa"/>
            <w:vAlign w:val="bottom"/>
          </w:tcPr>
          <w:p>
            <w:pPr>
              <w:jc w:val="right"/>
              <w:spacing w:after="0"/>
              <w:rPr>
                <w:sz w:val="20"/>
                <w:szCs w:val="20"/>
                <w:color w:val="auto"/>
              </w:rPr>
            </w:pPr>
            <w:r>
              <w:rPr>
                <w:rFonts w:ascii="Arial" w:cs="Arial" w:eastAsia="Arial" w:hAnsi="Arial"/>
                <w:sz w:val="17"/>
                <w:szCs w:val="17"/>
                <w:color w:val="auto"/>
              </w:rPr>
              <w:t>14,634</w:t>
            </w:r>
          </w:p>
        </w:tc>
        <w:tc>
          <w:tcPr>
            <w:tcW w:w="2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7"/>
                <w:szCs w:val="17"/>
                <w:color w:val="auto"/>
              </w:rPr>
              <w:t>3.86</w:t>
            </w:r>
          </w:p>
        </w:tc>
      </w:tr>
      <w:tr>
        <w:trPr>
          <w:trHeight w:val="21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(19,428)</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6.01</w:t>
            </w:r>
          </w:p>
        </w:tc>
      </w:tr>
      <w:tr>
        <w:trPr>
          <w:trHeight w:val="220"/>
        </w:trPr>
        <w:tc>
          <w:tcPr>
            <w:tcW w:w="6900" w:type="dxa"/>
            <w:vAlign w:val="bottom"/>
          </w:tcPr>
          <w:p>
            <w:pPr>
              <w:spacing w:after="0"/>
              <w:rPr>
                <w:sz w:val="20"/>
                <w:szCs w:val="20"/>
                <w:color w:val="auto"/>
              </w:rPr>
            </w:pPr>
            <w:r>
              <w:rPr>
                <w:rFonts w:ascii="Arial" w:cs="Arial" w:eastAsia="Arial" w:hAnsi="Arial"/>
                <w:sz w:val="17"/>
                <w:szCs w:val="17"/>
                <w:color w:val="auto"/>
              </w:rPr>
              <w:t>Vested</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(41,319)</w:t>
            </w:r>
          </w:p>
        </w:tc>
        <w:tc>
          <w:tcPr>
            <w:tcW w:w="860" w:type="dxa"/>
            <w:vAlign w:val="bottom"/>
          </w:tcPr>
          <w:p>
            <w:pPr>
              <w:jc w:val="right"/>
              <w:ind w:right="2"/>
              <w:spacing w:after="0"/>
              <w:rPr>
                <w:sz w:val="20"/>
                <w:szCs w:val="20"/>
                <w:color w:val="auto"/>
              </w:rPr>
            </w:pPr>
            <w:r>
              <w:rPr>
                <w:rFonts w:ascii="Arial" w:cs="Arial" w:eastAsia="Arial" w:hAnsi="Arial"/>
                <w:sz w:val="17"/>
                <w:szCs w:val="17"/>
                <w:color w:val="auto"/>
              </w:rPr>
              <w:t>6.15</w:t>
            </w:r>
          </w:p>
        </w:tc>
      </w:tr>
      <w:tr>
        <w:trPr>
          <w:trHeight w:val="21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Issued and unvested at January 31, 2012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104,840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5.89</w:t>
            </w:r>
          </w:p>
        </w:tc>
      </w:tr>
      <w:tr>
        <w:trPr>
          <w:trHeight w:val="20"/>
        </w:trPr>
        <w:tc>
          <w:tcPr>
            <w:tcW w:w="6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There was approximately $93,000 and $201,000 of total recognized compensation cost related to restricted stock for the nine months ended January 31, 2012 and 2011, respectively. As of January 31, 2012, there was approximately $170,000 of total unrecognized compensation cost related to non-vested restricted stock granted under the plans. This cost is expected to be recognized over a weighted average period of 1.3 years.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(c)Treasury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January 31, 2012, 14,510 shares of common stock were purchased by the Company.</w:t>
      </w:r>
    </w:p>
    <w:p>
      <w:pPr>
        <w:spacing w:after="0" w:line="252" w:lineRule="exact"/>
        <w:rPr>
          <w:sz w:val="20"/>
          <w:szCs w:val="20"/>
          <w:color w:val="auto"/>
        </w:rPr>
      </w:pPr>
    </w:p>
    <w:p>
      <w:pPr>
        <w:ind w:right="8680" w:firstLine="7"/>
        <w:spacing w:after="0" w:line="363" w:lineRule="auto"/>
        <w:tabs>
          <w:tab w:leader="none" w:pos="24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Litigation</w:t>
      </w:r>
    </w:p>
    <w:p>
      <w:pPr>
        <w:spacing w:after="0" w:line="1"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Spain Construction Agreement</w:t>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January 31, 2012, the Company does not believe that the outcome of this matter will have a material adverse effect on the Company’s financial position or results of operations.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272"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0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three and nine months ended January 31, 2012, the Company recorded an income tax benefit of $1,053,427, representing the proceeds from the sale of $12,862,000 of New Jersey net operating loss carryforwards. During the three and nine months ended January 31, 2011, the Company recorded an income tax benefit of $364,105, representing the proceeds from the sale of $4,446,000 of New Jersey net operating loss carryforwards.</w:t>
      </w:r>
    </w:p>
    <w:p>
      <w:pPr>
        <w:spacing w:after="0" w:line="10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Other than as a result of the sale of New Jersey net operating loss carryforwards, the Company did not recognize any consolidated income tax benefit (expense) for the three and nine month periods ended January 31, 2012 and 2011.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January 31, 2012, the Company had no material changes in uncertain tax positions.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Operating Segments and Geographic Information</w:t>
      </w:r>
    </w:p>
    <w:p>
      <w:pPr>
        <w:spacing w:after="0" w:line="104"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Geographic information is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Asia and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98"/>
              </w:rPr>
              <w:t>North America</w:t>
            </w:r>
          </w:p>
        </w:tc>
        <w:tc>
          <w:tcPr>
            <w:tcW w:w="12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Europe</w:t>
            </w: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Australia</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2820" w:type="dxa"/>
            <w:vAlign w:val="bottom"/>
            <w:tcBorders>
              <w:top w:val="single" w:sz="8" w:color="CCEEFF"/>
              <w:bottom w:val="single" w:sz="8" w:color="auto"/>
            </w:tcBorders>
            <w:gridSpan w:val="5"/>
            <w:shd w:val="clear" w:color="auto" w:fill="CCEEFF"/>
          </w:tcPr>
          <w:p>
            <w:pPr>
              <w:spacing w:after="0" w:line="154" w:lineRule="exact"/>
              <w:rPr>
                <w:sz w:val="20"/>
                <w:szCs w:val="20"/>
                <w:color w:val="auto"/>
              </w:rPr>
            </w:pPr>
            <w:r>
              <w:rPr>
                <w:rFonts w:ascii="Arial" w:cs="Arial" w:eastAsia="Arial" w:hAnsi="Arial"/>
                <w:sz w:val="17"/>
                <w:szCs w:val="17"/>
                <w:b w:val="1"/>
                <w:bCs w:val="1"/>
                <w:color w:val="auto"/>
                <w:w w:val="90"/>
              </w:rPr>
              <w:t>Three months ended January 31, 2012</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6"/>
          </w:tcPr>
          <w:p>
            <w:pPr>
              <w:spacing w:after="0"/>
              <w:rPr>
                <w:sz w:val="20"/>
                <w:szCs w:val="20"/>
                <w:color w:val="auto"/>
              </w:rPr>
            </w:pPr>
            <w:r>
              <w:rPr>
                <w:rFonts w:ascii="Arial" w:cs="Arial" w:eastAsia="Arial" w:hAnsi="Arial"/>
                <w:sz w:val="17"/>
                <w:szCs w:val="17"/>
                <w:color w:val="auto"/>
              </w:rPr>
              <w:t>Revenues from external customers</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651,036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272,583</w:t>
            </w:r>
          </w:p>
        </w:tc>
        <w:tc>
          <w:tcPr>
            <w:tcW w:w="4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923,619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(2,707,718)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(336,482)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(177,509)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(3,221,709)</w:t>
            </w:r>
          </w:p>
        </w:tc>
        <w:tc>
          <w:tcPr>
            <w:tcW w:w="0" w:type="dxa"/>
            <w:vAlign w:val="bottom"/>
          </w:tcPr>
          <w:p>
            <w:pPr>
              <w:spacing w:after="0"/>
              <w:rPr>
                <w:sz w:val="1"/>
                <w:szCs w:val="1"/>
                <w:color w:val="auto"/>
              </w:rPr>
            </w:pPr>
          </w:p>
        </w:tc>
      </w:tr>
      <w:tr>
        <w:trPr>
          <w:trHeight w:val="280"/>
        </w:trPr>
        <w:tc>
          <w:tcPr>
            <w:tcW w:w="4000" w:type="dxa"/>
            <w:vAlign w:val="bottom"/>
            <w:gridSpan w:val="7"/>
          </w:tcPr>
          <w:p>
            <w:pPr>
              <w:spacing w:after="0"/>
              <w:rPr>
                <w:sz w:val="20"/>
                <w:szCs w:val="20"/>
                <w:color w:val="auto"/>
              </w:rPr>
            </w:pPr>
            <w:r>
              <w:rPr>
                <w:rFonts w:ascii="Arial" w:cs="Arial" w:eastAsia="Arial" w:hAnsi="Arial"/>
                <w:sz w:val="17"/>
                <w:szCs w:val="17"/>
                <w:b w:val="1"/>
                <w:bCs w:val="1"/>
                <w:color w:val="auto"/>
              </w:rPr>
              <w:t>Three months ended January 31, 2011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1,194,094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329,208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7"/>
                <w:szCs w:val="17"/>
                <w:color w:val="auto"/>
              </w:rPr>
              <w:t>Operating loss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rPr>
              <w:t>(3,422,876)</w:t>
            </w: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(374,869)</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(43,337)</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(3,841,082)</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80" w:type="dxa"/>
            <w:vAlign w:val="bottom"/>
            <w:gridSpan w:val="6"/>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Nine months ended January 31, 2012</w:t>
            </w: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Revenues from external customers</w:t>
            </w:r>
          </w:p>
        </w:tc>
        <w:tc>
          <w:tcPr>
            <w:tcW w:w="1260" w:type="dxa"/>
            <w:vAlign w:val="bottom"/>
            <w:tcBorders>
              <w:top w:val="single" w:sz="8" w:color="CCEEFF"/>
            </w:tcBorders>
            <w:gridSpan w:val="3"/>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3,367,070</w:t>
            </w: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982,838</w:t>
            </w: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4,349,908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1"/>
              </w:rPr>
              <w:t>(10,988,918)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6"/>
              </w:rPr>
              <w:t>(1,080,726)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(309,245)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(12,378,889)</w:t>
            </w:r>
          </w:p>
        </w:tc>
        <w:tc>
          <w:tcPr>
            <w:tcW w:w="0" w:type="dxa"/>
            <w:vAlign w:val="bottom"/>
          </w:tcPr>
          <w:p>
            <w:pPr>
              <w:spacing w:after="0"/>
              <w:rPr>
                <w:sz w:val="1"/>
                <w:szCs w:val="1"/>
                <w:color w:val="auto"/>
              </w:rPr>
            </w:pPr>
          </w:p>
        </w:tc>
      </w:tr>
      <w:tr>
        <w:trPr>
          <w:trHeight w:val="280"/>
        </w:trPr>
        <w:tc>
          <w:tcPr>
            <w:tcW w:w="4000" w:type="dxa"/>
            <w:vAlign w:val="bottom"/>
            <w:gridSpan w:val="7"/>
          </w:tcPr>
          <w:p>
            <w:pPr>
              <w:spacing w:after="0"/>
              <w:rPr>
                <w:sz w:val="20"/>
                <w:szCs w:val="20"/>
                <w:color w:val="auto"/>
              </w:rPr>
            </w:pPr>
            <w:r>
              <w:rPr>
                <w:rFonts w:ascii="Arial" w:cs="Arial" w:eastAsia="Arial" w:hAnsi="Arial"/>
                <w:sz w:val="17"/>
                <w:szCs w:val="17"/>
                <w:b w:val="1"/>
                <w:bCs w:val="1"/>
                <w:color w:val="auto"/>
              </w:rPr>
              <w:t>Nine months ended January 31, 2011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4,224,222</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528,860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4,762,415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7"/>
                <w:szCs w:val="17"/>
                <w:color w:val="auto"/>
              </w:rPr>
              <w:t>Operating loss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7"/>
                <w:szCs w:val="17"/>
                <w:color w:val="auto"/>
                <w:w w:val="91"/>
              </w:rPr>
              <w:t>(14,477,206)</w:t>
            </w: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w w:val="96"/>
              </w:rPr>
              <w:t>(1,215,246)</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(156,053)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(15,848,505)</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7"/>
                <w:szCs w:val="17"/>
                <w:b w:val="1"/>
                <w:bCs w:val="1"/>
                <w:color w:val="auto"/>
                <w:w w:val="91"/>
              </w:rPr>
              <w:t>January 31, 2012</w:t>
            </w:r>
          </w:p>
        </w:tc>
        <w:tc>
          <w:tcPr>
            <w:tcW w:w="2720" w:type="dxa"/>
            <w:vAlign w:val="bottom"/>
            <w:tcBorders>
              <w:bottom w:val="single" w:sz="8" w:color="CCEEFF"/>
            </w:tcBorders>
            <w:gridSpan w:val="4"/>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6"/>
          </w:tcPr>
          <w:p>
            <w:pPr>
              <w:spacing w:after="0"/>
              <w:rPr>
                <w:sz w:val="20"/>
                <w:szCs w:val="20"/>
                <w:color w:val="auto"/>
              </w:rPr>
            </w:pPr>
            <w:r>
              <w:rPr>
                <w:rFonts w:ascii="Arial" w:cs="Arial" w:eastAsia="Arial" w:hAnsi="Arial"/>
                <w:sz w:val="17"/>
                <w:szCs w:val="17"/>
                <w:color w:val="auto"/>
              </w:rPr>
              <w:t>Long-lived assets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579,017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155,717</w:t>
            </w:r>
          </w:p>
        </w:tc>
        <w:tc>
          <w:tcPr>
            <w:tcW w:w="4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734,734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38,158,211</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3,234,095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793,110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42,185,416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000" w:type="dxa"/>
            <w:vAlign w:val="bottom"/>
            <w:gridSpan w:val="7"/>
          </w:tcPr>
          <w:p>
            <w:pPr>
              <w:spacing w:after="0"/>
              <w:rPr>
                <w:sz w:val="20"/>
                <w:szCs w:val="20"/>
                <w:color w:val="auto"/>
              </w:rPr>
            </w:pPr>
            <w:r>
              <w:rPr>
                <w:rFonts w:ascii="Arial" w:cs="Arial" w:eastAsia="Arial" w:hAnsi="Arial"/>
                <w:sz w:val="17"/>
                <w:szCs w:val="17"/>
                <w:b w:val="1"/>
                <w:bCs w:val="1"/>
                <w:color w:val="auto"/>
              </w:rPr>
              <w:t>April 30, 2011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619,861</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172,231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7"/>
                <w:szCs w:val="17"/>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6"/>
              </w:rPr>
              <w:t>47,697,028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4,935,922</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919,628</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53,552,578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jc w:val="right"/>
              <w:ind w:right="453"/>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104"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2012 refers to the year ending April 30, 2012).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w:t>
      </w:r>
      <w:r>
        <w:rPr>
          <w:rFonts w:ascii="Arial" w:cs="Arial" w:eastAsia="Arial" w:hAnsi="Arial"/>
          <w:sz w:val="10"/>
          <w:szCs w:val="10"/>
          <w:color w:val="auto"/>
        </w:rPr>
        <w:t>®</w:t>
      </w:r>
      <w:r>
        <w:rPr>
          <w:rFonts w:ascii="Arial" w:cs="Arial" w:eastAsia="Arial" w:hAnsi="Arial"/>
          <w:sz w:val="16"/>
          <w:szCs w:val="16"/>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such revenues represent a greater portion of our total revenues. In addition, we expect that in the future an increased portion of our revenues will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12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We were incorporated in New Jersey in April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w:t>
      </w:r>
    </w:p>
    <w:p>
      <w:pPr>
        <w:spacing w:after="0" w:line="1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From August to October 2011, an autonomous PowerBuoy was deployed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is designed to provide persistent, off-grid clean energy in remote ocean locations for a wide variety of maritime security, monitoring and other commercial applications.</w:t>
      </w:r>
    </w:p>
    <w:p>
      <w:pPr>
        <w:spacing w:after="0" w:line="14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During the three months ended October 31, 2011, we received a $3.0 million grant from the European Union related to our WavePort project to enhance the efficiency of our PowerBuoy. At January 31, 2012, our total negotiated backlog was $7.8 million compared with $5.8 million at January 31, 2011. We anticipate that a majority of our backlog will be recognized as revenue over the next 12 months. Most of our backlog at January 31, 2012 and 2011 consisted of cost-sharing contracts as described in the Financial Operations Overview section of this Management’s Discussion and Analysis.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$5.8 million and $5.3 million at January 31, 2012 and 2011,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2" w:right="239" w:bottom="1440" w:gutter="0" w:footer="0" w:header="0"/>
        </w:sectPr>
      </w:pPr>
    </w:p>
    <w:bookmarkStart w:id="18" w:name="page19"/>
    <w:bookmarkEnd w:id="1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For the three months ended January 31, 2012, we generated revenues of $0.9 million and incurred a net loss attributable to Ocean Power Technologies, Inc. of $2.2 million, compared to revenues of $1.5 million and a net loss attributable to Ocean Power Technologies, Inc. of $3.4 million for the three months ended January 31, 2011. For the nine months ended January 31, 2012, we generated revenues of $4.3 million and incurred a net loss attributable to Ocean Power Technologies, Inc. of $11.0 million, compared to revenues of $4.8 million and a net loss attributable to Ocean Power Technologies, Inc. of $15.1 million for the nine months ended January 31, 2011. As of January 31, 2012, our accumulated deficit was $121.9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legislation enables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Further, it is expected that the US federal and state governments will continue to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DOE has also accepted proposals for funding under government programs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these government programs, there can be no assurances as to whether we will be successful in obtaining significant additional government funding or as to the terms and conditions of any such funding.</w:t>
      </w:r>
    </w:p>
    <w:p>
      <w:pPr>
        <w:spacing w:after="0" w:line="13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recent global economic uncertainty, particularly the macroeconomic pressures in certain European countries, may have a negative effect on our business, financial condition and results of operations because the utility companies with which we contract or propose to contract may decrease their investment in new power generation equipment in response to the uncertainty.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uncertainty will have a material negative impact on our sources of supply, as our products incorporate what are substantially non-custom, standard parts found in many regions of the world.</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8"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Financial Operations Overview</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describes certain line items in our consolidated statements of operations and some of the factors that affect our operating results.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9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breakdown of our revenues by customer for the three and nine months ended January 31, 2012 and 2011:</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5"/>
              </w:rPr>
              <w:t>Customer</w:t>
            </w:r>
          </w:p>
        </w:tc>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3"/>
                <w:szCs w:val="13"/>
                <w:b w:val="1"/>
                <w:bCs w:val="1"/>
                <w:color w:val="auto"/>
                <w:w w:val="95"/>
              </w:rPr>
              <w:t>Three months ended January 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4"/>
              </w:rPr>
              <w:t>Nine months ended January 31,</w:t>
            </w:r>
          </w:p>
        </w:tc>
      </w:tr>
      <w:tr>
        <w:trPr>
          <w:trHeight w:val="133"/>
        </w:trPr>
        <w:tc>
          <w:tcPr>
            <w:tcW w:w="5100" w:type="dxa"/>
            <w:vAlign w:val="bottom"/>
            <w:gridSpan w:val="3"/>
          </w:tcPr>
          <w:p>
            <w:pPr>
              <w:spacing w:after="0" w:line="134" w:lineRule="exact"/>
              <w:rPr>
                <w:sz w:val="20"/>
                <w:szCs w:val="20"/>
                <w:color w:val="auto"/>
              </w:rPr>
            </w:pPr>
            <w:r>
              <w:rPr>
                <w:rFonts w:ascii="Arial" w:cs="Arial" w:eastAsia="Arial" w:hAnsi="Arial"/>
                <w:sz w:val="13"/>
                <w:szCs w:val="13"/>
                <w:color w:val="auto"/>
              </w:rPr>
              <w:t>($ millions)</w:t>
            </w: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7"/>
              <w:spacing w:after="0" w:line="134" w:lineRule="exact"/>
              <w:rPr>
                <w:sz w:val="20"/>
                <w:szCs w:val="20"/>
                <w:color w:val="auto"/>
              </w:rPr>
            </w:pPr>
            <w:r>
              <w:rPr>
                <w:rFonts w:ascii="Arial" w:cs="Arial" w:eastAsia="Arial" w:hAnsi="Arial"/>
                <w:sz w:val="13"/>
                <w:szCs w:val="13"/>
                <w:b w:val="1"/>
                <w:bCs w:val="1"/>
                <w:color w:val="auto"/>
              </w:rPr>
              <w:t>2012</w:t>
            </w: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6"/>
              <w:spacing w:after="0" w:line="134" w:lineRule="exact"/>
              <w:rPr>
                <w:sz w:val="20"/>
                <w:szCs w:val="20"/>
                <w:color w:val="auto"/>
              </w:rPr>
            </w:pPr>
            <w:r>
              <w:rPr>
                <w:rFonts w:ascii="Arial" w:cs="Arial" w:eastAsia="Arial" w:hAnsi="Arial"/>
                <w:sz w:val="13"/>
                <w:szCs w:val="13"/>
                <w:b w:val="1"/>
                <w:bCs w:val="1"/>
                <w:color w:val="auto"/>
              </w:rPr>
              <w:t>2011</w:t>
            </w:r>
          </w:p>
        </w:tc>
        <w:tc>
          <w:tcPr>
            <w:tcW w:w="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57"/>
              <w:spacing w:after="0" w:line="134" w:lineRule="exact"/>
              <w:rPr>
                <w:sz w:val="20"/>
                <w:szCs w:val="20"/>
                <w:color w:val="auto"/>
              </w:rPr>
            </w:pPr>
            <w:r>
              <w:rPr>
                <w:rFonts w:ascii="Arial" w:cs="Arial" w:eastAsia="Arial" w:hAnsi="Arial"/>
                <w:sz w:val="13"/>
                <w:szCs w:val="13"/>
                <w:b w:val="1"/>
                <w:bCs w:val="1"/>
                <w:color w:val="auto"/>
              </w:rPr>
              <w:t>2012</w:t>
            </w: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76"/>
              <w:spacing w:after="0" w:line="134"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r>
      <w:tr>
        <w:trPr>
          <w:trHeight w:val="207"/>
        </w:trPr>
        <w:tc>
          <w:tcPr>
            <w:tcW w:w="20" w:type="dxa"/>
            <w:vAlign w:val="bottom"/>
          </w:tcPr>
          <w:p>
            <w:pPr>
              <w:spacing w:after="0"/>
              <w:rPr>
                <w:sz w:val="17"/>
                <w:szCs w:val="17"/>
                <w:color w:val="auto"/>
              </w:rPr>
            </w:pPr>
          </w:p>
        </w:tc>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US Navy</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US Department of Energy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UK Government’s Technology Strategy Board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European Union (WavePort project)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0.3</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Iberdrola Cantabria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r>
      <w:tr>
        <w:trPr>
          <w:trHeight w:val="213"/>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Scottish Government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0.9</w:t>
            </w:r>
          </w:p>
        </w:tc>
        <w:tc>
          <w:tcPr>
            <w:tcW w:w="98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82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96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right="500"/>
        <w:spacing w:after="0" w:line="292" w:lineRule="auto"/>
        <w:rPr>
          <w:sz w:val="20"/>
          <w:szCs w:val="20"/>
          <w:color w:val="auto"/>
        </w:rPr>
      </w:pPr>
      <w:r>
        <w:rPr>
          <w:rFonts w:ascii="Arial" w:cs="Arial" w:eastAsia="Arial" w:hAnsi="Arial"/>
          <w:sz w:val="17"/>
          <w:szCs w:val="17"/>
          <w:color w:val="auto"/>
        </w:rPr>
        <w:t>During the nine months ended January 31, 2011, we reduced revenue by approximately $0.2 million due to a change in estimated revenue to be recognized in connection with the Spain construction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2" w:right="239" w:bottom="1440" w:gutter="0" w:footer="0" w:header="0"/>
        </w:sectPr>
      </w:pPr>
    </w:p>
    <w:bookmarkStart w:id="20" w:name="page21"/>
    <w:bookmarkEnd w:id="20"/>
    <w:p>
      <w:pPr>
        <w:ind w:right="40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We currently focus our sales and marketing efforts on North America, the west coast of Europe, Australia and Japan. The following table provides information regarding the breakdown of our revenues by geographical location of our customers for the nine months ended January 31, 2012 and 2011:</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1160" w:type="dxa"/>
            <w:vAlign w:val="bottom"/>
            <w:vMerge w:val="restart"/>
          </w:tcPr>
          <w:p>
            <w:pPr>
              <w:spacing w:after="0"/>
              <w:rPr>
                <w:sz w:val="20"/>
                <w:szCs w:val="20"/>
                <w:color w:val="auto"/>
              </w:rPr>
            </w:pPr>
            <w:r>
              <w:rPr>
                <w:rFonts w:ascii="Arial" w:cs="Arial" w:eastAsia="Arial" w:hAnsi="Arial"/>
                <w:sz w:val="13"/>
                <w:szCs w:val="13"/>
                <w:b w:val="1"/>
                <w:bCs w:val="1"/>
                <w:color w:val="auto"/>
                <w:w w:val="96"/>
              </w:rPr>
              <w:t>Customer Location</w:t>
            </w:r>
          </w:p>
        </w:tc>
        <w:tc>
          <w:tcPr>
            <w:tcW w:w="4700" w:type="dxa"/>
            <w:vAlign w:val="bottom"/>
            <w:vMerge w:val="restart"/>
          </w:tcPr>
          <w:p>
            <w:pPr>
              <w:spacing w:after="0"/>
              <w:rPr>
                <w:sz w:val="13"/>
                <w:szCs w:val="13"/>
                <w:color w:val="auto"/>
              </w:rPr>
            </w:pPr>
          </w:p>
        </w:tc>
        <w:tc>
          <w:tcPr>
            <w:tcW w:w="2800" w:type="dxa"/>
            <w:vAlign w:val="bottom"/>
            <w:gridSpan w:val="4"/>
          </w:tcPr>
          <w:p>
            <w:pPr>
              <w:ind w:left="400"/>
              <w:spacing w:after="0"/>
              <w:rPr>
                <w:sz w:val="20"/>
                <w:szCs w:val="20"/>
                <w:color w:val="auto"/>
              </w:rPr>
            </w:pPr>
            <w:r>
              <w:rPr>
                <w:rFonts w:ascii="Arial" w:cs="Arial" w:eastAsia="Arial" w:hAnsi="Arial"/>
                <w:sz w:val="13"/>
                <w:szCs w:val="13"/>
                <w:b w:val="1"/>
                <w:bCs w:val="1"/>
                <w:color w:val="auto"/>
              </w:rPr>
              <w:t>Nine months ended January 31,</w:t>
            </w:r>
          </w:p>
        </w:tc>
        <w:tc>
          <w:tcPr>
            <w:tcW w:w="0" w:type="dxa"/>
            <w:vAlign w:val="bottom"/>
          </w:tcPr>
          <w:p>
            <w:pPr>
              <w:spacing w:after="0"/>
              <w:rPr>
                <w:sz w:val="1"/>
                <w:szCs w:val="1"/>
                <w:color w:val="auto"/>
              </w:rPr>
            </w:pPr>
          </w:p>
        </w:tc>
      </w:tr>
      <w:tr>
        <w:trPr>
          <w:trHeight w:val="132"/>
        </w:trPr>
        <w:tc>
          <w:tcPr>
            <w:tcW w:w="1160" w:type="dxa"/>
            <w:vAlign w:val="bottom"/>
            <w:tcBorders>
              <w:bottom w:val="single" w:sz="8" w:color="auto"/>
            </w:tcBorders>
            <w:vMerge w:val="continue"/>
          </w:tcPr>
          <w:p>
            <w:pPr>
              <w:spacing w:after="0"/>
              <w:rPr>
                <w:sz w:val="11"/>
                <w:szCs w:val="11"/>
                <w:color w:val="auto"/>
              </w:rPr>
            </w:pPr>
          </w:p>
        </w:tc>
        <w:tc>
          <w:tcPr>
            <w:tcW w:w="4700" w:type="dxa"/>
            <w:vAlign w:val="bottom"/>
            <w:vMerge w:val="continue"/>
          </w:tcPr>
          <w:p>
            <w:pPr>
              <w:spacing w:after="0"/>
              <w:rPr>
                <w:sz w:val="11"/>
                <w:szCs w:val="11"/>
                <w:color w:val="auto"/>
              </w:rPr>
            </w:pPr>
          </w:p>
        </w:tc>
        <w:tc>
          <w:tcPr>
            <w:tcW w:w="640" w:type="dxa"/>
            <w:vAlign w:val="bottom"/>
            <w:tcBorders>
              <w:top w:val="single" w:sz="8" w:color="auto"/>
            </w:tcBorders>
          </w:tcPr>
          <w:p>
            <w:pPr>
              <w:jc w:val="right"/>
              <w:ind w:right="100"/>
              <w:spacing w:after="0" w:line="127" w:lineRule="exact"/>
              <w:rPr>
                <w:sz w:val="20"/>
                <w:szCs w:val="20"/>
                <w:color w:val="auto"/>
              </w:rPr>
            </w:pPr>
            <w:r>
              <w:rPr>
                <w:rFonts w:ascii="Arial" w:cs="Arial" w:eastAsia="Arial" w:hAnsi="Arial"/>
                <w:sz w:val="13"/>
                <w:szCs w:val="13"/>
                <w:b w:val="1"/>
                <w:bCs w:val="1"/>
                <w:color w:val="auto"/>
              </w:rPr>
              <w:t>2012</w:t>
            </w:r>
          </w:p>
        </w:tc>
        <w:tc>
          <w:tcPr>
            <w:tcW w:w="1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7"/>
              <w:spacing w:after="0" w:line="127"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United States</w:t>
            </w: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60" w:type="dxa"/>
            <w:vAlign w:val="bottom"/>
            <w:gridSpan w:val="2"/>
            <w:vMerge w:val="continue"/>
            <w:shd w:val="clear" w:color="auto" w:fill="CCEEFF"/>
          </w:tcPr>
          <w:p>
            <w:pPr>
              <w:spacing w:after="0"/>
              <w:rPr>
                <w:sz w:val="17"/>
                <w:szCs w:val="17"/>
                <w:color w:val="auto"/>
              </w:rPr>
            </w:pPr>
          </w:p>
        </w:tc>
        <w:tc>
          <w:tcPr>
            <w:tcW w:w="194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70%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3"/>
        </w:trPr>
        <w:tc>
          <w:tcPr>
            <w:tcW w:w="5860" w:type="dxa"/>
            <w:vAlign w:val="bottom"/>
            <w:gridSpan w:val="2"/>
          </w:tcPr>
          <w:p>
            <w:pPr>
              <w:spacing w:after="0"/>
              <w:rPr>
                <w:sz w:val="20"/>
                <w:szCs w:val="20"/>
                <w:color w:val="auto"/>
              </w:rPr>
            </w:pPr>
            <w:r>
              <w:rPr>
                <w:rFonts w:ascii="Arial" w:cs="Arial" w:eastAsia="Arial" w:hAnsi="Arial"/>
                <w:sz w:val="17"/>
                <w:szCs w:val="17"/>
                <w:color w:val="auto"/>
              </w:rPr>
              <w:t>Europe</w:t>
            </w:r>
          </w:p>
        </w:tc>
        <w:tc>
          <w:tcPr>
            <w:tcW w:w="1940" w:type="dxa"/>
            <w:vAlign w:val="bottom"/>
            <w:gridSpan w:val="2"/>
          </w:tcPr>
          <w:p>
            <w:pPr>
              <w:jc w:val="right"/>
              <w:ind w:right="1140"/>
              <w:spacing w:after="0"/>
              <w:rPr>
                <w:sz w:val="20"/>
                <w:szCs w:val="20"/>
                <w:color w:val="auto"/>
              </w:rPr>
            </w:pPr>
            <w:r>
              <w:rPr>
                <w:rFonts w:ascii="Arial" w:cs="Arial" w:eastAsia="Arial" w:hAnsi="Arial"/>
                <w:sz w:val="17"/>
                <w:szCs w:val="17"/>
                <w:color w:val="auto"/>
              </w:rPr>
              <w:t>30%</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and Australia</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940" w:type="dxa"/>
            <w:vAlign w:val="bottom"/>
            <w:gridSpan w:val="2"/>
          </w:tcPr>
          <w:p>
            <w:pPr>
              <w:jc w:val="right"/>
              <w:ind w:right="1140"/>
              <w:spacing w:after="0"/>
              <w:rPr>
                <w:sz w:val="20"/>
                <w:szCs w:val="20"/>
                <w:color w:val="auto"/>
              </w:rPr>
            </w:pPr>
            <w:r>
              <w:rPr>
                <w:rFonts w:ascii="Arial" w:cs="Arial" w:eastAsia="Arial" w:hAnsi="Arial"/>
                <w:sz w:val="17"/>
                <w:szCs w:val="17"/>
                <w:color w:val="auto"/>
              </w:rPr>
              <w:t>100%</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9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costs</w:t>
      </w:r>
    </w:p>
    <w:p>
      <w:pPr>
        <w:spacing w:after="0" w:line="98"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output of our utility PowerBuoy system, primarily the 150kW PowerBuoy system, and to our research and development of new products, product applications and complementary technologies.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costs</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Interest income consists of interest received on cash and cash equivalents, investments in commercial bank-issued certificates of deposit and US Treasury bills and notes. Total cash, cash equivalents, restricted cash, and marketable securities were $37.8 million as of January 31, 2012, compared to $52.8 million as of January 31, 2011. Interest income in the nine months ended January 31, 2012 decreased compared to the nine months ended January 31, 2011 due to a decline in interest rates and a decline in cash, cash equivalents and marketable securities.</w:t>
      </w:r>
    </w:p>
    <w:p>
      <w:pPr>
        <w:spacing w:after="0" w:line="127" w:lineRule="exact"/>
        <w:rPr>
          <w:sz w:val="20"/>
          <w:szCs w:val="20"/>
          <w:color w:val="auto"/>
        </w:rPr>
      </w:pPr>
    </w:p>
    <w:p>
      <w:pPr>
        <w:ind w:right="640"/>
        <w:spacing w:after="0" w:line="292" w:lineRule="auto"/>
        <w:rPr>
          <w:sz w:val="20"/>
          <w:szCs w:val="20"/>
          <w:color w:val="auto"/>
        </w:rPr>
      </w:pPr>
      <w:r>
        <w:rPr>
          <w:rFonts w:ascii="Arial" w:cs="Arial" w:eastAsia="Arial" w:hAnsi="Arial"/>
          <w:sz w:val="17"/>
          <w:szCs w:val="17"/>
          <w:color w:val="auto"/>
        </w:rPr>
        <w:t>We anticipate that our interest income reported in fiscal 2012 will continue to be lower than the comparable periods of the prior fiscal year as a result of the decrease in invested cash.</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98"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During the nine months ended January 31, 2012 and 2011, we sold New Jersey net operating tax loss carryforwards resulting in income tax benefits of $1.1 million and $0.4 million,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8"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Foreign exchange gain (loss)</w:t>
      </w:r>
    </w:p>
    <w:p>
      <w:pPr>
        <w:spacing w:after="0" w:line="9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31"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We invest in certificates of deposit and maintain cash accounts that are denominated in British pounds, Euros and Australian dollars. These foreign-denominated certificates of deposit and cash accounts had a balance of $3.6 million as of January 31, 2012 and $6.8 million as of January 31, 2011, compared to our total cash, cash equivalents, restricted cash, and marketable security balances of $37.8 million as of January 31, 2012 and $52.8 million as of January 31, 2011. These foreign currency balances are translated at each month end to our functional currency, the US dollar, and any resulting gain or loss is recognized in our results of operations.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nine months ended January 31, 2012 and 2011 were recorded in Euros, British pounds sterling or Australian dollars.</w:t>
      </w:r>
    </w:p>
    <w:p>
      <w:pPr>
        <w:spacing w:after="0" w:line="11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278" w:right="2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January 31, 2012 Compared to Three Months Ended January 31, 2011</w:t>
      </w:r>
    </w:p>
    <w:p>
      <w:pPr>
        <w:spacing w:after="0" w:line="98"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The following table contains selected statement of operations information, which serves as the basis of the discussion of our results of operations for the three months ended January 31, 2012 and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4"/>
            <w:vMerge w:val="restart"/>
          </w:tcPr>
          <w:p>
            <w:pPr>
              <w:jc w:val="right"/>
              <w:ind w:right="86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2720" w:type="dxa"/>
            <w:vAlign w:val="bottom"/>
            <w:gridSpan w:val="4"/>
            <w:vMerge w:val="restart"/>
          </w:tcPr>
          <w:p>
            <w:pPr>
              <w:jc w:val="right"/>
              <w:ind w:right="1080"/>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2720" w:type="dxa"/>
            <w:vAlign w:val="bottom"/>
            <w:gridSpan w:val="4"/>
            <w:vMerge w:val="continue"/>
          </w:tcPr>
          <w:p>
            <w:pPr>
              <w:spacing w:after="0"/>
              <w:rPr>
                <w:sz w:val="4"/>
                <w:szCs w:val="4"/>
                <w:color w:val="auto"/>
              </w:rPr>
            </w:pPr>
          </w:p>
        </w:tc>
        <w:tc>
          <w:tcPr>
            <w:tcW w:w="600" w:type="dxa"/>
            <w:vAlign w:val="bottom"/>
            <w:vMerge w:val="restart"/>
          </w:tcPr>
          <w:p>
            <w:pPr>
              <w:jc w:val="center"/>
              <w:spacing w:after="0" w:line="147" w:lineRule="exact"/>
              <w:rPr>
                <w:sz w:val="20"/>
                <w:szCs w:val="20"/>
                <w:color w:val="auto"/>
              </w:rPr>
            </w:pPr>
            <w:r>
              <w:rPr>
                <w:rFonts w:ascii="Arial" w:cs="Arial" w:eastAsia="Arial" w:hAnsi="Arial"/>
                <w:sz w:val="13"/>
                <w:szCs w:val="13"/>
                <w:b w:val="1"/>
                <w:bCs w:val="1"/>
                <w:color w:val="auto"/>
                <w:w w:val="89"/>
              </w:rPr>
              <w:t>2012</w:t>
            </w: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jc w:val="right"/>
              <w:ind w:right="980"/>
              <w:spacing w:after="0"/>
              <w:rPr>
                <w:sz w:val="20"/>
                <w:szCs w:val="20"/>
                <w:color w:val="auto"/>
              </w:rPr>
            </w:pPr>
            <w:r>
              <w:rPr>
                <w:rFonts w:ascii="Arial" w:cs="Arial" w:eastAsia="Arial" w:hAnsi="Arial"/>
                <w:sz w:val="13"/>
                <w:szCs w:val="13"/>
                <w:b w:val="1"/>
                <w:bCs w:val="1"/>
                <w:color w:val="auto"/>
              </w:rPr>
              <w:t>January 31, 2012</w:t>
            </w:r>
          </w:p>
        </w:tc>
        <w:tc>
          <w:tcPr>
            <w:tcW w:w="220" w:type="dxa"/>
            <w:vAlign w:val="bottom"/>
          </w:tcPr>
          <w:p>
            <w:pPr>
              <w:spacing w:after="0"/>
              <w:rPr>
                <w:sz w:val="8"/>
                <w:szCs w:val="8"/>
                <w:color w:val="auto"/>
              </w:rPr>
            </w:pPr>
          </w:p>
        </w:tc>
        <w:tc>
          <w:tcPr>
            <w:tcW w:w="2720" w:type="dxa"/>
            <w:vAlign w:val="bottom"/>
            <w:gridSpan w:val="4"/>
            <w:vMerge w:val="restart"/>
          </w:tcPr>
          <w:p>
            <w:pPr>
              <w:jc w:val="right"/>
              <w:ind w:right="1200"/>
              <w:spacing w:after="0"/>
              <w:rPr>
                <w:sz w:val="20"/>
                <w:szCs w:val="20"/>
                <w:color w:val="auto"/>
              </w:rPr>
            </w:pPr>
            <w:r>
              <w:rPr>
                <w:rFonts w:ascii="Arial" w:cs="Arial" w:eastAsia="Arial" w:hAnsi="Arial"/>
                <w:sz w:val="13"/>
                <w:szCs w:val="13"/>
                <w:b w:val="1"/>
                <w:bCs w:val="1"/>
                <w:color w:val="auto"/>
              </w:rPr>
              <w:t>January 31, 2011</w:t>
            </w:r>
          </w:p>
        </w:tc>
        <w:tc>
          <w:tcPr>
            <w:tcW w:w="6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2720" w:type="dxa"/>
            <w:vAlign w:val="bottom"/>
            <w:gridSpan w:val="4"/>
            <w:vMerge w:val="continue"/>
          </w:tcPr>
          <w:p>
            <w:pPr>
              <w:spacing w:after="0"/>
              <w:rPr>
                <w:sz w:val="5"/>
                <w:szCs w:val="5"/>
                <w:color w:val="auto"/>
              </w:rPr>
            </w:pPr>
          </w:p>
        </w:tc>
        <w:tc>
          <w:tcPr>
            <w:tcW w:w="860" w:type="dxa"/>
            <w:vAlign w:val="bottom"/>
            <w:gridSpan w:val="2"/>
            <w:vMerge w:val="restart"/>
          </w:tcPr>
          <w:p>
            <w:pPr>
              <w:jc w:val="center"/>
              <w:ind w:right="260"/>
              <w:spacing w:after="0" w:line="147" w:lineRule="exact"/>
              <w:rPr>
                <w:sz w:val="20"/>
                <w:szCs w:val="20"/>
                <w:color w:val="auto"/>
              </w:rPr>
            </w:pPr>
            <w:r>
              <w:rPr>
                <w:rFonts w:ascii="Arial" w:cs="Arial" w:eastAsia="Arial" w:hAnsi="Arial"/>
                <w:sz w:val="13"/>
                <w:szCs w:val="13"/>
                <w:b w:val="1"/>
                <w:bCs w:val="1"/>
                <w:color w:val="auto"/>
                <w:w w:val="92"/>
              </w:rPr>
              <w:t>Period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right"/>
              <w:ind w:right="520"/>
              <w:spacing w:after="0" w:line="147"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right"/>
              <w:ind w:right="740"/>
              <w:spacing w:after="0" w:line="147" w:lineRule="exact"/>
              <w:rPr>
                <w:sz w:val="20"/>
                <w:szCs w:val="20"/>
                <w:color w:val="auto"/>
              </w:rPr>
            </w:pPr>
            <w:r>
              <w:rPr>
                <w:rFonts w:ascii="Arial" w:cs="Arial" w:eastAsia="Arial" w:hAnsi="Arial"/>
                <w:sz w:val="13"/>
                <w:szCs w:val="13"/>
                <w:b w:val="1"/>
                <w:bCs w:val="1"/>
                <w:color w:val="auto"/>
              </w:rPr>
              <w:t>As a % of</w:t>
            </w:r>
          </w:p>
        </w:tc>
        <w:tc>
          <w:tcPr>
            <w:tcW w:w="60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9"/>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5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Revenues (1)</w:t>
            </w:r>
          </w:p>
        </w:tc>
        <w:tc>
          <w:tcPr>
            <w:tcW w:w="4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Amount</w:t>
            </w:r>
          </w:p>
        </w:tc>
        <w:tc>
          <w:tcPr>
            <w:tcW w:w="5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Revenues (1)</w:t>
            </w:r>
          </w:p>
        </w:tc>
        <w:tc>
          <w:tcPr>
            <w:tcW w:w="6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Period</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923,619</w:t>
            </w:r>
          </w:p>
        </w:tc>
        <w:tc>
          <w:tcPr>
            <w:tcW w:w="5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$ 1,523,601</w:t>
            </w:r>
          </w:p>
        </w:tc>
        <w:tc>
          <w:tcPr>
            <w:tcW w:w="5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Cost of revenues</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934,142</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101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1,453,397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w:t>
            </w:r>
          </w:p>
        </w:tc>
        <w:tc>
          <w:tcPr>
            <w:tcW w:w="6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Gross (loss) profit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(10,523)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70,204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9"/>
        </w:trPr>
        <w:tc>
          <w:tcPr>
            <w:tcW w:w="51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Product development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1,388,380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2,026,336</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7"/>
                <w:szCs w:val="17"/>
                <w:color w:val="auto"/>
              </w:rPr>
              <w:t>Selling, general and administrative costs</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1,822,806</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197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1,884,950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124</w:t>
            </w:r>
          </w:p>
        </w:tc>
        <w:tc>
          <w:tcPr>
            <w:tcW w:w="6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3,211,186</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3,911,286</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Operating loss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line="20" w:lineRule="exact"/>
              <w:rPr>
                <w:sz w:val="1"/>
                <w:szCs w:val="1"/>
                <w:color w:val="auto"/>
              </w:rPr>
            </w:pPr>
          </w:p>
        </w:tc>
      </w:tr>
      <w:tr>
        <w:trPr>
          <w:trHeight w:val="219"/>
        </w:trPr>
        <w:tc>
          <w:tcPr>
            <w:tcW w:w="5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(3,221,709)</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(349)</w:t>
            </w:r>
          </w:p>
        </w:tc>
        <w:tc>
          <w:tcPr>
            <w:tcW w:w="1560" w:type="dxa"/>
            <w:vAlign w:val="bottom"/>
            <w:gridSpan w:val="3"/>
          </w:tcPr>
          <w:p>
            <w:pPr>
              <w:jc w:val="right"/>
              <w:ind w:right="440"/>
              <w:spacing w:after="0"/>
              <w:rPr>
                <w:sz w:val="20"/>
                <w:szCs w:val="20"/>
                <w:color w:val="auto"/>
              </w:rPr>
            </w:pPr>
            <w:r>
              <w:rPr>
                <w:rFonts w:ascii="Arial" w:cs="Arial" w:eastAsia="Arial" w:hAnsi="Arial"/>
                <w:sz w:val="17"/>
                <w:szCs w:val="17"/>
                <w:color w:val="auto"/>
              </w:rPr>
              <w:t>(3,841,082)</w:t>
            </w:r>
          </w:p>
        </w:tc>
        <w:tc>
          <w:tcPr>
            <w:tcW w:w="1380" w:type="dxa"/>
            <w:vAlign w:val="bottom"/>
            <w:gridSpan w:val="2"/>
          </w:tcPr>
          <w:p>
            <w:pPr>
              <w:jc w:val="right"/>
              <w:ind w:right="580"/>
              <w:spacing w:after="0"/>
              <w:rPr>
                <w:sz w:val="20"/>
                <w:szCs w:val="20"/>
                <w:color w:val="auto"/>
              </w:rPr>
            </w:pPr>
            <w:r>
              <w:rPr>
                <w:rFonts w:ascii="Arial" w:cs="Arial" w:eastAsia="Arial" w:hAnsi="Arial"/>
                <w:sz w:val="17"/>
                <w:szCs w:val="17"/>
                <w:color w:val="auto"/>
              </w:rPr>
              <w:t>(252)</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95,261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148,480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Foreign exchange loss</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(113,373)</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(12)</w:t>
            </w:r>
          </w:p>
        </w:tc>
        <w:tc>
          <w:tcPr>
            <w:tcW w:w="1560" w:type="dxa"/>
            <w:vAlign w:val="bottom"/>
            <w:gridSpan w:val="3"/>
          </w:tcPr>
          <w:p>
            <w:pPr>
              <w:jc w:val="right"/>
              <w:ind w:right="440"/>
              <w:spacing w:after="0"/>
              <w:rPr>
                <w:sz w:val="20"/>
                <w:szCs w:val="20"/>
                <w:color w:val="auto"/>
              </w:rPr>
            </w:pPr>
            <w:r>
              <w:rPr>
                <w:rFonts w:ascii="Arial" w:cs="Arial" w:eastAsia="Arial" w:hAnsi="Arial"/>
                <w:sz w:val="17"/>
                <w:szCs w:val="17"/>
                <w:color w:val="auto"/>
              </w:rPr>
              <w:t>(38,014)</w:t>
            </w:r>
          </w:p>
        </w:tc>
        <w:tc>
          <w:tcPr>
            <w:tcW w:w="1380" w:type="dxa"/>
            <w:vAlign w:val="bottom"/>
            <w:gridSpan w:val="2"/>
          </w:tcPr>
          <w:p>
            <w:pPr>
              <w:jc w:val="right"/>
              <w:ind w:right="580"/>
              <w:spacing w:after="0"/>
              <w:rPr>
                <w:sz w:val="20"/>
                <w:szCs w:val="20"/>
                <w:color w:val="auto"/>
              </w:rPr>
            </w:pPr>
            <w:r>
              <w:rPr>
                <w:rFonts w:ascii="Arial" w:cs="Arial" w:eastAsia="Arial" w:hAnsi="Arial"/>
                <w:sz w:val="17"/>
                <w:szCs w:val="17"/>
                <w:color w:val="auto"/>
              </w:rPr>
              <w:t>(2)</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1"/>
              </w:rPr>
              <w:t>(3,239,821)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(351)</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(3,730,616)</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(245)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Income tax benefit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1,053,427</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114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364,105</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6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1"/>
              </w:rPr>
              <w:t>(2,186,394)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(237)</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(3,366,511)</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(221)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ind w:left="420"/>
              <w:spacing w:after="0"/>
              <w:rPr>
                <w:sz w:val="20"/>
                <w:szCs w:val="20"/>
                <w:color w:val="auto"/>
              </w:rPr>
            </w:pPr>
            <w:r>
              <w:rPr>
                <w:rFonts w:ascii="Arial" w:cs="Arial" w:eastAsia="Arial" w:hAnsi="Arial"/>
                <w:sz w:val="17"/>
                <w:szCs w:val="17"/>
                <w:color w:val="auto"/>
              </w:rPr>
              <w:t>Less: Net loss attributable to the noncontrolling interest in</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Pr>
          <w:p>
            <w:pPr>
              <w:ind w:left="620"/>
              <w:spacing w:after="0"/>
              <w:rPr>
                <w:sz w:val="20"/>
                <w:szCs w:val="20"/>
                <w:color w:val="auto"/>
              </w:rPr>
            </w:pPr>
            <w:r>
              <w:rPr>
                <w:rFonts w:ascii="Arial" w:cs="Arial" w:eastAsia="Arial" w:hAnsi="Arial"/>
                <w:sz w:val="17"/>
                <w:szCs w:val="17"/>
                <w:color w:val="auto"/>
              </w:rPr>
              <w:t>Ocean Power Technologies (Australasia) Pty Ltd</w:t>
            </w:r>
          </w:p>
        </w:tc>
        <w:tc>
          <w:tcPr>
            <w:tcW w:w="8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19,708</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3,693</w:t>
            </w:r>
          </w:p>
        </w:tc>
        <w:tc>
          <w:tcPr>
            <w:tcW w:w="50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Ocean Power Technologies,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1"/>
              </w:rPr>
              <w:t>(2,166,686)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(3,362,818)</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(221)%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Certain subtotals may not add due to rounding.</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Revenues decreased by $0.6 million, or 39%, to $0.9 million in the three months ended January 31, 2012, as compared to $1.5 million in the three months ended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January 31, 2011. The change in revenues was attributable to the following factors:</w:t>
      </w:r>
    </w:p>
    <w:p>
      <w:pPr>
        <w:spacing w:after="0" w:line="91" w:lineRule="exact"/>
        <w:rPr>
          <w:sz w:val="20"/>
          <w:szCs w:val="20"/>
          <w:color w:val="auto"/>
        </w:rPr>
      </w:pPr>
    </w:p>
    <w:p>
      <w:pPr>
        <w:ind w:left="440" w:right="220" w:hanging="327"/>
        <w:spacing w:after="0" w:line="277"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Revenues relating to our autonomous PowerBuoy system decreased by $0.5 million as a result of a decrease in billable work on our projects to provide our PowerBuoy technology to the US Navy’s Littoral Expeditionary Autonomous PowerBuoy (“LEAP”) program and the US Navy’s Deep Water Active Detection System (“DWADS”). The LEAP project has been completed and the DWADS project is nearing completion.</w:t>
      </w:r>
    </w:p>
    <w:p>
      <w:pPr>
        <w:spacing w:after="0" w:line="43" w:lineRule="exact"/>
        <w:rPr>
          <w:rFonts w:ascii="Arial" w:cs="Arial" w:eastAsia="Arial" w:hAnsi="Arial"/>
          <w:sz w:val="17"/>
          <w:szCs w:val="17"/>
          <w:color w:val="auto"/>
        </w:rPr>
      </w:pPr>
    </w:p>
    <w:p>
      <w:pPr>
        <w:ind w:left="440" w:right="80" w:hanging="327"/>
        <w:spacing w:after="0" w:line="277"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Revenues relating to our utility PowerBuoy system decreased by $0.1 million due primarily to a decrease in revenue related to our 150kW PowerBuoy project off the coast of Oregon, reflecting a decrease in billable work on the project, which is currently in a land-based cycle testing phase. This was partially offset by an increase in billable work on our WavePort project off the coast of Spain.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9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Cost of revenues decreased by $0.5 million, or 36%, to $0.9 million in the three months ended January 31, 2012, as compared to $1.5 million in the three months ended January 31, 2011. This decrease in the cost of revenues reflected the decreased activity related to our 150kW PowerBuoy project off the coast of Oregon and our LEAP and DWADS projects with the US Navy. This was partially offset by the increased activity on our WavePort project off the coast of Spain.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2" w:right="23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We operated at an approximate break-even gross profit (loss) in the three months ended January 31, 2012 and a gross profit of $0.1 million for the three months ended January 31, 2011. Certain of our projects in the three months ended January 31, 2012 and 2011 were under cost-sharing contracts. Under cost-sharing contracts, we receive a fixed amount agreed upon with the customer that is only intended to fund a portion of the costs on a specific project. We fund the remainder of the costs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our ability to manage costs incurred on our fixed price contracts.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costs</w:t>
      </w:r>
    </w:p>
    <w:p>
      <w:pPr>
        <w:spacing w:after="0" w:line="98"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Product development costs decreased by $0.6 million, or 31%, to $1.4 million in the three months ended January 31, 2012, as compared to $2.0 million in the three months ended January 31, 2011. Product development costs were attributable primarily to our efforts to increase the power output and reliability of our utility PowerBuoy system, especially the 150kW PowerBuoy system. The decrease in product development costs was related primarily to a decrease in activity related to our 150kW PowerBuoy project off the coast of Scotland, as the project is substantially complete. This was partially offset by an increase in costs related to our 150kW PowerBuoy project off the coast of Oregon.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three months ended January 31, 2012, the majority of funding for our PB500 PowerBuoy development project was from external sources.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costs</w:t>
      </w:r>
    </w:p>
    <w:p>
      <w:pPr>
        <w:spacing w:after="0" w:line="9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Selling, general and administrative costs were $1.8 million for the three months ended January 31, 2012 and $1.9 million for the three months ended January 31, 2011. The decrease was due primarily to a decrease in compensation and marketing expenses, partially offset by an increase in travel expenses.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98" w:lineRule="exact"/>
        <w:rPr>
          <w:sz w:val="20"/>
          <w:szCs w:val="20"/>
          <w:color w:val="auto"/>
        </w:rPr>
      </w:pPr>
    </w:p>
    <w:p>
      <w:pPr>
        <w:ind w:right="580"/>
        <w:spacing w:after="0" w:line="292" w:lineRule="auto"/>
        <w:rPr>
          <w:sz w:val="20"/>
          <w:szCs w:val="20"/>
          <w:color w:val="auto"/>
        </w:rPr>
      </w:pPr>
      <w:r>
        <w:rPr>
          <w:rFonts w:ascii="Arial" w:cs="Arial" w:eastAsia="Arial" w:hAnsi="Arial"/>
          <w:sz w:val="17"/>
          <w:szCs w:val="17"/>
          <w:color w:val="auto"/>
        </w:rPr>
        <w:t>Interest income decreased approximately 36% to $95,000 for the three months ended January 31, 2012, as compared to $148,000 in the three months ended January 31, 2011, due to a decrease in cash, cash equivalents and marketable securities and a decrease in average yield.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loss</w:t>
      </w:r>
    </w:p>
    <w:p>
      <w:pPr>
        <w:spacing w:after="0" w:line="9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Foreign exchange loss was $113,000 for the three months ended January 31, 2012, compared to a foreign exchange loss of $38,000 for the three months ended January 31, 2011. The difference was attributable primarily to the relative change in value of the British pound sterling, Euro and Australian dollar compared to the US dollar during the two periods.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9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During the three months ended January 31, 2012 and 2011, we sold New Jersey net operating tax loss carryforwards resulting in income tax benefits of $1.1 million and $0.4 million, respectively.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278" w:right="27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Nine Months Ended January 31, 2012 Compared to Nine Months Ended January 31, 2011</w:t>
      </w:r>
    </w:p>
    <w:p>
      <w:pPr>
        <w:spacing w:after="0" w:line="98" w:lineRule="exact"/>
        <w:rPr>
          <w:sz w:val="20"/>
          <w:szCs w:val="20"/>
          <w:color w:val="auto"/>
        </w:rPr>
      </w:pPr>
    </w:p>
    <w:p>
      <w:pPr>
        <w:ind w:right="520"/>
        <w:spacing w:after="0" w:line="292" w:lineRule="auto"/>
        <w:rPr>
          <w:sz w:val="20"/>
          <w:szCs w:val="20"/>
          <w:color w:val="auto"/>
        </w:rPr>
      </w:pPr>
      <w:r>
        <w:rPr>
          <w:rFonts w:ascii="Arial" w:cs="Arial" w:eastAsia="Arial" w:hAnsi="Arial"/>
          <w:sz w:val="17"/>
          <w:szCs w:val="17"/>
          <w:color w:val="auto"/>
        </w:rPr>
        <w:t>The following table contains selected statement of operations information, which serves as the basis of the discussion of our results of operations for the nine months ended January 31, 2012 and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4"/>
            <w:vMerge w:val="restart"/>
          </w:tcPr>
          <w:p>
            <w:pPr>
              <w:jc w:val="right"/>
              <w:ind w:right="122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3"/>
                <w:szCs w:val="13"/>
                <w:color w:val="auto"/>
              </w:rPr>
            </w:pPr>
          </w:p>
        </w:tc>
        <w:tc>
          <w:tcPr>
            <w:tcW w:w="2820" w:type="dxa"/>
            <w:vAlign w:val="bottom"/>
            <w:gridSpan w:val="4"/>
            <w:vMerge w:val="restart"/>
          </w:tcPr>
          <w:p>
            <w:pPr>
              <w:jc w:val="right"/>
              <w:ind w:right="1240"/>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 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2820" w:type="dxa"/>
            <w:vAlign w:val="bottom"/>
            <w:gridSpan w:val="4"/>
            <w:vMerge w:val="continue"/>
          </w:tcPr>
          <w:p>
            <w:pPr>
              <w:spacing w:after="0"/>
              <w:rPr>
                <w:sz w:val="4"/>
                <w:szCs w:val="4"/>
                <w:color w:val="auto"/>
              </w:rPr>
            </w:pPr>
          </w:p>
        </w:tc>
        <w:tc>
          <w:tcPr>
            <w:tcW w:w="600" w:type="dxa"/>
            <w:vAlign w:val="bottom"/>
            <w:vMerge w:val="restart"/>
          </w:tcPr>
          <w:p>
            <w:pPr>
              <w:jc w:val="center"/>
              <w:spacing w:after="0" w:line="147" w:lineRule="exact"/>
              <w:rPr>
                <w:sz w:val="20"/>
                <w:szCs w:val="20"/>
                <w:color w:val="auto"/>
              </w:rPr>
            </w:pPr>
            <w:r>
              <w:rPr>
                <w:rFonts w:ascii="Arial" w:cs="Arial" w:eastAsia="Arial" w:hAnsi="Arial"/>
                <w:sz w:val="13"/>
                <w:szCs w:val="13"/>
                <w:b w:val="1"/>
                <w:bCs w:val="1"/>
                <w:color w:val="auto"/>
                <w:w w:val="89"/>
              </w:rPr>
              <w:t>2012</w:t>
            </w: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0" w:type="dxa"/>
            <w:vAlign w:val="bottom"/>
            <w:gridSpan w:val="4"/>
            <w:vMerge w:val="restart"/>
          </w:tcPr>
          <w:p>
            <w:pPr>
              <w:jc w:val="right"/>
              <w:ind w:right="1300"/>
              <w:spacing w:after="0"/>
              <w:rPr>
                <w:sz w:val="20"/>
                <w:szCs w:val="20"/>
                <w:color w:val="auto"/>
              </w:rPr>
            </w:pPr>
            <w:r>
              <w:rPr>
                <w:rFonts w:ascii="Arial" w:cs="Arial" w:eastAsia="Arial" w:hAnsi="Arial"/>
                <w:sz w:val="13"/>
                <w:szCs w:val="13"/>
                <w:b w:val="1"/>
                <w:bCs w:val="1"/>
                <w:color w:val="auto"/>
              </w:rPr>
              <w:t>January 31, 2012</w:t>
            </w:r>
          </w:p>
        </w:tc>
        <w:tc>
          <w:tcPr>
            <w:tcW w:w="100" w:type="dxa"/>
            <w:vAlign w:val="bottom"/>
          </w:tcPr>
          <w:p>
            <w:pPr>
              <w:spacing w:after="0"/>
              <w:rPr>
                <w:sz w:val="8"/>
                <w:szCs w:val="8"/>
                <w:color w:val="auto"/>
              </w:rPr>
            </w:pPr>
          </w:p>
        </w:tc>
        <w:tc>
          <w:tcPr>
            <w:tcW w:w="2820" w:type="dxa"/>
            <w:vAlign w:val="bottom"/>
            <w:gridSpan w:val="4"/>
            <w:vMerge w:val="restart"/>
          </w:tcPr>
          <w:p>
            <w:pPr>
              <w:jc w:val="right"/>
              <w:ind w:right="1320"/>
              <w:spacing w:after="0"/>
              <w:rPr>
                <w:sz w:val="20"/>
                <w:szCs w:val="20"/>
                <w:color w:val="auto"/>
              </w:rPr>
            </w:pPr>
            <w:r>
              <w:rPr>
                <w:rFonts w:ascii="Arial" w:cs="Arial" w:eastAsia="Arial" w:hAnsi="Arial"/>
                <w:sz w:val="13"/>
                <w:szCs w:val="13"/>
                <w:b w:val="1"/>
                <w:bCs w:val="1"/>
                <w:color w:val="auto"/>
              </w:rPr>
              <w:t>January 31, 2011</w:t>
            </w:r>
          </w:p>
        </w:tc>
        <w:tc>
          <w:tcPr>
            <w:tcW w:w="6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2820" w:type="dxa"/>
            <w:vAlign w:val="bottom"/>
            <w:gridSpan w:val="4"/>
            <w:vMerge w:val="continue"/>
          </w:tcPr>
          <w:p>
            <w:pPr>
              <w:spacing w:after="0"/>
              <w:rPr>
                <w:sz w:val="5"/>
                <w:szCs w:val="5"/>
                <w:color w:val="auto"/>
              </w:rPr>
            </w:pPr>
          </w:p>
        </w:tc>
        <w:tc>
          <w:tcPr>
            <w:tcW w:w="860" w:type="dxa"/>
            <w:vAlign w:val="bottom"/>
            <w:gridSpan w:val="2"/>
            <w:vMerge w:val="restart"/>
          </w:tcPr>
          <w:p>
            <w:pPr>
              <w:jc w:val="center"/>
              <w:ind w:right="260"/>
              <w:spacing w:after="0" w:line="147" w:lineRule="exact"/>
              <w:rPr>
                <w:sz w:val="20"/>
                <w:szCs w:val="20"/>
                <w:color w:val="auto"/>
              </w:rPr>
            </w:pPr>
            <w:r>
              <w:rPr>
                <w:rFonts w:ascii="Arial" w:cs="Arial" w:eastAsia="Arial" w:hAnsi="Arial"/>
                <w:sz w:val="13"/>
                <w:szCs w:val="13"/>
                <w:b w:val="1"/>
                <w:bCs w:val="1"/>
                <w:color w:val="auto"/>
                <w:w w:val="92"/>
              </w:rPr>
              <w:t>Period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right"/>
              <w:ind w:right="780"/>
              <w:spacing w:after="0" w:line="147"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right"/>
              <w:ind w:right="780"/>
              <w:spacing w:after="0" w:line="147" w:lineRule="exact"/>
              <w:rPr>
                <w:sz w:val="20"/>
                <w:szCs w:val="20"/>
                <w:color w:val="auto"/>
              </w:rPr>
            </w:pPr>
            <w:r>
              <w:rPr>
                <w:rFonts w:ascii="Arial" w:cs="Arial" w:eastAsia="Arial" w:hAnsi="Arial"/>
                <w:sz w:val="13"/>
                <w:szCs w:val="13"/>
                <w:b w:val="1"/>
                <w:bCs w:val="1"/>
                <w:color w:val="auto"/>
              </w:rPr>
              <w:t>As a % of</w:t>
            </w:r>
          </w:p>
        </w:tc>
        <w:tc>
          <w:tcPr>
            <w:tcW w:w="60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9"/>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5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Revenues (1)</w:t>
            </w: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5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Revenues (1)</w:t>
            </w:r>
          </w:p>
        </w:tc>
        <w:tc>
          <w:tcPr>
            <w:tcW w:w="7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Period</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4,349,908</w:t>
            </w:r>
          </w:p>
        </w:tc>
        <w:tc>
          <w:tcPr>
            <w:tcW w:w="5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4,762,415</w:t>
            </w:r>
          </w:p>
        </w:tc>
        <w:tc>
          <w:tcPr>
            <w:tcW w:w="5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Cost of revenues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4,319,634</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4,818,623</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101</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Gross profit (loss)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30,274</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(56,208)</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9"/>
        </w:trPr>
        <w:tc>
          <w:tcPr>
            <w:tcW w:w="47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Product development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6,551,507</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9,731,592</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7"/>
                <w:szCs w:val="17"/>
                <w:color w:val="auto"/>
              </w:rPr>
              <w:t>Selling, general and administrative costs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5,857,656</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6,060,705</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127</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12,409,163</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6"/>
              </w:rPr>
              <w:t>15,792,297</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332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line="20" w:lineRule="exact"/>
              <w:rPr>
                <w:sz w:val="1"/>
                <w:szCs w:val="1"/>
                <w:color w:val="auto"/>
              </w:rPr>
            </w:pPr>
          </w:p>
        </w:tc>
      </w:tr>
      <w:tr>
        <w:trPr>
          <w:trHeight w:val="219"/>
        </w:trPr>
        <w:tc>
          <w:tcPr>
            <w:tcW w:w="4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w w:val="91"/>
              </w:rPr>
              <w:t>(12,378,889)</w:t>
            </w:r>
          </w:p>
        </w:tc>
        <w:tc>
          <w:tcPr>
            <w:tcW w:w="1420" w:type="dxa"/>
            <w:vAlign w:val="bottom"/>
            <w:gridSpan w:val="2"/>
          </w:tcPr>
          <w:p>
            <w:pPr>
              <w:jc w:val="right"/>
              <w:ind w:right="620"/>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w w:val="91"/>
              </w:rPr>
              <w:t>(15,848,505)</w:t>
            </w:r>
          </w:p>
        </w:tc>
        <w:tc>
          <w:tcPr>
            <w:tcW w:w="1440" w:type="dxa"/>
            <w:vAlign w:val="bottom"/>
            <w:gridSpan w:val="2"/>
          </w:tcPr>
          <w:p>
            <w:pPr>
              <w:jc w:val="right"/>
              <w:ind w:right="640"/>
              <w:spacing w:after="0"/>
              <w:rPr>
                <w:sz w:val="20"/>
                <w:szCs w:val="20"/>
                <w:color w:val="auto"/>
              </w:rPr>
            </w:pPr>
            <w:r>
              <w:rPr>
                <w:rFonts w:ascii="Arial" w:cs="Arial" w:eastAsia="Arial" w:hAnsi="Arial"/>
                <w:sz w:val="17"/>
                <w:szCs w:val="17"/>
                <w:color w:val="auto"/>
              </w:rPr>
              <w:t>(333)</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341,631</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546,829</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Foreign exchange loss</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(93,080)</w:t>
            </w:r>
          </w:p>
        </w:tc>
        <w:tc>
          <w:tcPr>
            <w:tcW w:w="1420" w:type="dxa"/>
            <w:vAlign w:val="bottom"/>
            <w:gridSpan w:val="2"/>
          </w:tcPr>
          <w:p>
            <w:pPr>
              <w:jc w:val="right"/>
              <w:ind w:right="6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(205,824)</w:t>
            </w:r>
          </w:p>
        </w:tc>
        <w:tc>
          <w:tcPr>
            <w:tcW w:w="1440" w:type="dxa"/>
            <w:vAlign w:val="bottom"/>
            <w:gridSpan w:val="2"/>
          </w:tcPr>
          <w:p>
            <w:pPr>
              <w:jc w:val="right"/>
              <w:ind w:right="640"/>
              <w:spacing w:after="0"/>
              <w:rPr>
                <w:sz w:val="20"/>
                <w:szCs w:val="20"/>
                <w:color w:val="auto"/>
              </w:rPr>
            </w:pPr>
            <w:r>
              <w:rPr>
                <w:rFonts w:ascii="Arial" w:cs="Arial" w:eastAsia="Arial" w:hAnsi="Arial"/>
                <w:sz w:val="17"/>
                <w:szCs w:val="17"/>
                <w:color w:val="auto"/>
              </w:rPr>
              <w:t>(4)</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1"/>
              </w:rPr>
              <w:t>(12,130,338)</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1"/>
              </w:rPr>
              <w:t>(15,507,500)</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(326)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Income tax benefit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1,053,427</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364,105</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rPr>
              <w:t>8</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1"/>
              </w:rPr>
              <w:t>(11,076,911)</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1"/>
              </w:rPr>
              <w:t>(15,143,395)</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(318)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20" w:type="dxa"/>
            <w:vAlign w:val="bottom"/>
          </w:tcPr>
          <w:p>
            <w:pPr>
              <w:ind w:left="420"/>
              <w:spacing w:after="0"/>
              <w:rPr>
                <w:sz w:val="20"/>
                <w:szCs w:val="20"/>
                <w:color w:val="auto"/>
              </w:rPr>
            </w:pPr>
            <w:r>
              <w:rPr>
                <w:rFonts w:ascii="Arial" w:cs="Arial" w:eastAsia="Arial" w:hAnsi="Arial"/>
                <w:sz w:val="17"/>
                <w:szCs w:val="17"/>
                <w:color w:val="auto"/>
              </w:rPr>
              <w:t>Less: Net loss attributable to the noncontrolling</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620"/>
              <w:spacing w:after="0"/>
              <w:rPr>
                <w:sz w:val="20"/>
                <w:szCs w:val="20"/>
                <w:color w:val="auto"/>
              </w:rPr>
            </w:pPr>
            <w:r>
              <w:rPr>
                <w:rFonts w:ascii="Arial" w:cs="Arial" w:eastAsia="Arial" w:hAnsi="Arial"/>
                <w:sz w:val="17"/>
                <w:szCs w:val="17"/>
                <w:color w:val="auto"/>
              </w:rPr>
              <w:t>interest in Ocean Power Technologies (Australasia)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Pr>
          <w:p>
            <w:pPr>
              <w:ind w:left="620"/>
              <w:spacing w:after="0"/>
              <w:rPr>
                <w:sz w:val="20"/>
                <w:szCs w:val="20"/>
                <w:color w:val="auto"/>
              </w:rPr>
            </w:pPr>
            <w:r>
              <w:rPr>
                <w:rFonts w:ascii="Arial" w:cs="Arial" w:eastAsia="Arial" w:hAnsi="Arial"/>
                <w:sz w:val="17"/>
                <w:szCs w:val="17"/>
                <w:color w:val="auto"/>
              </w:rPr>
              <w:t>Pty Ltd</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32,804</w:t>
            </w:r>
          </w:p>
        </w:tc>
        <w:tc>
          <w:tcPr>
            <w:tcW w:w="54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14,792</w:t>
            </w:r>
          </w:p>
        </w:tc>
        <w:tc>
          <w:tcPr>
            <w:tcW w:w="144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Ocean Power Technologies,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1"/>
              </w:rPr>
              <w:t>(11,044,107)</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1"/>
              </w:rPr>
              <w:t>(15,128,603)</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Certain subtotals may not add due to rounding.</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Revenues decreased by $0.5 million, or 9%, to $4.3 million in the nine months ended January 31, 2012, as compared to $4.8 million in the nine months ended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January 31, 2011. The change in revenues was attributable to the following factors:</w:t>
      </w:r>
    </w:p>
    <w:p>
      <w:pPr>
        <w:spacing w:after="0" w:line="91" w:lineRule="exact"/>
        <w:rPr>
          <w:sz w:val="20"/>
          <w:szCs w:val="20"/>
          <w:color w:val="auto"/>
        </w:rPr>
      </w:pPr>
    </w:p>
    <w:p>
      <w:pPr>
        <w:ind w:left="440" w:right="160" w:hanging="327"/>
        <w:spacing w:after="0" w:line="269"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Revenues relating to our utility PowerBuoy system increased by $0.3 million due primarily to an increase in billable work on our PB500 PowerBuoy development project and our WavePort project off the coast of Spain. This was partially offset by a decrease in revenue related to our 150kW PowerBuoy project off the coast of Oregon, reflecting a decrease in billable work on the project, which is currently in a land-based cycle testing phase. Additionally, during the nine months ended January 31, 2011, revenue was reduced by $0.2 million due to a change in estimate of revenue to be recognized in connection with our Spain construction agreement.</w:t>
      </w:r>
    </w:p>
    <w:p>
      <w:pPr>
        <w:spacing w:after="0" w:line="51" w:lineRule="exact"/>
        <w:rPr>
          <w:rFonts w:ascii="Arial" w:cs="Arial" w:eastAsia="Arial" w:hAnsi="Arial"/>
          <w:sz w:val="17"/>
          <w:szCs w:val="17"/>
          <w:color w:val="auto"/>
        </w:rPr>
      </w:pPr>
    </w:p>
    <w:p>
      <w:pPr>
        <w:ind w:left="440" w:right="420" w:hanging="327"/>
        <w:spacing w:after="0" w:line="292"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Revenues relating to our autonomous PowerBuoy system decreased by $0.8 million as a result of a decrease in billable work on our DWADS and LEAP projects with the US Navy. The LEAP project has been completed and the DWADS project is nearing completion.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9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Cost of revenues decreased by $0.5 million, or 10%, to $4.3 million in the nine months ended January 31, 2012, as compared to $4.8 million in the nine months ended January 31, 2011. This decrease in the cost of revenues reflected the decreased activity related to our 150kW PowerBuoy project off the coast of Oregon and our DWADS project with the US Navy. This was partially offset by the increased activity on our PB500 PowerBuoy development project and WavePort project off the coast of Spain.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8" w:right="239" w:bottom="1440" w:gutter="0" w:footer="0" w:header="0"/>
        </w:sectPr>
      </w:pPr>
    </w:p>
    <w:bookmarkStart w:id="25" w:name="page26"/>
    <w:bookmarkEnd w:id="25"/>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We operated at an approximate break-even gross profit (loss) in the nine months ended January 31, 2012 and a gross loss of $0.1 million for the nine months ended January 31, 2011. Certain of our projects in the nine months ended January 31, 2012 and 2011 were under cost-sharing contracts. Under cost-sharing contracts, we receive a fixed amount agreed upon with the customer that is only intended to fund a portion of the costs on a specific project. We fund the remainder of the costs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 During the nine months ended January 31, 2011, revenue was reduced by $0.2 million due to a change in estimate of revenue to be recognized in connection with our Spain construction agreement. There was no corresponding reduction in cost of revenue. This resulted in a $0.2 million gross loss being recognized on the Spain project during the nine months ended January 31, 2011.</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costs</w:t>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Product development costs decreased by $3.1 million, or 33%, to $6.6 million in the nine months ended January 31, 2012, as compared to $9.7 million in the nine months ended January 31, 2011. Product development costs were attributable primarily to our efforts to increase the power output and reliability of our utility PowerBuoy system, especially the 150kW PowerBuoy system. The decrease in product development costs is related primarily to decreases in activity related to our 150kW PowerBuoy project off the coast of Scotland and our Hawaii project with the US Navy, as these projects neared completion. Over the next several years, it is our intent to fund the majority of our research and development expenses, including cost-sharing arrangements, with sources of external funding. If we are unable to obtain external funding, we may reduce our research and development expenses or we may decide to self-fund significant research and development expenses, in which case our product development costs may increase. During the nine months ended January 31, 2012, the majority of funding for our PB500 PowerBuoy development project was from external sources.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costs</w:t>
      </w:r>
    </w:p>
    <w:p>
      <w:pPr>
        <w:spacing w:after="0" w:line="9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Selling, general and administrative costs were $5.9 million for the nine months ended January 31, 2012 and $6.1 million for the nine months ended January 31, 2011. The decrease was due primarily to a decrease in consulting, marketing and legal expenses and a reduction in expenses resulting from our voluntary delisting from the AIM market of the London Stock Exchange, partially offset by an increase in travel expenses.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98"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Interest income decreased approximately 38% to $0.3 million for the nine months ended January 31, 2012, as compared to $0.5 million in the nine months ended January 31, 2011, due primarily to a decrease in cash, cash equivalents and marketable securities and a decrease in average yield.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loss</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Foreign exchange loss was $0.1 million for the nine months ended January 31, 2012, compared to a foreign exchange loss of $0.2 million for the nine months ended January 31, 2011. The difference was attributable primarily to the relative change in value of the British pound sterling, Euro and Australian dollar compared to the US dollar during the two periods.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98"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During the nine months ended January 31, 2012 and 2011, we sold New Jersey net operating tax loss carryforwards resulting in income tax benefits of $1.1 million and $0.4 million, respectively.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8"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Liquidity and Capital Resources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three years ended April 30, 2011, our revenues were $15.8 million, our net losses were $57.9 million and our net cash used in operating activities was $51.2 million.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Cash flows for the nine months ended January 31, 2012 and 2011 were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Nine Months Ended January 31,</w:t>
            </w:r>
          </w:p>
        </w:tc>
        <w:tc>
          <w:tcPr>
            <w:tcW w:w="0" w:type="dxa"/>
            <w:vAlign w:val="bottom"/>
          </w:tcPr>
          <w:p>
            <w:pPr>
              <w:spacing w:after="0"/>
              <w:rPr>
                <w:sz w:val="1"/>
                <w:szCs w:val="1"/>
                <w:color w:val="auto"/>
              </w:rPr>
            </w:pPr>
          </w:p>
        </w:tc>
      </w:tr>
      <w:tr>
        <w:trPr>
          <w:trHeight w:val="140"/>
        </w:trPr>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0" w:lineRule="exact"/>
              <w:rPr>
                <w:sz w:val="20"/>
                <w:szCs w:val="20"/>
                <w:color w:val="auto"/>
              </w:rPr>
            </w:pPr>
            <w:r>
              <w:rPr>
                <w:rFonts w:ascii="Arial" w:cs="Arial" w:eastAsia="Arial" w:hAnsi="Arial"/>
                <w:sz w:val="13"/>
                <w:szCs w:val="13"/>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0"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(11,076,911)</w:t>
            </w:r>
          </w:p>
        </w:tc>
        <w:tc>
          <w:tcPr>
            <w:tcW w:w="5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(15,143,395)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7"/>
                <w:szCs w:val="17"/>
                <w:color w:val="auto"/>
              </w:rPr>
              <w:t>Adjustments for noncash operating items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1,301,352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1,488,457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cash 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w w:val="98"/>
              </w:rPr>
              <w:t>(9,775,559)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(13,654,938)</w:t>
            </w: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7"/>
                <w:szCs w:val="17"/>
                <w:color w:val="auto"/>
              </w:rPr>
              <w:t>Net change in operating assets and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32,227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(332,325)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w w:val="98"/>
              </w:rPr>
              <w:t>(9,743,332)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(13,987,263)</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7"/>
                <w:szCs w:val="17"/>
                <w:color w:val="auto"/>
              </w:rPr>
              <w:t>Net cash provided by investing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13,583,381</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18,975,632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(170,161)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213,133</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3"/>
          </w:tcPr>
          <w:p>
            <w:pPr>
              <w:jc w:val="right"/>
              <w:ind w:right="460"/>
              <w:spacing w:after="0"/>
              <w:rPr>
                <w:sz w:val="20"/>
                <w:szCs w:val="20"/>
                <w:color w:val="auto"/>
              </w:rPr>
            </w:pPr>
            <w:r>
              <w:rPr>
                <w:rFonts w:ascii="Arial" w:cs="Arial" w:eastAsia="Arial" w:hAnsi="Arial"/>
                <w:sz w:val="17"/>
                <w:szCs w:val="17"/>
                <w:color w:val="auto"/>
              </w:rPr>
              <w:t>(216,273)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64,525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operating activities</w:t>
      </w:r>
    </w:p>
    <w:p>
      <w:pPr>
        <w:spacing w:after="0" w:line="104"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Net cash used in operating activities was $9.7 million and $14.0 million for the nine months ended January 31, 2012 and 2011, respectively. The change was the result of a decrease in net loss of $4.1 million, and an increase in cash provided by operating assets and liabilities of $0.4 million, offset by a decrease in noncash adjustments to income of $0.2 million.</w:t>
      </w:r>
    </w:p>
    <w:p>
      <w:pPr>
        <w:spacing w:after="0" w:line="123"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Included in the net loss amounts are the cash receipts related to income tax benefits of $1.1 million and $0.4 million for the nine months ended January 31, 2012 and 2011,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provided by investing activities</w:t>
      </w:r>
    </w:p>
    <w:p>
      <w:pPr>
        <w:spacing w:after="0" w:line="104"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Net cash provided by investing activities was $13.6 million and $19.0 million for the nine months ended January 31, 2012 and 2011, respectively. The change was primarily the result of a net increase in purchases of marketable securities during the nine months ended January 31,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provided by financing activities</w:t>
      </w:r>
    </w:p>
    <w:p>
      <w:pPr>
        <w:spacing w:after="0" w:line="10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Net cash used in financing activities was $0.2 million in the nine months ended January 31, 2012 and net cash provided by financing activities was $0.2 million in the nine months ended January 31, 2011. During the nine months ended January 31, 2012, we repaid $0.1 million under loans from the New Jersey Economic Development Authority and the NJBPU Renewable Energy Business Venture Assistance Program. During the nine months ended January 31, 2011, we received a $0.25 million loan under the NJBPU Renewable Energy Business Venture Assistance Program.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exchange rates on cash and cash equivalents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effect of exchange rates on cash and cash equivalents was a decrease of $0.2 million in the nine months ended January 31, 2012 and an increase of $0.1 million in the nine months ended January 31, 2011. The effect of exchange rates on cash and cash equivalents results primarily from gains or losses on consolidation of foreign subsidiaries and foreign denominated cash and cash equivalents.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272" w:right="27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Liquidity and Capital Resources Outlook</w:t>
      </w:r>
    </w:p>
    <w:p>
      <w:pPr>
        <w:spacing w:after="0" w:line="104" w:lineRule="exact"/>
        <w:rPr>
          <w:sz w:val="20"/>
          <w:szCs w:val="20"/>
          <w:color w:val="auto"/>
        </w:rPr>
      </w:pPr>
    </w:p>
    <w:p>
      <w:pPr>
        <w:ind w:right="120"/>
        <w:spacing w:after="0" w:line="352" w:lineRule="auto"/>
        <w:rPr>
          <w:sz w:val="20"/>
          <w:szCs w:val="20"/>
          <w:color w:val="auto"/>
        </w:rPr>
      </w:pPr>
      <w:r>
        <w:rPr>
          <w:rFonts w:ascii="Arial" w:cs="Arial" w:eastAsia="Arial" w:hAnsi="Arial"/>
          <w:sz w:val="15"/>
          <w:szCs w:val="15"/>
          <w:color w:val="auto"/>
        </w:rPr>
        <w:t>We expect to devote substantial resources to continue our development efforts for our PowerBuoy systems and to expand our sales, marketing and manufacturing programs associated with the planned commercialization of the PowerBuoy system. Our future capital requirements will depend on a number of factors, including:</w:t>
      </w:r>
    </w:p>
    <w:p>
      <w:pPr>
        <w:spacing w:after="0" w:line="1" w:lineRule="exact"/>
        <w:rPr>
          <w:sz w:val="20"/>
          <w:szCs w:val="20"/>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development efforts for our PowerBuoy systems;</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our commercial relationships with major customers;</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manufacturing activities;</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commercialization activities, including demonstration projects, product marketing and sales;</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customer relationships;</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implementation of our expansion plans, including the hiring of new employees;</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acquisitions of other products or technologies; and</w:t>
      </w:r>
    </w:p>
    <w:p>
      <w:pPr>
        <w:spacing w:after="0" w:line="97" w:lineRule="exact"/>
        <w:rPr>
          <w:rFonts w:ascii="Arial" w:cs="Arial" w:eastAsia="Arial" w:hAnsi="Arial"/>
          <w:sz w:val="17"/>
          <w:szCs w:val="17"/>
          <w:color w:val="auto"/>
        </w:rPr>
      </w:pPr>
    </w:p>
    <w:p>
      <w:pPr>
        <w:ind w:left="440" w:hanging="327"/>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and enforcing patent claims and other patent-related costs.</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believe that our current cash, cash equivalents and investments will be sufficient to meet our anticipated cash needs for working capital and capital expenditures at least through fiscal 2013.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we have not engaged in any off-balance sheet financing activities.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2" w:right="23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11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estimate that if the average yield on our cash, cash equivalents and marketable securities had decreased by 100 basis points during the nine months ended January 31, 2012, our interest income for the period would have decreased by approximately $0.1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11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cash accounts that are denominated in British pounds sterling, Euros and Australian dollars. These foreign-denominated cash accounts had a balance of $3.6 million as of January 31, 2012 compared to our total cash, cash equivalents, marketable securities and restricted cash account balances of $37.8 million as of January 31, 2011. These foreign currency balances are translated at each month end to our functional currency, the US dollar, and any resulting gain or loss is recognized in our results of operations. If foreign currency exchange rates had fluctuated by 10% as of January 31, 2012, the impact on our foreign exchange gains and losses would have been $0.4 million.</w:t>
      </w:r>
    </w:p>
    <w:p>
      <w:pPr>
        <w:spacing w:after="0" w:line="13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nine months ended January 31, 2012 were recorded in Euros, British pounds sterling or Australian dollars.</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 have limited potential exposure to fluctuations in prices of commodities used in the production of our buoys, such as steel. Currently, we believe our exposure is minimal since we contract for the components of our buoys on a project-by-project basis and do not yet produce in large unit volumes. We do not use long-term supply agreements nor do we use derivative instruments to hedge any potential exposure.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2" w:right="23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January 31, 2012, our Chief Executive Officer and Chief Financial Officer concluded that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98"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2012 that has materially affected, or is reasonably likely to materially affect, our internal control over financial reporting.</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PART II — OTHER INFORMATION</w:t>
      </w:r>
    </w:p>
    <w:p>
      <w:pPr>
        <w:spacing w:after="0" w:line="21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i w:val="1"/>
          <w:iCs w:val="1"/>
          <w:color w:val="auto"/>
        </w:rPr>
        <w:t>LEGAL PROCEEDINGS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0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2011.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2011.</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20"/>
          </w:cols>
          <w:pgMar w:left="240" w:top="27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6"/>
        </w:trPr>
        <w:tc>
          <w:tcPr>
            <w:tcW w:w="860" w:type="dxa"/>
            <w:vAlign w:val="bottom"/>
            <w:gridSpan w:val="2"/>
          </w:tcPr>
          <w:p>
            <w:pPr>
              <w:spacing w:after="0"/>
              <w:rPr>
                <w:sz w:val="20"/>
                <w:szCs w:val="20"/>
                <w:color w:val="auto"/>
              </w:rPr>
            </w:pPr>
            <w:r>
              <w:rPr>
                <w:rFonts w:ascii="Arial" w:cs="Arial" w:eastAsia="Arial" w:hAnsi="Arial"/>
                <w:sz w:val="17"/>
                <w:szCs w:val="17"/>
                <w:b w:val="1"/>
                <w:bCs w:val="1"/>
                <w:color w:val="auto"/>
              </w:rPr>
              <w:t>Item 2.</w:t>
            </w:r>
          </w:p>
        </w:tc>
        <w:tc>
          <w:tcPr>
            <w:tcW w:w="6600" w:type="dxa"/>
            <w:vAlign w:val="bottom"/>
            <w:gridSpan w:val="7"/>
          </w:tcPr>
          <w:p>
            <w:pPr>
              <w:ind w:left="180"/>
              <w:spacing w:after="0"/>
              <w:rPr>
                <w:sz w:val="20"/>
                <w:szCs w:val="20"/>
                <w:color w:val="auto"/>
              </w:rPr>
            </w:pPr>
            <w:r>
              <w:rPr>
                <w:rFonts w:ascii="Arial" w:cs="Arial" w:eastAsia="Arial" w:hAnsi="Arial"/>
                <w:sz w:val="17"/>
                <w:szCs w:val="17"/>
                <w:b w:val="1"/>
                <w:bCs w:val="1"/>
                <w:i w:val="1"/>
                <w:iCs w:val="1"/>
                <w:color w:val="auto"/>
              </w:rPr>
              <w:t>UNREGISTERED SALES OF EQUITY SECURITIES AND USE OF PROCEEDS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5980" w:type="dxa"/>
            <w:vAlign w:val="bottom"/>
            <w:gridSpan w:val="6"/>
          </w:tcPr>
          <w:p>
            <w:pPr>
              <w:spacing w:after="0"/>
              <w:rPr>
                <w:sz w:val="20"/>
                <w:szCs w:val="20"/>
                <w:color w:val="auto"/>
              </w:rPr>
            </w:pPr>
            <w:r>
              <w:rPr>
                <w:rFonts w:ascii="Arial" w:cs="Arial" w:eastAsia="Arial" w:hAnsi="Arial"/>
                <w:sz w:val="17"/>
                <w:szCs w:val="17"/>
                <w:color w:val="auto"/>
                <w:w w:val="98"/>
              </w:rPr>
              <w:t>The following table details the Company’s share repurchases during the quarter:</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2"/>
          </w:tcPr>
          <w:p>
            <w:pPr>
              <w:jc w:val="center"/>
              <w:ind w:left="333"/>
              <w:spacing w:after="0"/>
              <w:rPr>
                <w:sz w:val="20"/>
                <w:szCs w:val="20"/>
                <w:color w:val="auto"/>
              </w:rPr>
            </w:pPr>
            <w:r>
              <w:rPr>
                <w:rFonts w:ascii="Arial" w:cs="Arial" w:eastAsia="Arial" w:hAnsi="Arial"/>
                <w:sz w:val="13"/>
                <w:szCs w:val="13"/>
                <w:b w:val="1"/>
                <w:bCs w:val="1"/>
                <w:color w:val="auto"/>
                <w:w w:val="94"/>
              </w:rPr>
              <w:t>Total Number of</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7"/>
              </w:rPr>
              <w:t>Shares</w:t>
            </w:r>
          </w:p>
        </w:tc>
        <w:tc>
          <w:tcPr>
            <w:tcW w:w="2120" w:type="dxa"/>
            <w:vAlign w:val="bottom"/>
            <w:gridSpan w:val="3"/>
          </w:tcPr>
          <w:p>
            <w:pPr>
              <w:jc w:val="center"/>
              <w:ind w:left="713"/>
              <w:spacing w:after="0" w:line="147" w:lineRule="exact"/>
              <w:rPr>
                <w:sz w:val="20"/>
                <w:szCs w:val="20"/>
                <w:color w:val="auto"/>
              </w:rPr>
            </w:pPr>
            <w:r>
              <w:rPr>
                <w:rFonts w:ascii="Arial" w:cs="Arial" w:eastAsia="Arial" w:hAnsi="Arial"/>
                <w:sz w:val="13"/>
                <w:szCs w:val="13"/>
                <w:b w:val="1"/>
                <w:bCs w:val="1"/>
                <w:color w:val="auto"/>
                <w:w w:val="95"/>
              </w:rPr>
              <w:t>Approximate Dollar</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00" w:type="dxa"/>
            <w:vAlign w:val="bottom"/>
            <w:gridSpan w:val="3"/>
          </w:tcPr>
          <w:p>
            <w:pPr>
              <w:jc w:val="center"/>
              <w:ind w:left="767"/>
              <w:spacing w:after="0" w:line="147" w:lineRule="exact"/>
              <w:rPr>
                <w:sz w:val="20"/>
                <w:szCs w:val="20"/>
                <w:color w:val="auto"/>
              </w:rPr>
            </w:pPr>
            <w:r>
              <w:rPr>
                <w:rFonts w:ascii="Arial" w:cs="Arial" w:eastAsia="Arial" w:hAnsi="Arial"/>
                <w:sz w:val="13"/>
                <w:szCs w:val="13"/>
                <w:b w:val="1"/>
                <w:bCs w:val="1"/>
                <w:color w:val="auto"/>
                <w:w w:val="94"/>
              </w:rPr>
              <w:t>Total Number of</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7"/>
              </w:rPr>
              <w:t>Purchased as</w:t>
            </w:r>
          </w:p>
        </w:tc>
        <w:tc>
          <w:tcPr>
            <w:tcW w:w="880" w:type="dxa"/>
            <w:vAlign w:val="bottom"/>
          </w:tcPr>
          <w:p>
            <w:pPr>
              <w:spacing w:after="0"/>
              <w:rPr>
                <w:sz w:val="12"/>
                <w:szCs w:val="12"/>
                <w:color w:val="auto"/>
              </w:rPr>
            </w:pPr>
          </w:p>
        </w:tc>
        <w:tc>
          <w:tcPr>
            <w:tcW w:w="1240" w:type="dxa"/>
            <w:vAlign w:val="bottom"/>
            <w:gridSpan w:val="2"/>
          </w:tcPr>
          <w:p>
            <w:pPr>
              <w:jc w:val="center"/>
              <w:ind w:right="100"/>
              <w:spacing w:after="0" w:line="147" w:lineRule="exact"/>
              <w:rPr>
                <w:sz w:val="20"/>
                <w:szCs w:val="20"/>
                <w:color w:val="auto"/>
              </w:rPr>
            </w:pPr>
            <w:r>
              <w:rPr>
                <w:rFonts w:ascii="Arial" w:cs="Arial" w:eastAsia="Arial" w:hAnsi="Arial"/>
                <w:sz w:val="13"/>
                <w:szCs w:val="13"/>
                <w:b w:val="1"/>
                <w:bCs w:val="1"/>
                <w:color w:val="auto"/>
                <w:w w:val="91"/>
              </w:rPr>
              <w:t>Value of Shares that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gridSpan w:val="2"/>
          </w:tcPr>
          <w:p>
            <w:pPr>
              <w:jc w:val="center"/>
              <w:ind w:right="500"/>
              <w:spacing w:after="0" w:line="147" w:lineRule="exact"/>
              <w:rPr>
                <w:sz w:val="20"/>
                <w:szCs w:val="20"/>
                <w:color w:val="auto"/>
              </w:rPr>
            </w:pPr>
            <w:r>
              <w:rPr>
                <w:rFonts w:ascii="Arial" w:cs="Arial" w:eastAsia="Arial" w:hAnsi="Arial"/>
                <w:sz w:val="13"/>
                <w:szCs w:val="13"/>
                <w:b w:val="1"/>
                <w:bCs w:val="1"/>
                <w:color w:val="auto"/>
                <w:w w:val="87"/>
              </w:rPr>
              <w:t>Shares</w:t>
            </w:r>
          </w:p>
        </w:tc>
        <w:tc>
          <w:tcPr>
            <w:tcW w:w="420" w:type="dxa"/>
            <w:vAlign w:val="bottom"/>
          </w:tcPr>
          <w:p>
            <w:pPr>
              <w:spacing w:after="0"/>
              <w:rPr>
                <w:sz w:val="12"/>
                <w:szCs w:val="12"/>
                <w:color w:val="auto"/>
              </w:rPr>
            </w:pPr>
          </w:p>
        </w:tc>
        <w:tc>
          <w:tcPr>
            <w:tcW w:w="1060" w:type="dxa"/>
            <w:vAlign w:val="bottom"/>
            <w:gridSpan w:val="2"/>
          </w:tcPr>
          <w:p>
            <w:pPr>
              <w:jc w:val="center"/>
              <w:ind w:right="460"/>
              <w:spacing w:after="0" w:line="147" w:lineRule="exact"/>
              <w:rPr>
                <w:sz w:val="20"/>
                <w:szCs w:val="20"/>
                <w:color w:val="auto"/>
              </w:rPr>
            </w:pPr>
            <w:r>
              <w:rPr>
                <w:rFonts w:ascii="Arial" w:cs="Arial" w:eastAsia="Arial" w:hAnsi="Arial"/>
                <w:sz w:val="13"/>
                <w:szCs w:val="13"/>
                <w:b w:val="1"/>
                <w:bCs w:val="1"/>
                <w:color w:val="auto"/>
                <w:w w:val="93"/>
              </w:rPr>
              <w:t>Average</w:t>
            </w:r>
          </w:p>
        </w:tc>
        <w:tc>
          <w:tcPr>
            <w:tcW w:w="4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5"/>
              </w:rPr>
              <w:t>Part of Publicly</w:t>
            </w:r>
          </w:p>
        </w:tc>
        <w:tc>
          <w:tcPr>
            <w:tcW w:w="880" w:type="dxa"/>
            <w:vAlign w:val="bottom"/>
          </w:tcPr>
          <w:p>
            <w:pPr>
              <w:spacing w:after="0"/>
              <w:rPr>
                <w:sz w:val="12"/>
                <w:szCs w:val="12"/>
                <w:color w:val="auto"/>
              </w:rPr>
            </w:pPr>
          </w:p>
        </w:tc>
        <w:tc>
          <w:tcPr>
            <w:tcW w:w="124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color w:val="auto"/>
                <w:w w:val="95"/>
              </w:rPr>
              <w:t>May Yet Be</w:t>
            </w:r>
          </w:p>
        </w:tc>
        <w:tc>
          <w:tcPr>
            <w:tcW w:w="0" w:type="dxa"/>
            <w:vAlign w:val="bottom"/>
          </w:tcPr>
          <w:p>
            <w:pPr>
              <w:spacing w:after="0"/>
              <w:rPr>
                <w:sz w:val="1"/>
                <w:szCs w:val="1"/>
                <w:color w:val="auto"/>
              </w:rPr>
            </w:pPr>
          </w:p>
        </w:tc>
      </w:tr>
      <w:tr>
        <w:trPr>
          <w:trHeight w:val="147"/>
        </w:trPr>
        <w:tc>
          <w:tcPr>
            <w:tcW w:w="86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w w:val="93"/>
              </w:rPr>
              <w:t>Period</w:t>
            </w:r>
          </w:p>
        </w:tc>
        <w:tc>
          <w:tcPr>
            <w:tcW w:w="2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3"/>
                <w:szCs w:val="13"/>
                <w:b w:val="1"/>
                <w:bCs w:val="1"/>
                <w:color w:val="auto"/>
                <w:w w:val="90"/>
              </w:rPr>
              <w:t>Purchased</w:t>
            </w:r>
          </w:p>
        </w:tc>
        <w:tc>
          <w:tcPr>
            <w:tcW w:w="1480" w:type="dxa"/>
            <w:vAlign w:val="bottom"/>
            <w:gridSpan w:val="3"/>
          </w:tcPr>
          <w:p>
            <w:pPr>
              <w:jc w:val="center"/>
              <w:ind w:right="40"/>
              <w:spacing w:after="0" w:line="147" w:lineRule="exact"/>
              <w:rPr>
                <w:sz w:val="20"/>
                <w:szCs w:val="20"/>
                <w:color w:val="auto"/>
              </w:rPr>
            </w:pPr>
            <w:r>
              <w:rPr>
                <w:rFonts w:ascii="Arial" w:cs="Arial" w:eastAsia="Arial" w:hAnsi="Arial"/>
                <w:sz w:val="13"/>
                <w:szCs w:val="13"/>
                <w:b w:val="1"/>
                <w:bCs w:val="1"/>
                <w:color w:val="auto"/>
                <w:w w:val="95"/>
              </w:rPr>
              <w:t>Price Paid</w:t>
            </w:r>
          </w:p>
        </w:tc>
        <w:tc>
          <w:tcPr>
            <w:tcW w:w="4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2"/>
              </w:rPr>
              <w:t>Announced</w:t>
            </w:r>
          </w:p>
        </w:tc>
        <w:tc>
          <w:tcPr>
            <w:tcW w:w="8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90"/>
              </w:rPr>
              <w:t>Purchased</w:t>
            </w:r>
          </w:p>
        </w:tc>
        <w:tc>
          <w:tcPr>
            <w:tcW w:w="0" w:type="dxa"/>
            <w:vAlign w:val="bottom"/>
          </w:tcPr>
          <w:p>
            <w:pPr>
              <w:spacing w:after="0"/>
              <w:rPr>
                <w:sz w:val="1"/>
                <w:szCs w:val="1"/>
                <w:color w:val="auto"/>
              </w:rPr>
            </w:pPr>
          </w:p>
        </w:tc>
      </w:tr>
      <w:tr>
        <w:trPr>
          <w:trHeight w:val="146"/>
        </w:trPr>
        <w:tc>
          <w:tcPr>
            <w:tcW w:w="860" w:type="dxa"/>
            <w:vAlign w:val="bottom"/>
            <w:gridSpan w:val="2"/>
            <w:vMerge w:val="continue"/>
          </w:tcPr>
          <w:p>
            <w:pPr>
              <w:spacing w:after="0"/>
              <w:rPr>
                <w:sz w:val="12"/>
                <w:szCs w:val="12"/>
                <w:color w:val="auto"/>
              </w:rPr>
            </w:pPr>
          </w:p>
        </w:tc>
        <w:tc>
          <w:tcPr>
            <w:tcW w:w="2420" w:type="dxa"/>
            <w:vAlign w:val="bottom"/>
          </w:tcPr>
          <w:p>
            <w:pPr>
              <w:spacing w:after="0"/>
              <w:rPr>
                <w:sz w:val="12"/>
                <w:szCs w:val="12"/>
                <w:color w:val="auto"/>
              </w:rPr>
            </w:pPr>
          </w:p>
        </w:tc>
        <w:tc>
          <w:tcPr>
            <w:tcW w:w="2240" w:type="dxa"/>
            <w:vAlign w:val="bottom"/>
            <w:gridSpan w:val="2"/>
          </w:tcPr>
          <w:p>
            <w:pPr>
              <w:jc w:val="center"/>
              <w:ind w:left="1207"/>
              <w:spacing w:after="0" w:line="146" w:lineRule="exact"/>
              <w:rPr>
                <w:sz w:val="20"/>
                <w:szCs w:val="20"/>
                <w:color w:val="auto"/>
              </w:rPr>
            </w:pPr>
            <w:r>
              <w:rPr>
                <w:rFonts w:ascii="Arial" w:cs="Arial" w:eastAsia="Arial" w:hAnsi="Arial"/>
                <w:sz w:val="13"/>
                <w:szCs w:val="13"/>
                <w:b w:val="1"/>
                <w:bCs w:val="1"/>
                <w:color w:val="auto"/>
              </w:rPr>
              <w:t>(1)</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460"/>
              <w:spacing w:after="0" w:line="146" w:lineRule="exact"/>
              <w:rPr>
                <w:sz w:val="20"/>
                <w:szCs w:val="20"/>
                <w:color w:val="auto"/>
              </w:rPr>
            </w:pPr>
            <w:r>
              <w:rPr>
                <w:rFonts w:ascii="Arial" w:cs="Arial" w:eastAsia="Arial" w:hAnsi="Arial"/>
                <w:sz w:val="13"/>
                <w:szCs w:val="13"/>
                <w:b w:val="1"/>
                <w:bCs w:val="1"/>
                <w:color w:val="auto"/>
                <w:w w:val="93"/>
              </w:rPr>
              <w:t>per Share</w:t>
            </w:r>
          </w:p>
        </w:tc>
        <w:tc>
          <w:tcPr>
            <w:tcW w:w="4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Plans</w:t>
            </w:r>
          </w:p>
        </w:tc>
        <w:tc>
          <w:tcPr>
            <w:tcW w:w="880" w:type="dxa"/>
            <w:vAlign w:val="bottom"/>
          </w:tcPr>
          <w:p>
            <w:pPr>
              <w:spacing w:after="0"/>
              <w:rPr>
                <w:sz w:val="12"/>
                <w:szCs w:val="12"/>
                <w:color w:val="auto"/>
              </w:rPr>
            </w:pPr>
          </w:p>
        </w:tc>
        <w:tc>
          <w:tcPr>
            <w:tcW w:w="12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3"/>
              </w:rPr>
              <w:t>Under the Plan</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1-30, 2011</w:t>
            </w:r>
          </w:p>
        </w:tc>
        <w:tc>
          <w:tcPr>
            <w:tcW w:w="13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2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7"/>
                <w:szCs w:val="17"/>
                <w:color w:val="auto"/>
              </w:rPr>
              <w:t>December 1-31, 2011</w:t>
            </w:r>
          </w:p>
        </w:tc>
        <w:tc>
          <w:tcPr>
            <w:tcW w:w="1300" w:type="dxa"/>
            <w:vAlign w:val="bottom"/>
          </w:tcPr>
          <w:p>
            <w:pPr>
              <w:spacing w:after="0"/>
              <w:rPr>
                <w:sz w:val="18"/>
                <w:szCs w:val="18"/>
                <w:color w:val="auto"/>
              </w:rPr>
            </w:pPr>
          </w:p>
        </w:tc>
        <w:tc>
          <w:tcPr>
            <w:tcW w:w="1400" w:type="dxa"/>
            <w:vAlign w:val="bottom"/>
            <w:gridSpan w:val="2"/>
          </w:tcPr>
          <w:p>
            <w:pPr>
              <w:jc w:val="center"/>
              <w:ind w:left="6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1-31, 2012</w:t>
            </w:r>
          </w:p>
        </w:tc>
        <w:tc>
          <w:tcPr>
            <w:tcW w:w="2240" w:type="dxa"/>
            <w:vAlign w:val="bottom"/>
            <w:gridSpan w:val="2"/>
            <w:shd w:val="clear" w:color="auto" w:fill="CCEEFF"/>
          </w:tcPr>
          <w:p>
            <w:pPr>
              <w:jc w:val="center"/>
              <w:ind w:left="1787"/>
              <w:spacing w:after="0"/>
              <w:rPr>
                <w:sz w:val="20"/>
                <w:szCs w:val="20"/>
                <w:color w:val="auto"/>
              </w:rPr>
            </w:pPr>
            <w:r>
              <w:rPr>
                <w:rFonts w:ascii="Arial" w:cs="Arial" w:eastAsia="Arial" w:hAnsi="Arial"/>
                <w:sz w:val="17"/>
                <w:szCs w:val="17"/>
                <w:color w:val="auto"/>
                <w:w w:val="89"/>
              </w:rPr>
              <w:t>5,620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343"/>
              <w:spacing w:after="0"/>
              <w:rPr>
                <w:sz w:val="20"/>
                <w:szCs w:val="20"/>
                <w:color w:val="auto"/>
              </w:rPr>
            </w:pPr>
            <w:r>
              <w:rPr>
                <w:rFonts w:ascii="Arial" w:cs="Arial" w:eastAsia="Arial" w:hAnsi="Arial"/>
                <w:sz w:val="17"/>
                <w:szCs w:val="17"/>
                <w:color w:val="auto"/>
              </w:rPr>
              <w:t>$   3.01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ind w:left="460" w:hanging="453"/>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shares delivered back to the Company by employees to pay taxes related to the vesting of restricted shares.</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i w:val="1"/>
          <w:iCs w:val="1"/>
          <w:color w:val="auto"/>
        </w:rPr>
        <w:t>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60"/>
          </w:cols>
          <w:pgMar w:left="240" w:top="272" w:right="699" w:bottom="1440" w:gutter="0" w:footer="0" w:header="0"/>
        </w:sectPr>
      </w:pPr>
    </w:p>
    <w:bookmarkStart w:id="31" w:name="page32"/>
    <w:bookmarkEnd w:id="31"/>
    <w:p>
      <w:pPr>
        <w:spacing w:after="0"/>
        <w:tabs>
          <w:tab w:leader="none" w:pos="10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Item 6.</w:t>
      </w:r>
      <w:r>
        <w:rPr>
          <w:sz w:val="20"/>
          <w:szCs w:val="20"/>
          <w:color w:val="auto"/>
        </w:rPr>
        <w:tab/>
      </w:r>
      <w:r>
        <w:rPr>
          <w:rFonts w:ascii="Arial" w:cs="Arial" w:eastAsia="Arial" w:hAnsi="Arial"/>
          <w:sz w:val="17"/>
          <w:szCs w:val="17"/>
          <w:b w:val="1"/>
          <w:bCs w:val="1"/>
          <w:i w:val="1"/>
          <w:iCs w:val="1"/>
          <w:color w:val="auto"/>
        </w:rPr>
        <w:t>EXHIBITS</w:t>
      </w:r>
    </w:p>
    <w:p>
      <w:pPr>
        <w:spacing w:after="0" w:line="211"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25"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25"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125"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125" w:lineRule="exact"/>
        <w:rPr>
          <w:sz w:val="20"/>
          <w:szCs w:val="20"/>
          <w:color w:val="auto"/>
        </w:rPr>
      </w:pPr>
    </w:p>
    <w:p>
      <w:pPr>
        <w:ind w:left="800" w:hanging="793"/>
        <w:spacing w:after="0" w:line="290"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2012, filed March 12, 2012: (i) Consolidated Balance Sheets – January 31, 2012 (unaudited) and April 30, 2011, (ii) Consolidated Statements of Operations (unaudited) – Three and Nine Months Ended January 31, 2012 and 2011, (iii) Consolidated Statements of Cash Flows (unaudited) – Nine Months Ended January 31, 2012 and 2011, (iv) Consolidated Statements of Stockholders’ Equity and Comprehensive Loss (unaudited) – Nine Months Ended January 31, 2012 and 2011 and (v) Notes to Consolidated Financial Statements.*</w:t>
      </w:r>
    </w:p>
    <w:p>
      <w:pPr>
        <w:spacing w:after="0" w:line="155" w:lineRule="exact"/>
        <w:rPr>
          <w:sz w:val="20"/>
          <w:szCs w:val="20"/>
          <w:color w:val="auto"/>
        </w:rPr>
      </w:pPr>
    </w:p>
    <w:p>
      <w:pPr>
        <w:ind w:left="240" w:right="80" w:hanging="233"/>
        <w:spacing w:after="0" w:line="277" w:lineRule="auto"/>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272" w:right="279" w:bottom="1440" w:gutter="0" w:footer="0" w:header="0"/>
        </w:sectPr>
      </w:pPr>
    </w:p>
    <w:bookmarkStart w:id="32" w:name="page33"/>
    <w:bookmarkEnd w:id="32"/>
    <w:p>
      <w:pPr>
        <w:ind w:left="5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SIGNATURES</w:t>
      </w:r>
    </w:p>
    <w:p>
      <w:pPr>
        <w:spacing w:after="0" w:line="18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  /s/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16510</wp:posOffset>
            </wp:positionV>
            <wp:extent cx="26587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Charles F. Dunleavy</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Chief Executive Officer</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(Principal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By:  /s/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16510</wp:posOffset>
            </wp:positionV>
            <wp:extent cx="2658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Brian M. Posner</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Chief Financial Officer</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(Principal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2012</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00"/>
          </w:cols>
          <w:pgMar w:left="240" w:top="272" w:right="859" w:bottom="1440" w:gutter="0" w:footer="0" w:header="0"/>
        </w:sectPr>
      </w:pPr>
    </w:p>
    <w:bookmarkStart w:id="33" w:name="page34"/>
    <w:bookmarkEnd w:id="33"/>
    <w:p>
      <w:pPr>
        <w:jc w:val="center"/>
        <w:ind w:right="-32"/>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EXHIBITS INDEX</w:t>
      </w:r>
    </w:p>
    <w:p>
      <w:pPr>
        <w:spacing w:after="0" w:line="331" w:lineRule="exact"/>
        <w:rPr>
          <w:sz w:val="20"/>
          <w:szCs w:val="20"/>
          <w:color w:val="auto"/>
        </w:rPr>
      </w:pPr>
    </w:p>
    <w:p>
      <w:pPr>
        <w:ind w:left="93"/>
        <w:spacing w:after="0"/>
        <w:tabs>
          <w:tab w:leader="none" w:pos="773"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25" w:lineRule="exact"/>
        <w:rPr>
          <w:sz w:val="20"/>
          <w:szCs w:val="20"/>
          <w:color w:val="auto"/>
        </w:rPr>
      </w:pPr>
    </w:p>
    <w:p>
      <w:pPr>
        <w:ind w:left="93"/>
        <w:spacing w:after="0"/>
        <w:tabs>
          <w:tab w:leader="none" w:pos="773"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25" w:lineRule="exact"/>
        <w:rPr>
          <w:sz w:val="20"/>
          <w:szCs w:val="20"/>
          <w:color w:val="auto"/>
        </w:rPr>
      </w:pPr>
    </w:p>
    <w:p>
      <w:pPr>
        <w:ind w:left="93"/>
        <w:spacing w:after="0"/>
        <w:tabs>
          <w:tab w:leader="none" w:pos="773"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125" w:lineRule="exact"/>
        <w:rPr>
          <w:sz w:val="20"/>
          <w:szCs w:val="20"/>
          <w:color w:val="auto"/>
        </w:rPr>
      </w:pPr>
    </w:p>
    <w:p>
      <w:pPr>
        <w:ind w:left="93"/>
        <w:spacing w:after="0"/>
        <w:tabs>
          <w:tab w:leader="none" w:pos="773"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125" w:lineRule="exact"/>
        <w:rPr>
          <w:sz w:val="20"/>
          <w:szCs w:val="20"/>
          <w:color w:val="auto"/>
        </w:rPr>
      </w:pPr>
    </w:p>
    <w:p>
      <w:pPr>
        <w:ind w:left="793" w:hanging="793"/>
        <w:spacing w:after="0" w:line="290" w:lineRule="auto"/>
        <w:tabs>
          <w:tab w:leader="none" w:pos="7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2012, filed March 12, 2012: (i) Consolidated Balance Sheets – January 31, 2012 (unaudited) and April 30, 2011, (ii) Consolidated Statements of Operations (unaudited) – Three and Nine Months Ended January 31, 2012 and 2011, (iii) Consolidated Statements of Cash Flows (unaudited) – Nine Months Ended January 31, 2012 and 2011, (iv) Consolidated Statements of Stockholders’ Equity and Comprehensive Loss (unaudited) – Nine Months Ended January 31, 2012 and 2011 and (v) Notes to Consolidated Financial Statements.*</w:t>
      </w:r>
    </w:p>
    <w:p>
      <w:pPr>
        <w:spacing w:after="0" w:line="155" w:lineRule="exact"/>
        <w:rPr>
          <w:sz w:val="20"/>
          <w:szCs w:val="20"/>
          <w:color w:val="auto"/>
        </w:rPr>
      </w:pPr>
    </w:p>
    <w:p>
      <w:pPr>
        <w:ind w:left="233" w:right="80" w:hanging="233"/>
        <w:spacing w:after="0" w:line="277" w:lineRule="auto"/>
        <w:tabs>
          <w:tab w:leader="none" w:pos="23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10" w:lineRule="exact"/>
        <w:rPr>
          <w:sz w:val="20"/>
          <w:szCs w:val="20"/>
          <w:color w:val="auto"/>
        </w:rPr>
      </w:pPr>
    </w:p>
    <w:p>
      <w:pPr>
        <w:jc w:val="center"/>
        <w:ind w:right="-32"/>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73"/>
          </w:cols>
          <w:pgMar w:left="247" w:top="272" w:right="27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 OF SARBANES-OXLEY ACT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Charles F. Dunleavy, certify that:</w:t>
      </w:r>
    </w:p>
    <w:p>
      <w:pPr>
        <w:spacing w:after="0" w:line="98" w:lineRule="exact"/>
        <w:rPr>
          <w:sz w:val="20"/>
          <w:szCs w:val="20"/>
          <w:color w:val="auto"/>
        </w:rPr>
      </w:pPr>
    </w:p>
    <w:p>
      <w:pPr>
        <w:ind w:left="460" w:hanging="45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Ocean Power Technologies, Inc.;</w:t>
      </w:r>
    </w:p>
    <w:p>
      <w:pPr>
        <w:spacing w:after="0" w:line="97" w:lineRule="exact"/>
        <w:rPr>
          <w:rFonts w:ascii="Arial" w:cs="Arial" w:eastAsia="Arial" w:hAnsi="Arial"/>
          <w:sz w:val="17"/>
          <w:szCs w:val="17"/>
          <w:color w:val="auto"/>
        </w:rPr>
      </w:pPr>
    </w:p>
    <w:p>
      <w:pPr>
        <w:ind w:left="460" w:right="100" w:hanging="453"/>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6"/>
          <w:szCs w:val="16"/>
          <w:color w:val="auto"/>
        </w:rPr>
      </w:pPr>
    </w:p>
    <w:p>
      <w:pPr>
        <w:ind w:left="460" w:right="180" w:hanging="453"/>
        <w:spacing w:after="0" w:line="29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7"/>
          <w:szCs w:val="17"/>
          <w:color w:val="auto"/>
        </w:rPr>
      </w:pPr>
    </w:p>
    <w:p>
      <w:pPr>
        <w:ind w:left="460" w:right="40" w:hanging="453"/>
        <w:spacing w:after="0" w:line="27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460" w:right="80" w:hanging="453"/>
        <w:spacing w:after="0" w:line="27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460" w:right="220" w:hanging="453"/>
        <w:spacing w:after="0" w:line="27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460" w:right="220" w:hanging="453"/>
        <w:spacing w:after="0" w:line="29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7"/>
          <w:szCs w:val="17"/>
          <w:color w:val="auto"/>
        </w:rPr>
      </w:pPr>
    </w:p>
    <w:p>
      <w:pPr>
        <w:ind w:left="460" w:right="160" w:hanging="453"/>
        <w:spacing w:after="0" w:line="27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460" w:right="760" w:hanging="453"/>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8" w:lineRule="exact"/>
        <w:rPr>
          <w:sz w:val="20"/>
          <w:szCs w:val="20"/>
          <w:color w:val="auto"/>
        </w:rPr>
      </w:pPr>
    </w:p>
    <w:p>
      <w:pPr>
        <w:ind w:left="460" w:right="420" w:hanging="453"/>
        <w:spacing w:after="0" w:line="29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7"/>
          <w:szCs w:val="17"/>
          <w:color w:val="auto"/>
        </w:rPr>
      </w:pPr>
    </w:p>
    <w:p>
      <w:pPr>
        <w:ind w:left="460" w:right="640" w:hanging="453"/>
        <w:spacing w:after="0" w:line="29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8962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Charles F. Dunleavy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2012</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31.2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 OF SARBANES-OXLEY ACT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Brian M. Posner, certify that:</w:t>
      </w:r>
    </w:p>
    <w:p>
      <w:pPr>
        <w:spacing w:after="0" w:line="98" w:lineRule="exact"/>
        <w:rPr>
          <w:sz w:val="20"/>
          <w:szCs w:val="20"/>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Ocean Power Technologies, Inc.;</w:t>
      </w:r>
    </w:p>
    <w:p>
      <w:pPr>
        <w:spacing w:after="0" w:line="97" w:lineRule="exact"/>
        <w:rPr>
          <w:rFonts w:ascii="Arial" w:cs="Arial" w:eastAsia="Arial" w:hAnsi="Arial"/>
          <w:sz w:val="17"/>
          <w:szCs w:val="17"/>
          <w:color w:val="auto"/>
        </w:rPr>
      </w:pPr>
    </w:p>
    <w:p>
      <w:pPr>
        <w:ind w:left="460" w:right="100" w:hanging="453"/>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6"/>
          <w:szCs w:val="16"/>
          <w:color w:val="auto"/>
        </w:rPr>
      </w:pPr>
    </w:p>
    <w:p>
      <w:pPr>
        <w:ind w:left="460" w:right="180" w:hanging="453"/>
        <w:spacing w:after="0" w:line="292"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7"/>
          <w:szCs w:val="17"/>
          <w:color w:val="auto"/>
        </w:rPr>
      </w:pPr>
    </w:p>
    <w:p>
      <w:pPr>
        <w:ind w:left="460" w:right="40" w:hanging="453"/>
        <w:spacing w:after="0" w:line="277"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460" w:right="80" w:hanging="453"/>
        <w:spacing w:after="0" w:line="27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460" w:right="220" w:hanging="453"/>
        <w:spacing w:after="0" w:line="27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460" w:right="220" w:hanging="453"/>
        <w:spacing w:after="0" w:line="29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7"/>
          <w:szCs w:val="17"/>
          <w:color w:val="auto"/>
        </w:rPr>
      </w:pPr>
    </w:p>
    <w:p>
      <w:pPr>
        <w:ind w:left="460" w:right="160" w:hanging="453"/>
        <w:spacing w:after="0" w:line="27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460" w:right="760" w:hanging="453"/>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8" w:lineRule="exact"/>
        <w:rPr>
          <w:sz w:val="20"/>
          <w:szCs w:val="20"/>
          <w:color w:val="auto"/>
        </w:rPr>
      </w:pPr>
    </w:p>
    <w:p>
      <w:pPr>
        <w:ind w:left="460" w:right="420" w:hanging="453"/>
        <w:spacing w:after="0" w:line="29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7"/>
          <w:szCs w:val="17"/>
          <w:color w:val="auto"/>
        </w:rPr>
      </w:pPr>
    </w:p>
    <w:p>
      <w:pPr>
        <w:ind w:left="460" w:right="640" w:hanging="453"/>
        <w:spacing w:after="0" w:line="29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896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Brian M. Posner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2012</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connection with the Quarterly Report on Form 10-Q of Ocean Power Technologies, Inc. (the “Company”) for the period ended January 31, 2012, as filed with the Securities and Exchange Commission on the date hereof (the “Report”), the undersigned, Charles F. Dunleavy, Chief Executive Officer of the Company, hereby certifies, pursuant to 18 U.S.C. Section 1350, that:</w:t>
      </w:r>
    </w:p>
    <w:p>
      <w:pPr>
        <w:spacing w:after="0" w:line="43"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97"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8962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Charles F. Dunleavy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2012</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connection with the Quarterly Report on Form 10-Q of Ocean Power Technologies, Inc. (the “Company”) for the period ended January 31, 2012, as filed with the Securities and Exchange Commission on the date hereof (the “Report”), the undersigned, Brian M. Posner, Chief Financial Officer of the Company, hereby certifies, pursuant to 18 U.S.C. Section 1350, that:</w:t>
      </w:r>
    </w:p>
    <w:p>
      <w:pPr>
        <w:spacing w:after="0" w:line="43"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97"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8962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Brian M. Posner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0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0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2019-12-09T18:14:29Z</dcterms:created>
  <dcterms:modified xsi:type="dcterms:W3CDTF">2019-12-09T18:14:29Z</dcterms:modified>
</cp:coreProperties>
</file>