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0" w:lineRule="exact"/>
        <w:rPr>
          <w:sz w:val="24"/>
          <w:szCs w:val="24"/>
          <w:color w:val="auto"/>
        </w:rPr>
      </w:pPr>
    </w:p>
    <w:p>
      <w:pPr>
        <w:ind w:right="1320" w:firstLine="214"/>
        <w:spacing w:after="0" w:line="495" w:lineRule="auto"/>
        <w:tabs>
          <w:tab w:leader="none" w:pos="102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4" w:lineRule="exact"/>
        <w:rPr>
          <w:sz w:val="24"/>
          <w:szCs w:val="24"/>
          <w:color w:val="auto"/>
        </w:rPr>
      </w:pPr>
    </w:p>
    <w:p>
      <w:pPr>
        <w:ind w:left="1040" w:hanging="826"/>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2" w:lineRule="exact"/>
        <w:rPr>
          <w:sz w:val="24"/>
          <w:szCs w:val="24"/>
          <w:color w:val="auto"/>
        </w:rPr>
      </w:pPr>
    </w:p>
    <w:p>
      <w:pPr>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1561465</wp:posOffset>
            </wp:positionH>
            <wp:positionV relativeFrom="paragraph">
              <wp:posOffset>-8890</wp:posOffset>
            </wp:positionV>
            <wp:extent cx="1282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065"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64" w:right="239" w:bottom="1440" w:gutter="0" w:footer="0" w:header="0"/>
        </w:sectPr>
      </w:pPr>
    </w:p>
    <w:p>
      <w:pPr>
        <w:spacing w:after="0" w:line="201"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Delaware</w:t>
      </w:r>
    </w:p>
    <w:p>
      <w:pPr>
        <w:spacing w:after="0" w:line="24" w:lineRule="exact"/>
        <w:rPr>
          <w:sz w:val="24"/>
          <w:szCs w:val="24"/>
          <w:color w:val="auto"/>
        </w:rPr>
      </w:pPr>
    </w:p>
    <w:p>
      <w:pPr>
        <w:jc w:val="center"/>
        <w:ind w:right="13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22-2535818</w:t>
      </w:r>
    </w:p>
    <w:p>
      <w:pPr>
        <w:spacing w:after="0" w:line="24" w:lineRule="exact"/>
        <w:rPr>
          <w:sz w:val="24"/>
          <w:szCs w:val="24"/>
          <w:color w:val="auto"/>
        </w:rPr>
      </w:pPr>
    </w:p>
    <w:p>
      <w:pPr>
        <w:jc w:val="center"/>
        <w:ind w:right="140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740" w:space="720"/>
            <w:col w:w="3960"/>
          </w:cols>
          <w:pgMar w:left="240" w:top="464" w:right="2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30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64" w:right="239" w:bottom="144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spacing w:after="0" w:line="229"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71" w:lineRule="exact"/>
        <w:rPr>
          <w:sz w:val="24"/>
          <w:szCs w:val="24"/>
          <w:color w:val="auto"/>
        </w:rPr>
      </w:pPr>
    </w:p>
    <w:p>
      <w:pPr>
        <w:sectPr>
          <w:pgSz w:w="11900" w:h="16838" w:orient="portrait"/>
          <w:cols w:equalWidth="0" w:num="4">
            <w:col w:w="2700" w:space="720"/>
            <w:col w:w="1740" w:space="720"/>
            <w:col w:w="2560" w:space="660"/>
            <w:col w:w="2320"/>
          </w:cols>
          <w:pgMar w:left="240" w:top="464" w:right="239" w:bottom="1440" w:gutter="0" w:footer="0" w:header="0"/>
          <w:type w:val="continuous"/>
        </w:sectPr>
      </w:pPr>
    </w:p>
    <w:p>
      <w:pPr>
        <w:ind w:right="2340"/>
        <w:spacing w:after="0" w:line="34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30, 2015, the number of outstanding shares of common stock of the registrant was 1,834,302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492125</wp:posOffset>
            </wp:positionV>
            <wp:extent cx="726948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October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60" w:type="dxa"/>
            <w:vAlign w:val="bottom"/>
          </w:tcPr>
          <w:p>
            <w:pPr>
              <w:spacing w:after="0"/>
              <w:rPr>
                <w:sz w:val="18"/>
                <w:szCs w:val="18"/>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1"/>
        </w:trPr>
        <w:tc>
          <w:tcPr>
            <w:tcW w:w="10160" w:type="dxa"/>
            <w:vAlign w:val="bottom"/>
          </w:tcPr>
          <w:p>
            <w:pPr>
              <w:spacing w:after="0"/>
              <w:rPr>
                <w:sz w:val="20"/>
                <w:szCs w:val="20"/>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09"/>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 Financial Statements (unaudited):</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Balance Sheets as of October 31, 2015 and April 30, 2015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Operations for the Three and Six Months Ended October 31, 2015 and 2014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Comprehensive Loss for the Three and Six Months Ended October 31, 2015 and 2014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Stockholders' Equity for the Six Months Ended October 31, 2015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Statements of Cash Flows for the Six Months Ended October 31, 2015 and 2014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to Consolidated Financial Statements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4. Controls and Procedures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 Legal Proceedings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1A. Risk Factors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3. Defaults Upon Senior Securities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4. Mine Safety Disclosures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5. Other Information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6. Exhibits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492125</wp:posOffset>
            </wp:positionV>
            <wp:extent cx="726948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2015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8120" w:type="dxa"/>
            <w:vAlign w:val="bottom"/>
          </w:tcPr>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812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w w:val="87"/>
              </w:rPr>
              <w:t>Ocean Power Technologies, Inc. and Subsidiaries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86"/>
              </w:rPr>
              <w:t>Consolidated Balance Sheets</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1"/>
        </w:trPr>
        <w:tc>
          <w:tcPr>
            <w:tcW w:w="8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October 31, 2015</w:t>
            </w: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2015</w:t>
            </w:r>
          </w:p>
        </w:tc>
      </w:tr>
      <w:tr>
        <w:trPr>
          <w:trHeight w:val="209"/>
        </w:trPr>
        <w:tc>
          <w:tcPr>
            <w:tcW w:w="8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10,339,322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17,335,734</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438,561</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104,827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103,470</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81,658</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329,826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186,641</w:t>
            </w:r>
          </w:p>
        </w:tc>
      </w:tr>
      <w:tr>
        <w:trPr>
          <w:trHeight w:val="207"/>
        </w:trPr>
        <w:tc>
          <w:tcPr>
            <w:tcW w:w="81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11,283,503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18,221,064</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219,403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263,898</w:t>
            </w: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284,958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335,924</w:t>
            </w:r>
          </w:p>
        </w:tc>
      </w:tr>
      <w:tr>
        <w:trPr>
          <w:trHeight w:val="247"/>
        </w:trPr>
        <w:tc>
          <w:tcPr>
            <w:tcW w:w="81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11,787,864</w:t>
            </w:r>
          </w:p>
        </w:tc>
        <w:tc>
          <w:tcPr>
            <w:tcW w:w="2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18,870,886</w:t>
            </w:r>
          </w:p>
        </w:tc>
        <w:tc>
          <w:tcPr>
            <w:tcW w:w="100" w:type="dxa"/>
            <w:vAlign w:val="bottom"/>
            <w:shd w:val="clear" w:color="auto" w:fill="CCEEFF"/>
          </w:tcPr>
          <w:p>
            <w:pPr>
              <w:spacing w:after="0"/>
              <w:rPr>
                <w:sz w:val="21"/>
                <w:szCs w:val="21"/>
                <w:color w:val="auto"/>
              </w:rPr>
            </w:pPr>
          </w:p>
        </w:tc>
      </w:tr>
      <w:tr>
        <w:trPr>
          <w:trHeight w:val="194"/>
        </w:trPr>
        <w:tc>
          <w:tcPr>
            <w:tcW w:w="8120" w:type="dxa"/>
            <w:vAlign w:val="bottom"/>
            <w:tcBorders>
              <w:top w:val="single" w:sz="8" w:color="CCEEFF"/>
            </w:tcBorders>
          </w:tcPr>
          <w:p>
            <w:pPr>
              <w:ind w:left="2080"/>
              <w:spacing w:after="0" w:line="194"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258,655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352,827</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2,477,207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2,507,119</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07"/>
        </w:trPr>
        <w:tc>
          <w:tcPr>
            <w:tcW w:w="81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2,835,862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2,959,946</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9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3,435,862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3,609,946</w:t>
            </w:r>
          </w:p>
        </w:tc>
      </w:tr>
      <w:tr>
        <w:trPr>
          <w:trHeight w:val="207"/>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8120" w:type="dxa"/>
            <w:vAlign w:val="bottom"/>
          </w:tcPr>
          <w:p>
            <w:pPr>
              <w:spacing w:after="0" w:line="200" w:lineRule="exact"/>
              <w:rPr>
                <w:sz w:val="20"/>
                <w:szCs w:val="20"/>
                <w:color w:val="auto"/>
              </w:rPr>
            </w:pPr>
            <w:r>
              <w:rPr>
                <w:rFonts w:ascii="Arial" w:cs="Arial" w:eastAsia="Arial" w:hAnsi="Arial"/>
                <w:sz w:val="18"/>
                <w:szCs w:val="18"/>
                <w:color w:val="auto"/>
              </w:rPr>
              <w:t>Ocean Power Technologies, Inc. stockholders’ equity:</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8120" w:type="dxa"/>
            <w:vAlign w:val="bottom"/>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0"/>
        </w:trPr>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$0.001 par value; 105,000,000 shares authorized as of April 30, 2015, and 50,000,000 shares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authorized as of October 31, 2015; issued 1,836,620 and 1,838,720 shares, respectively</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Treasury stock, at cost; 4,318 and 3,866 shares, respectively</w:t>
            </w:r>
          </w:p>
        </w:tc>
        <w:tc>
          <w:tcPr>
            <w:tcW w:w="1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(133,740)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(132,016)</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180,730,459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180,803,339</w:t>
            </w: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(171,943,857)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(164,755,055)</w:t>
            </w: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(302,697)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(229,915)</w:t>
            </w:r>
          </w:p>
        </w:tc>
      </w:tr>
      <w:tr>
        <w:trPr>
          <w:trHeight w:val="207"/>
        </w:trPr>
        <w:tc>
          <w:tcPr>
            <w:tcW w:w="812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Total Ocean Power Technologies, Inc.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8,352,002</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15,688,192</w:t>
            </w:r>
          </w:p>
        </w:tc>
        <w:tc>
          <w:tcPr>
            <w:tcW w:w="100" w:type="dxa"/>
            <w:vAlign w:val="bottom"/>
            <w:tcBorders>
              <w:top w:val="single" w:sz="8" w:color="CCEEFF"/>
            </w:tcBorders>
          </w:tcPr>
          <w:p>
            <w:pPr>
              <w:spacing w:after="0"/>
              <w:rPr>
                <w:sz w:val="18"/>
                <w:szCs w:val="18"/>
                <w:color w:val="auto"/>
              </w:rPr>
            </w:pPr>
          </w:p>
        </w:tc>
      </w:tr>
      <w:tr>
        <w:trPr>
          <w:trHeight w:val="20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8,352,002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15,260,940</w:t>
            </w:r>
          </w:p>
        </w:tc>
      </w:tr>
      <w:tr>
        <w:trPr>
          <w:trHeight w:val="247"/>
        </w:trPr>
        <w:tc>
          <w:tcPr>
            <w:tcW w:w="81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11,787,864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18,870,886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 October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1"/>
              </w:rPr>
              <w:t>Six Months Ended October 31,</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494,412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1,998,076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600,078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3,965,240</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1,177,656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1,224,487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3,660,444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1,144,432</w:t>
            </w:r>
          </w:p>
        </w:tc>
        <w:tc>
          <w:tcPr>
            <w:tcW w:w="0" w:type="dxa"/>
            <w:vAlign w:val="bottom"/>
          </w:tcPr>
          <w:p>
            <w:pPr>
              <w:spacing w:after="0"/>
              <w:rPr>
                <w:sz w:val="1"/>
                <w:szCs w:val="1"/>
                <w:color w:val="auto"/>
              </w:rPr>
            </w:pPr>
          </w:p>
        </w:tc>
      </w:tr>
      <w:tr>
        <w:trPr>
          <w:trHeight w:val="214"/>
        </w:trPr>
        <w:tc>
          <w:tcPr>
            <w:tcW w:w="60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1,821,993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2,708,878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3,728,938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5,831,850</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2,999,649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7,389,382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6,976,282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(2,999,649)</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(4,183,653)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(7,389,382)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(7,653,206)</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(55,196)</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(8,080)</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242,927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(24,801)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(221,907)</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(3,028,818)</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(4,396,478)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(7,143,462)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(7,745,309)</w:t>
            </w: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3"/>
              </w:rPr>
              <w:t>Less: Net (profit) loss attributable to the noncontrolling interest in Ocean Power</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26,784</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(45,340)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92,863</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Technologies (Australasia) Pty Ltd.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(3,026,761)</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(4,369,694)</w:t>
            </w:r>
          </w:p>
        </w:tc>
        <w:tc>
          <w:tcPr>
            <w:tcW w:w="32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(7,188,802)</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(7,652,446)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(2.50)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(4.08)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line="194" w:lineRule="exact"/>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8"/>
                <w:szCs w:val="18"/>
                <w:color w:val="auto"/>
              </w:rPr>
              <w:t>1,773,978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line="194" w:lineRule="exact"/>
              <w:rPr>
                <w:sz w:val="20"/>
                <w:szCs w:val="20"/>
                <w:color w:val="auto"/>
              </w:rPr>
            </w:pPr>
            <w:r>
              <w:rPr>
                <w:rFonts w:ascii="Arial" w:cs="Arial" w:eastAsia="Arial" w:hAnsi="Arial"/>
                <w:sz w:val="18"/>
                <w:szCs w:val="18"/>
                <w:color w:val="auto"/>
              </w:rPr>
              <w:t>1,748,156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line="194" w:lineRule="exact"/>
              <w:rPr>
                <w:sz w:val="20"/>
                <w:szCs w:val="20"/>
                <w:color w:val="auto"/>
              </w:rPr>
            </w:pPr>
            <w:r>
              <w:rPr>
                <w:rFonts w:ascii="Arial" w:cs="Arial" w:eastAsia="Arial" w:hAnsi="Arial"/>
                <w:sz w:val="18"/>
                <w:szCs w:val="18"/>
                <w:color w:val="auto"/>
              </w:rPr>
              <w:t>1,762,805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1,747,312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 October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1"/>
              </w:rPr>
              <w:t>Six Months Ended October 31,</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(3,028,818)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(4,396,478)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(7,143,462)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(7,745,309)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12,615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43,203</w:t>
            </w:r>
          </w:p>
        </w:tc>
        <w:tc>
          <w:tcPr>
            <w:tcW w:w="0" w:type="dxa"/>
            <w:vAlign w:val="bottom"/>
          </w:tcPr>
          <w:p>
            <w:pPr>
              <w:spacing w:after="0"/>
              <w:rPr>
                <w:sz w:val="1"/>
                <w:szCs w:val="1"/>
                <w:color w:val="auto"/>
              </w:rPr>
            </w:pPr>
          </w:p>
        </w:tc>
      </w:tr>
      <w:tr>
        <w:trPr>
          <w:trHeight w:val="207"/>
        </w:trPr>
        <w:tc>
          <w:tcPr>
            <w:tcW w:w="6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(3,016,203)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(4,351,297)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(7,188,920)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(7,702,106)</w:t>
            </w:r>
          </w:p>
        </w:tc>
        <w:tc>
          <w:tcPr>
            <w:tcW w:w="0" w:type="dxa"/>
            <w:vAlign w:val="bottom"/>
          </w:tcPr>
          <w:p>
            <w:pPr>
              <w:spacing w:after="0"/>
              <w:rPr>
                <w:sz w:val="1"/>
                <w:szCs w:val="1"/>
                <w:color w:val="auto"/>
              </w:rPr>
            </w:pPr>
          </w:p>
        </w:tc>
      </w:tr>
      <w:tr>
        <w:trPr>
          <w:trHeight w:val="207"/>
        </w:trPr>
        <w:tc>
          <w:tcPr>
            <w:tcW w:w="6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0"/>
              </w:rPr>
              <w:t>Comprehensive (income) loss attributable to the noncontrolling interest in Ocean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2,057</w:t>
            </w:r>
          </w:p>
        </w:tc>
        <w:tc>
          <w:tcPr>
            <w:tcW w:w="2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26,983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(72,664)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Technologies (Australasia) Pty Ltd.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(3,014,146)</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(4,324,314)</w:t>
            </w:r>
          </w:p>
        </w:tc>
        <w:tc>
          <w:tcPr>
            <w:tcW w:w="3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(7,261,584)</w:t>
            </w: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(7,679,297)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202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Common Shares</w:t>
            </w:r>
          </w:p>
        </w:tc>
        <w:tc>
          <w:tcPr>
            <w:tcW w:w="1840" w:type="dxa"/>
            <w:vAlign w:val="bottom"/>
            <w:gridSpan w:val="4"/>
            <w:vMerge w:val="restart"/>
          </w:tcPr>
          <w:p>
            <w:pPr>
              <w:jc w:val="right"/>
              <w:ind w:right="380"/>
              <w:spacing w:after="0"/>
              <w:rPr>
                <w:sz w:val="20"/>
                <w:szCs w:val="20"/>
                <w:color w:val="auto"/>
              </w:rPr>
            </w:pPr>
            <w:r>
              <w:rPr>
                <w:rFonts w:ascii="Arial" w:cs="Arial" w:eastAsia="Arial" w:hAnsi="Arial"/>
                <w:sz w:val="18"/>
                <w:szCs w:val="18"/>
                <w:b w:val="1"/>
                <w:bCs w:val="1"/>
                <w:color w:val="auto"/>
              </w:rPr>
              <w:t>Treasury Shares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Additional</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1840" w:type="dxa"/>
            <w:vAlign w:val="bottom"/>
            <w:gridSpan w:val="4"/>
            <w:vMerge w:val="continue"/>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Accumulated</w:t>
            </w:r>
          </w:p>
        </w:tc>
        <w:tc>
          <w:tcPr>
            <w:tcW w:w="14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Comprehensive</w:t>
            </w:r>
          </w:p>
        </w:tc>
        <w:tc>
          <w:tcPr>
            <w:tcW w:w="10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9"/>
              </w:rPr>
              <w:t>Shares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Balance, April 30,</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18,387,769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(132,016)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$ 180,786,790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(164,755,055)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(229,915)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(427,252)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15,260,940</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(16,549,049)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(16,549)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34,792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(7,188,802)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(7,143,462)</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4"/>
              </w:rPr>
              <w:t>Other comprehensive</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income (loss)</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(72,782)</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Stock based</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110,349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110,349</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Sale of Common</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Stock,net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Issuance (forfeiture)</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of restricted stock,</w:t>
            </w: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166,563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166,559</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Acquisition of</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Additional</w:t>
            </w: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w:t>
            </w: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(354,588)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354,588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w w:val="95"/>
              </w:rPr>
              <w:t>Balance, October 31,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1,836,620</w:t>
            </w: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60" w:type="dxa"/>
            <w:vAlign w:val="bottom"/>
            <w:vMerge w:val="restart"/>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(4,318)</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6"/>
              </w:rPr>
              <w:t>$ (133,740)</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180,730,459</w:t>
            </w:r>
          </w:p>
        </w:tc>
        <w:tc>
          <w:tcPr>
            <w:tcW w:w="1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6"/>
              </w:rPr>
              <w:t>$ (171,943,857)</w:t>
            </w:r>
          </w:p>
        </w:tc>
        <w:tc>
          <w:tcPr>
            <w:tcW w:w="300" w:type="dxa"/>
            <w:vAlign w:val="bottom"/>
            <w:gridSpan w:val="2"/>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(302,697)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7"/>
              </w:rPr>
              <w:t>8,352,002</w:t>
            </w:r>
          </w:p>
        </w:tc>
        <w:tc>
          <w:tcPr>
            <w:tcW w:w="0" w:type="dxa"/>
            <w:vAlign w:val="bottom"/>
          </w:tcPr>
          <w:p>
            <w:pPr>
              <w:spacing w:after="0"/>
              <w:rPr>
                <w:sz w:val="1"/>
                <w:szCs w:val="1"/>
                <w:color w:val="auto"/>
              </w:rPr>
            </w:pPr>
          </w:p>
        </w:tc>
      </w:tr>
      <w:tr>
        <w:trPr>
          <w:trHeight w:val="208"/>
        </w:trPr>
        <w:tc>
          <w:tcPr>
            <w:tcW w:w="1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2015</w:t>
            </w:r>
          </w:p>
        </w:tc>
        <w:tc>
          <w:tcPr>
            <w:tcW w:w="94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Six Months Ended October 31,</w:t>
            </w:r>
          </w:p>
        </w:tc>
      </w:tr>
      <w:tr>
        <w:trPr>
          <w:trHeight w:val="208"/>
        </w:trPr>
        <w:tc>
          <w:tcPr>
            <w:tcW w:w="8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07"/>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(7,143,462)</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(7,745,309)</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800"/>
              <w:spacing w:after="0"/>
              <w:rPr>
                <w:sz w:val="20"/>
                <w:szCs w:val="20"/>
                <w:color w:val="auto"/>
              </w:rPr>
            </w:pPr>
            <w:r>
              <w:rPr>
                <w:rFonts w:ascii="Arial" w:cs="Arial" w:eastAsia="Arial" w:hAnsi="Arial"/>
                <w:sz w:val="18"/>
                <w:szCs w:val="18"/>
                <w:color w:val="auto"/>
              </w:rPr>
              <w:t>Foreign exchange loss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221,907</w:t>
            </w:r>
          </w:p>
        </w:tc>
      </w:tr>
      <w:tr>
        <w:trPr>
          <w:trHeight w:val="214"/>
        </w:trPr>
        <w:tc>
          <w:tcPr>
            <w:tcW w:w="8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486,640</w:t>
            </w:r>
          </w:p>
        </w:tc>
      </w:tr>
      <w:tr>
        <w:trPr>
          <w:trHeight w:val="214"/>
        </w:trPr>
        <w:tc>
          <w:tcPr>
            <w:tcW w:w="8120" w:type="dxa"/>
            <w:vAlign w:val="bottom"/>
          </w:tcPr>
          <w:p>
            <w:pPr>
              <w:ind w:left="80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276,912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153,153</w:t>
            </w:r>
          </w:p>
        </w:tc>
      </w:tr>
      <w:tr>
        <w:trPr>
          <w:trHeight w:val="214"/>
        </w:trPr>
        <w:tc>
          <w:tcPr>
            <w:tcW w:w="8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(1,357)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308,731</w:t>
            </w:r>
          </w:p>
        </w:tc>
      </w:tr>
      <w:tr>
        <w:trPr>
          <w:trHeight w:val="214"/>
        </w:trPr>
        <w:tc>
          <w:tcPr>
            <w:tcW w:w="8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18,267</w:t>
            </w:r>
          </w:p>
        </w:tc>
      </w:tr>
      <w:tr>
        <w:trPr>
          <w:trHeight w:val="214"/>
        </w:trPr>
        <w:tc>
          <w:tcPr>
            <w:tcW w:w="8120" w:type="dxa"/>
            <w:vAlign w:val="bottom"/>
          </w:tcPr>
          <w:p>
            <w:pPr>
              <w:ind w:left="11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(144,364)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291,903</w:t>
            </w:r>
          </w:p>
        </w:tc>
      </w:tr>
      <w:tr>
        <w:trPr>
          <w:trHeight w:val="214"/>
        </w:trPr>
        <w:tc>
          <w:tcPr>
            <w:tcW w:w="8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(131,539)</w:t>
            </w:r>
          </w:p>
        </w:tc>
      </w:tr>
      <w:tr>
        <w:trPr>
          <w:trHeight w:val="214"/>
        </w:trPr>
        <w:tc>
          <w:tcPr>
            <w:tcW w:w="812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(92,077)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(90,043)</w:t>
            </w:r>
          </w:p>
        </w:tc>
      </w:tr>
      <w:tr>
        <w:trPr>
          <w:trHeight w:val="214"/>
        </w:trPr>
        <w:tc>
          <w:tcPr>
            <w:tcW w:w="8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(38,258)</w:t>
            </w:r>
          </w:p>
        </w:tc>
      </w:tr>
      <w:tr>
        <w:trPr>
          <w:trHeight w:val="214"/>
        </w:trPr>
        <w:tc>
          <w:tcPr>
            <w:tcW w:w="8120" w:type="dxa"/>
            <w:vAlign w:val="bottom"/>
          </w:tcPr>
          <w:p>
            <w:pPr>
              <w:ind w:left="1120"/>
              <w:spacing w:after="0"/>
              <w:rPr>
                <w:sz w:val="20"/>
                <w:szCs w:val="20"/>
                <w:color w:val="auto"/>
              </w:rPr>
            </w:pPr>
            <w:r>
              <w:rPr>
                <w:rFonts w:ascii="Arial" w:cs="Arial" w:eastAsia="Arial" w:hAnsi="Arial"/>
                <w:sz w:val="18"/>
                <w:szCs w:val="18"/>
                <w:color w:val="auto"/>
              </w:rPr>
              <w:t>Return of advanced payment to ARENA</w:t>
            </w:r>
          </w:p>
        </w:tc>
        <w:tc>
          <w:tcPr>
            <w:tcW w:w="2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(4,709,055)</w:t>
            </w:r>
          </w:p>
        </w:tc>
      </w:tr>
      <w:tr>
        <w:trPr>
          <w:trHeight w:val="214"/>
        </w:trPr>
        <w:tc>
          <w:tcPr>
            <w:tcW w:w="81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Unearned revenues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(877,374)</w:t>
            </w:r>
          </w:p>
        </w:tc>
      </w:tr>
      <w:tr>
        <w:trPr>
          <w:trHeight w:val="20"/>
        </w:trPr>
        <w:tc>
          <w:tcPr>
            <w:tcW w:w="8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120" w:type="dxa"/>
            <w:vAlign w:val="bottom"/>
          </w:tcPr>
          <w:p>
            <w:pPr>
              <w:ind w:left="130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(6,984,705)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(12,110,977)</w:t>
            </w:r>
          </w:p>
        </w:tc>
      </w:tr>
      <w:tr>
        <w:trPr>
          <w:trHeight w:val="207"/>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(13,746,959)</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11,745,562</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6,712,559</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equipment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(10,896)</w:t>
            </w:r>
          </w:p>
        </w:tc>
      </w:tr>
      <w:tr>
        <w:trPr>
          <w:trHeight w:val="207"/>
        </w:trPr>
        <w:tc>
          <w:tcPr>
            <w:tcW w:w="8120" w:type="dxa"/>
            <w:vAlign w:val="bottom"/>
            <w:tcBorders>
              <w:top w:val="single" w:sz="8" w:color="CCEEFF"/>
            </w:tcBorders>
          </w:tcPr>
          <w:p>
            <w:pPr>
              <w:ind w:left="130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89,699</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4,700,266</w:t>
            </w:r>
          </w:p>
        </w:tc>
        <w:tc>
          <w:tcPr>
            <w:tcW w:w="100" w:type="dxa"/>
            <w:vAlign w:val="bottom"/>
            <w:tcBorders>
              <w:top w:val="single" w:sz="8" w:color="CCEEFF"/>
            </w:tcBorders>
          </w:tcPr>
          <w:p>
            <w:pPr>
              <w:spacing w:after="0"/>
              <w:rPr>
                <w:sz w:val="18"/>
                <w:szCs w:val="18"/>
                <w:color w:val="auto"/>
              </w:rPr>
            </w:pPr>
          </w:p>
        </w:tc>
      </w:tr>
      <w:tr>
        <w:trPr>
          <w:trHeight w:val="207"/>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Proceeds from the sale of common stock,net of issuance costs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Acquisition of treasury stock</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(1,724)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r>
      <w:tr>
        <w:trPr>
          <w:trHeight w:val="207"/>
        </w:trPr>
        <w:tc>
          <w:tcPr>
            <w:tcW w:w="812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(54,480)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(159,086)</w:t>
            </w:r>
          </w:p>
        </w:tc>
      </w:tr>
      <w:tr>
        <w:trPr>
          <w:trHeight w:val="207"/>
        </w:trPr>
        <w:tc>
          <w:tcPr>
            <w:tcW w:w="8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(6,996,412)</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(7,619,951)</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17,335,734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13,858,659</w:t>
            </w:r>
          </w:p>
        </w:tc>
      </w:tr>
      <w:tr>
        <w:trPr>
          <w:trHeight w:val="24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10,339,322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6,238,708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4"/>
        </w:trPr>
        <w:tc>
          <w:tcPr>
            <w:tcW w:w="8120" w:type="dxa"/>
            <w:vAlign w:val="bottom"/>
          </w:tcPr>
          <w:p>
            <w:pPr>
              <w:spacing w:after="0" w:line="194"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10,363</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Background</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is developing and is seeking to commercialize proprietary systems that generate electricity by harnessing the renewable energy of ocean waves. The Company markets its PowerBuoys in the United States and internationally. Since fiscal 2002, government agencies have accounted for a significant portion of the Company’s revenues. These revenues were largely for the support of product development efforts. The Company’s goal is to develop a commercially viable product and to generate revenues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Basis of Presentation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2015 filed with the Securities and Exchange Commission (“SEC”) and elsewhere in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incurred net losses and negative operating cash flows since inception. As of October 31, 2015, the Company had an accumulated deficit of $171.9 million. As of October 31, 2015, the Company’s cash and cash equivalents and marketable securities balance was approximately $10.4 million. Based upon the Company’s cash and cash equivalents and marketable securities balance as of October 31, 2015, the Company believes that it will be able to finance its capital requirements and operations into the quarter ending October 31, 2016. In addition, as of October 31, 2015, the Company’s restricted cash balance was approximately $0.4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continues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continue to implement our business strategy, the Company requires additional equity and/or debt financing. We do not currently have any committed sources of debt or equity financing, and we cannot assure you that additional equity and/or debt financing will be available to the Company as needed on terms acceptable to us,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our cash expenditures to a sustainable level. This could cause us to be unable to execute our business plan, take advantage of future opportunities and may cause us to scale back, delay or eliminate some or all of our product development activities.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2013, the Company filed a shelf registration statement on Form S-3 (the “Form S-3” or the “Form S-3 Shelf”). The Form S-3 Shelf was declared effective in February 2013. Under the Form S-3 Shelf in June 2013, the Company established an at the market offering facility (the “ATM Facility”) with Ascendiant Capital Markets, LLC (“Ascendiant”) via an at the market offering agreement (the “ATM Agreement”). Under the ATM Agreement, the Company offered and sold shares of our Common Stock from time to time through Ascendiant, acting as sales agent, in ordinary brokerage transactions at prevailing market prices. Under the ATM Facility, during fiscal 2014, the Company issued 330,633 shares of our Common Stock at an average price to the public of $30.20 per share, receiving net proceeds from the ATM Facility of approximately $9,698,000.</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in fiscal 2014, the Company entered into an Underwriting Agreement with Roth Capital Partners, LLC on April 4, 2014, (the “Underwriting Agreement”) with respect to the issuance and sale in an underwritten public offering of an aggregate of 380,000 shares of our common stock at a price of $31.00 per share (the “Public Offering”). The Underwriting Agreement contained customary representations, warranties and agreements by the Company, customary conditions to closing, indemnification obligations, and a 90 day lock-up period that limited transactions in our Common Stock by the Company. Net proceeds from the Public Offering, which was completed in early April 2014, were approximately $10,828,000.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Form S-3 Shelf.</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October 2015, the Company entered into an At the Market Offering Agreement (the “Offering Agreement”) with Rodman &amp; Renshaw, a unit of H. C. Wainwright &amp; Co., LLC (the “Manager”) to offer and sell shares of its Common Stock under the Form S-3. Pursuant to the Offering Agreement, the Company may offer and sell shares of our Common Stock, having an aggregate offering price of up to $2,906,836 from time to time through or to the Manager, acting as sales agent and/or principal, in reliance on and subject to the limitations of General Instruction I.B.6 of Form S-3 and other applicable laws and regulations. Under the Offering Agreement, during the three months ended October 31, 2015, the Company issued 1,500 shares of our common stock at an average price to the public of $3.25 per share, generating net proceeds to the Company from sales of Common Stock pursuant to the Offering Agreement of approximately $5,000.</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our S-3 Shelf, whether under the ATM Agreement, the Underwriting Agreement or otherwise, to one-third of our public float. In 2014, we fully utilized our available transaction capacity to sell securities using the Form S-3 Shelf in the ATM offering. However, we regained the ability to utilize the Form S-3 Shelf as we entered fiscal 2016. Of the $40 million of securities registered under the S-3 Shelf, approximately $18.2 million of securities remains available for issuance and sale under the Form S-3 Shelf. However, based on our market capitalization of $4.2 million at October 31, 2015, we would be further limited in our ability to sell securities under the Form S-3 Shelf during a 12-month period to approximately $1.4 million.</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Financing may not be available in amounts or on terms acceptable to us, or at all. If we are unable to obtain financing when required, we may be required to reduce the scope of our operations, current projects, planned product development and marketing efforts, and/or selling, general and administrative activities which could harm our future opportunities, financial condition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Reverse Stock Split</w:t>
      </w:r>
    </w:p>
    <w:p>
      <w:pPr>
        <w:spacing w:after="0" w:line="2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the annual meeting of stockholders on October 22, 2015, the Company’s stockholders approved a proposal to amend the Certificate of Incorporation of the Company to effect a reverse split of our common stock, par value $0.001 per share (the “Common Stock”), at a ratio to be determined by the Company’s Board of Directors within a specific range and a reduction in the authorized number of shares of our Common Stock. On October 27, 2015, the Company filed a Certificate of Amendment to our Certificate of Incorporation to effect a one-for-10 reverse stock split of our Common Stock and to decrease the number of authorized shares of our Common Stock to 50,000,000 shares (the “Reverse Stock Split”). As a result of the Reverse Stock Split, as of the effective date of the Reverse Stock Split, every 10 shares of issued and outstanding Common Stock were combined into one issued and outstanding share of Common Stock, without any change in the par value per share. No fractional shares were issued in connection with the Reverse Stock Split. Total cash payments made by the Company to stockholders in lieu of fractional shares were not material. The Common Stock began trading on a reverse stock split-adjusted basis on the NASDAQ Stock Market (“NASDAQ”) on October 29, 2015. On November 12, 2015, NASDAQ notified the Company that its Common Stock had regained compliance with the NASDAQ listed company closing bid price requirement.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included in this report has been retroactively restated to reflect the Reverse Stock Split.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972"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left="260" w:hanging="253"/>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Consolidation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2015, there were no noncontrolling interests.</w:t>
      </w:r>
    </w:p>
    <w:p>
      <w:pPr>
        <w:spacing w:after="0" w:line="19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September 2015, the Company re-purchased the non-controlling interest consisting of 11.8% of the Company's Australian subsidiary, Ocean Power Technologies (Australasia) Pty. Ltd. (“OPTA”) for nominal consideration and now has 100% ownership of OPTA. OPTA owns 100% of Victorian Wave Partners Pty. Ltd. (“VWP”), which is also organized under the laws of Australia.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2015, there were no such entities.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legal costs associated with shareholder litigation and SEC subpoena; recoverability of the carrying amount of property and equipment; valuation allowances for receivables and deferred income tax assets; estimated costs to complete projects; and percentage of completion of customer contracts for purposes of revenue recognition. Actual results may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contracts are either cost-plus or fixed-price contracts. Under cost-plus contracts, customers are billed for actual expenses incurred plus an agreed-upon fee. Currently, the Company has two types of fixed-price contracts, firm fixed-price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Some of the Company’s projects are under cost-sharing contracts.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8"/>
              </w:rPr>
              <w:t>October 31, 2015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April 30, 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Checking and money market accounts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4,912,582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2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5,426,740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12,721,334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10,339,322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2015 and April 30, 2015, all of the Company’s investments were classified as held-to-maturity.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As of October 31, 2015, there was €278,828 ($306,741) in letters of credit outstanding under this agreement.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$100,000 is outstanding at October 31, 2015. Under this arrangement, the Company annually assigns to the NJBPU a certificate of deposit in an amount equal to the outstanding grant balance. See Note 6.</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previously had a letter of credit outstanding for the benefit of the Oregon Department of State Lands for the removal of certain of the Company’s anchoring and mooring equipment from the seabed off the coast of Oregon. During fiscal 2015, the Company completed the removal activity and reduced the letters of credit from $1,200,000 to $0.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gridSpan w:val="3"/>
          </w:tcPr>
          <w:p>
            <w:pPr>
              <w:spacing w:after="0"/>
              <w:rPr>
                <w:sz w:val="20"/>
                <w:szCs w:val="20"/>
                <w:color w:val="auto"/>
              </w:rPr>
            </w:pPr>
            <w:r>
              <w:rPr>
                <w:rFonts w:ascii="Arial" w:cs="Arial" w:eastAsia="Arial" w:hAnsi="Arial"/>
                <w:sz w:val="18"/>
                <w:szCs w:val="18"/>
                <w:color w:val="auto"/>
              </w:rPr>
              <w:t>Restricted cash includes the following:</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8"/>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2015</w:t>
            </w:r>
          </w:p>
        </w:tc>
        <w:tc>
          <w:tcPr>
            <w:tcW w:w="16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63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437,732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438,561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2015</w:t>
            </w:r>
          </w:p>
        </w:tc>
        <w:tc>
          <w:tcPr>
            <w:tcW w:w="1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2015</w:t>
            </w:r>
          </w:p>
        </w:tc>
      </w:tr>
      <w:tr>
        <w:trPr>
          <w:trHeight w:val="189"/>
        </w:trPr>
        <w:tc>
          <w:tcPr>
            <w:tcW w:w="20" w:type="dxa"/>
            <w:vAlign w:val="bottom"/>
          </w:tcPr>
          <w:p>
            <w:pPr>
              <w:spacing w:after="0"/>
              <w:rPr>
                <w:sz w:val="16"/>
                <w:szCs w:val="16"/>
                <w:color w:val="auto"/>
              </w:rPr>
            </w:pPr>
          </w:p>
        </w:tc>
        <w:tc>
          <w:tcPr>
            <w:tcW w:w="8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9"/>
              </w:rPr>
              <w:t>Long Term:</w:t>
            </w:r>
          </w:p>
        </w:tc>
        <w:tc>
          <w:tcPr>
            <w:tcW w:w="5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47"/>
        </w:trPr>
        <w:tc>
          <w:tcPr>
            <w:tcW w:w="20" w:type="dxa"/>
            <w:vAlign w:val="bottom"/>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40" w:type="dxa"/>
            <w:vAlign w:val="bottom"/>
          </w:tcPr>
          <w:p>
            <w:pPr>
              <w:spacing w:after="0"/>
              <w:rPr>
                <w:sz w:val="20"/>
                <w:szCs w:val="20"/>
                <w:color w:val="auto"/>
              </w:rPr>
            </w:pPr>
          </w:p>
        </w:tc>
        <w:tc>
          <w:tcPr>
            <w:tcW w:w="280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October 31,</w:t>
            </w:r>
          </w:p>
        </w:tc>
        <w:tc>
          <w:tcPr>
            <w:tcW w:w="120" w:type="dxa"/>
            <w:vAlign w:val="bottom"/>
          </w:tcPr>
          <w:p>
            <w:pPr>
              <w:spacing w:after="0"/>
              <w:rPr>
                <w:sz w:val="20"/>
                <w:szCs w:val="20"/>
                <w:color w:val="auto"/>
              </w:rPr>
            </w:pPr>
          </w:p>
        </w:tc>
        <w:tc>
          <w:tcPr>
            <w:tcW w:w="25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9"/>
              </w:rPr>
              <w:t>Six Months Ended October 31,</w:t>
            </w:r>
          </w:p>
        </w:tc>
      </w:tr>
      <w:tr>
        <w:trPr>
          <w:trHeight w:val="209"/>
        </w:trPr>
        <w:tc>
          <w:tcPr>
            <w:tcW w:w="5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07"/>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3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(5,842)</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(221,907)</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21"/>
          <w:szCs w:val="21"/>
          <w:color w:val="auto"/>
        </w:rPr>
        <w:t>Foreign currency denominated certificates of deposit and cash accounts:</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October 31, 2015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3"/>
              </w:rPr>
              <w:t>April 30, 2015</w:t>
            </w:r>
          </w:p>
        </w:tc>
        <w:tc>
          <w:tcPr>
            <w:tcW w:w="80" w:type="dxa"/>
            <w:vAlign w:val="bottom"/>
          </w:tcPr>
          <w:p>
            <w:pPr>
              <w:spacing w:after="0"/>
              <w:rPr>
                <w:sz w:val="18"/>
                <w:szCs w:val="18"/>
                <w:color w:val="auto"/>
              </w:rPr>
            </w:pPr>
          </w:p>
        </w:tc>
      </w:tr>
      <w:tr>
        <w:trPr>
          <w:trHeight w:val="207"/>
        </w:trPr>
        <w:tc>
          <w:tcPr>
            <w:tcW w:w="6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4"/>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338,561</w:t>
            </w:r>
          </w:p>
        </w:tc>
      </w:tr>
      <w:tr>
        <w:trPr>
          <w:trHeight w:val="214"/>
        </w:trPr>
        <w:tc>
          <w:tcPr>
            <w:tcW w:w="6120" w:type="dxa"/>
            <w:vAlign w:val="bottom"/>
          </w:tcPr>
          <w:p>
            <w:pPr>
              <w:spacing w:after="0"/>
              <w:rPr>
                <w:sz w:val="20"/>
                <w:szCs w:val="20"/>
                <w:color w:val="auto"/>
              </w:rPr>
            </w:pPr>
            <w:r>
              <w:rPr>
                <w:rFonts w:ascii="Arial" w:cs="Arial" w:eastAsia="Arial" w:hAnsi="Arial"/>
                <w:sz w:val="18"/>
                <w:szCs w:val="18"/>
                <w:color w:val="auto"/>
              </w:rPr>
              <w:t>Unrestricted</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1,458,030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1,100,371</w:t>
            </w:r>
          </w:p>
        </w:tc>
      </w:tr>
      <w:tr>
        <w:trPr>
          <w:trHeight w:val="247"/>
        </w:trPr>
        <w:tc>
          <w:tcPr>
            <w:tcW w:w="6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1,795,762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1,438,932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(h)Property and Equipment</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overnight repurchase accounts, bank certificates of deposit and trade receivables. The Company invests its excess cash in highly liquid investments (typically,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7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8"/>
              </w:rPr>
              <w:t>Three months ended October 31,</w:t>
            </w:r>
          </w:p>
        </w:tc>
        <w:tc>
          <w:tcPr>
            <w:tcW w:w="27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2"/>
              </w:rPr>
              <w:t>Six months ended October 31,</w:t>
            </w:r>
          </w:p>
        </w:tc>
        <w:tc>
          <w:tcPr>
            <w:tcW w:w="0" w:type="dxa"/>
            <w:vAlign w:val="bottom"/>
          </w:tcPr>
          <w:p>
            <w:pPr>
              <w:spacing w:after="0"/>
              <w:rPr>
                <w:sz w:val="1"/>
                <w:szCs w:val="1"/>
                <w:color w:val="auto"/>
              </w:rPr>
            </w:pPr>
          </w:p>
        </w:tc>
      </w:tr>
      <w:tr>
        <w:trPr>
          <w:trHeight w:val="182"/>
        </w:trPr>
        <w:tc>
          <w:tcPr>
            <w:tcW w:w="422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140" w:type="dxa"/>
            <w:vAlign w:val="bottom"/>
            <w:tcBorders>
              <w:top w:val="single" w:sz="8" w:color="auto"/>
            </w:tcBorders>
          </w:tcPr>
          <w:p>
            <w:pPr>
              <w:jc w:val="right"/>
              <w:ind w:right="291"/>
              <w:spacing w:after="0" w:line="182" w:lineRule="exact"/>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11"/>
              <w:spacing w:after="0" w:line="182" w:lineRule="exact"/>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ind w:right="291"/>
              <w:spacing w:after="0" w:line="182" w:lineRule="exact"/>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11"/>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restart"/>
          </w:tcPr>
          <w:p>
            <w:pPr>
              <w:spacing w:after="0"/>
              <w:rPr>
                <w:sz w:val="16"/>
                <w:szCs w:val="16"/>
                <w:color w:val="auto"/>
              </w:rPr>
            </w:pPr>
          </w:p>
        </w:tc>
        <w:tc>
          <w:tcPr>
            <w:tcW w:w="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0" w:type="dxa"/>
            <w:vAlign w:val="bottom"/>
            <w:gridSpan w:val="2"/>
          </w:tcPr>
          <w:p>
            <w:pPr>
              <w:spacing w:after="0"/>
              <w:rPr>
                <w:sz w:val="16"/>
                <w:szCs w:val="16"/>
                <w:color w:val="auto"/>
              </w:rPr>
            </w:pPr>
          </w:p>
        </w:tc>
        <w:tc>
          <w:tcPr>
            <w:tcW w:w="1380" w:type="dxa"/>
            <w:vAlign w:val="bottom"/>
            <w:gridSpan w:val="2"/>
          </w:tcPr>
          <w:p>
            <w:pPr>
              <w:spacing w:after="0"/>
              <w:rPr>
                <w:sz w:val="16"/>
                <w:szCs w:val="16"/>
                <w:color w:val="auto"/>
              </w:rPr>
            </w:pPr>
          </w:p>
        </w:tc>
        <w:tc>
          <w:tcPr>
            <w:tcW w:w="1400" w:type="dxa"/>
            <w:vAlign w:val="bottom"/>
            <w:gridSpan w:val="2"/>
          </w:tcPr>
          <w:p>
            <w:pPr>
              <w:spacing w:after="0"/>
              <w:rPr>
                <w:sz w:val="16"/>
                <w:szCs w:val="16"/>
                <w:color w:val="auto"/>
              </w:rPr>
            </w:pP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European Union (WavePort project)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restricted stock, were excluded from the diluted loss per share calculation due to their anti-dilutive effect.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165,870 for the three and six months ended October 31, 2015, and 164,981 for the three and six months ended October 31, 2014, were excluded from the computations as the effect would be anti-dilutive due to the Company's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2014, the Financial Accounting Standards Board (FASB) issued a new revenue recognition standard entitled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The objective of the standard is to establish the principles that an entity shall apply to report useful information to users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nature, amount, timing, and uncertainty of revenue and cash flows from a contract with a customer. The standard is effective for annual reporting periods beginning after December 15, 2017. Earlier application as of the original date is optional; however, the Company will adopt the standard beginning May 1, 2018. The standard allows for either “full retrospective” adoption, meaning the standard is applied to all periods presented, or “modified retrospective” adoption, meaning the standard is applied only to the most current period presented in the financial statements. The Company is currently assessing which method it will choose for adoption, and is evaluating the impact of the adoption of this new accounting standard on its consolidated results of operations and financial position.</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has not yet determined the effect of the standard on its ongoing financial reporting at this time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intends to simplify the presentation of debt issuance costs. This ASU is effective for public business entities for fiscal years beginning after December 15, 2015, and interim periods within those fiscal years. Currently, ASU 2015-03, would not have an effect on the Company’s consolidated financial statements and disclosures. The Company will evaluate the effect of ASU 2015-03 for future periods, as applicable.</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(ASC 740): Balance Sheet Classification of Deferred Taxes</w:t>
      </w:r>
      <w:r>
        <w:rPr>
          <w:rFonts w:ascii="Arial" w:cs="Arial" w:eastAsia="Arial" w:hAnsi="Arial"/>
          <w:sz w:val="16"/>
          <w:szCs w:val="16"/>
          <w:color w:val="auto"/>
        </w:rPr>
        <w:t>, which requires that all deferred taxes are presented as non-current in a classified statement of financial position. The standard may be adopted on a retrospective or prospective basis. The standard is effective for annual periods beginning after December 15, 2015. Early adoption is available. The Company is currently assessing which method it will choose for adoption, and is evaluating the effect the new standard will have on its consolidated financial statements and disclosures.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April 30,</w:t>
            </w:r>
          </w:p>
        </w:tc>
      </w:tr>
      <w:tr>
        <w:trPr>
          <w:trHeight w:val="231"/>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49"/>
        </w:trPr>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 of Deposit and US Treasury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jc w:val="right"/>
              <w:ind w:right="79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25,000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47"/>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(4) Balance Sheet Detail</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69"/>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4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w w:val="91"/>
              </w:rPr>
              <w:t>October 31, 2015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7"/>
          </w:tcPr>
          <w:p>
            <w:pPr>
              <w:ind w:left="40"/>
              <w:spacing w:after="0"/>
              <w:rPr>
                <w:sz w:val="20"/>
                <w:szCs w:val="20"/>
                <w:color w:val="auto"/>
              </w:rPr>
            </w:pPr>
            <w:r>
              <w:rPr>
                <w:rFonts w:ascii="Arial" w:cs="Arial" w:eastAsia="Arial" w:hAnsi="Arial"/>
                <w:sz w:val="18"/>
                <w:szCs w:val="18"/>
                <w:b w:val="1"/>
                <w:bCs w:val="1"/>
                <w:color w:val="auto"/>
              </w:rPr>
              <w:t>April 30, 2015</w:t>
            </w:r>
          </w:p>
        </w:tc>
      </w:tr>
      <w:tr>
        <w:trPr>
          <w:trHeight w:val="208"/>
        </w:trPr>
        <w:tc>
          <w:tcPr>
            <w:tcW w:w="500" w:type="dxa"/>
            <w:vAlign w:val="bottom"/>
          </w:tcPr>
          <w:p>
            <w:pPr>
              <w:spacing w:after="0"/>
              <w:rPr>
                <w:sz w:val="18"/>
                <w:szCs w:val="18"/>
                <w:color w:val="auto"/>
              </w:rPr>
            </w:pPr>
          </w:p>
        </w:tc>
        <w:tc>
          <w:tcPr>
            <w:tcW w:w="6120" w:type="dxa"/>
            <w:vAlign w:val="bottom"/>
            <w:gridSpan w:val="2"/>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Project costs</w:t>
            </w: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1,034,972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867,771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loss reserve</w:t>
            </w: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Employee incentive payments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529,274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salary and benefits</w:t>
            </w: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468,366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Legal and accounting fees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274,656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00" w:type="dxa"/>
            <w:vAlign w:val="bottom"/>
          </w:tcPr>
          <w:p>
            <w:pPr>
              <w:spacing w:after="0"/>
              <w:rPr>
                <w:sz w:val="18"/>
                <w:szCs w:val="18"/>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168,233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2,477,207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2,507,119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40" w:type="dxa"/>
            <w:vAlign w:val="bottom"/>
          </w:tcPr>
          <w:p>
            <w:pPr>
              <w:spacing w:after="0"/>
              <w:rPr>
                <w:sz w:val="20"/>
                <w:szCs w:val="20"/>
                <w:color w:val="auto"/>
              </w:rPr>
            </w:pPr>
            <w:r>
              <w:rPr>
                <w:rFonts w:ascii="Arial" w:cs="Arial" w:eastAsia="Arial" w:hAnsi="Arial"/>
                <w:sz w:val="18"/>
                <w:szCs w:val="18"/>
                <w:b w:val="1"/>
                <w:bCs w:val="1"/>
                <w:color w:val="auto"/>
              </w:rPr>
              <w:t>(5) Related Party Transactions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95"/>
        </w:trPr>
        <w:tc>
          <w:tcPr>
            <w:tcW w:w="4640" w:type="dxa"/>
            <w:vAlign w:val="bottom"/>
          </w:tcPr>
          <w:p>
            <w:pPr>
              <w:spacing w:after="0"/>
              <w:rPr>
                <w:sz w:val="24"/>
                <w:szCs w:val="24"/>
                <w:color w:val="auto"/>
              </w:rPr>
            </w:pPr>
          </w:p>
        </w:tc>
        <w:tc>
          <w:tcPr>
            <w:tcW w:w="270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Three Months Ended October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Six Months Ended October 31,</w:t>
            </w:r>
          </w:p>
        </w:tc>
      </w:tr>
      <w:tr>
        <w:trPr>
          <w:trHeight w:val="209"/>
        </w:trPr>
        <w:tc>
          <w:tcPr>
            <w:tcW w:w="46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4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52,667</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15 months of consulting fees at a monthly rate of $20,000 (this period terminated on July 18, 2015). For the three and six months ended October 31, 2015, the Company recorded $0 and $52,667 in expense relating to this agreement. For the three and six months ended October 31, 2014, the Company recorded $60,000 and $120,000 respectively in expense relating to this agreement.</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June 2014, the Company entered into an agreement with David L. Keller, a non-executive director of the Company, under which Mr. Keller served as our Interim Chief Executive Officer effective as of the June 9, 2014 termination of our former Chief Executive Officer, Charles F. Dunleavy through January 20, 2015. Under this agreement, Mr. Keller received a consulting fee of $1,500 per day of services provided to the Company. Effective January 20, 2015, Mr. George H. Kirby was appointed our President, Chief Executive Officer and a Director of the Company and Mr. Keller resigned as Interim CEO. Mr. Keller continued to serve as a non-executive director of the Company until October 22, 2015. For the three and six months ended October 31, 2015, the Company recorded $0 in expense relating to Mr. Keller’s agreement. For the three and six months ended October 31, 2014, the Company recorded $91,875 and $145,688 respectively in expense relating to this agreement.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0"/>
              </w:rPr>
              <w:t>October 31, 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April 30, 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October 31, 2015, the Company has not generated any emissions credits eligible for purchase under the agreement. The $600,000 has been classified as a noncurrent liability as of October 31,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stock-based compensation expense related to all stock-based transactions recorded in the consolidated statements of operations was approximately $277,000 and $153,000 for the six months ended October 31, 2015 and 2014, respectively. The six months ended October 31, 2014, reflected lower stock-based compensation costs relating primarily to the termination for cause of Charles F. Dunleavy, Chief Executive Officer, on June 9, 2014. In accordance with the Company’s 2001 Stock Plan and the 2006 Stock Incentive Plan, all vested and unvested equity compensation grants were forfeited by Mr. Dunleavy because of his termination for cause by the Company.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2015 and 2014</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six months ended October 31, 2015,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for the six months ended October 31, 2015.</w:t>
      </w:r>
    </w:p>
    <w:p>
      <w:pPr>
        <w:spacing w:after="0" w:line="21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Six Months Ended October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4"/>
        </w:trPr>
        <w:tc>
          <w:tcPr>
            <w:tcW w:w="6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4"/>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27"/>
        </w:trPr>
        <w:tc>
          <w:tcPr>
            <w:tcW w:w="6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85.49%</w:t>
            </w:r>
          </w:p>
        </w:tc>
      </w:tr>
    </w:tbl>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above assumptions were used to determine the weighted average per share fair value of $4.05 and $7.20 for stock options granted during the six months ended October 31, 2015 and 2014,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A summary of stock options under our stock incentive plans is as follows: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94"/>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ind w:left="314"/>
              <w:spacing w:after="0"/>
              <w:rPr>
                <w:sz w:val="20"/>
                <w:szCs w:val="20"/>
                <w:color w:val="auto"/>
              </w:rPr>
            </w:pPr>
            <w:r>
              <w:rPr>
                <w:rFonts w:ascii="Arial" w:cs="Arial" w:eastAsia="Arial" w:hAnsi="Arial"/>
                <w:sz w:val="18"/>
                <w:szCs w:val="18"/>
                <w:b w:val="1"/>
                <w:bCs w:val="1"/>
                <w:color w:val="auto"/>
                <w:w w:val="87"/>
              </w:rPr>
              <w:t>Average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140" w:type="dxa"/>
            <w:vAlign w:val="bottom"/>
          </w:tcPr>
          <w:p>
            <w:pPr>
              <w:jc w:val="center"/>
              <w:ind w:left="294"/>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jc w:val="center"/>
              <w:ind w:left="294"/>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108,376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4"/>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43.20</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(10,440)</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56.18</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20" w:type="dxa"/>
            <w:vAlign w:val="bottom"/>
            <w:gridSpan w:val="2"/>
          </w:tcPr>
          <w:p>
            <w:pPr>
              <w:ind w:left="580"/>
              <w:spacing w:after="0" w:line="194" w:lineRule="exact"/>
              <w:rPr>
                <w:sz w:val="20"/>
                <w:szCs w:val="20"/>
                <w:color w:val="auto"/>
              </w:rPr>
            </w:pPr>
            <w:r>
              <w:rPr>
                <w:rFonts w:ascii="Arial" w:cs="Arial" w:eastAsia="Arial" w:hAnsi="Arial"/>
                <w:sz w:val="18"/>
                <w:szCs w:val="18"/>
                <w:color w:val="auto"/>
              </w:rPr>
              <w:t>Exercisable as of October 31, 2015</w:t>
            </w:r>
          </w:p>
        </w:tc>
        <w:tc>
          <w:tcPr>
            <w:tcW w:w="15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86,125</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w w:val="84"/>
              </w:rPr>
              <w:t>45.73</w:t>
            </w:r>
          </w:p>
        </w:tc>
        <w:tc>
          <w:tcPr>
            <w:tcW w:w="172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October 31, 2015, the total intrinsic value of outstanding and exercisable options was $0. As of October 31, 2015, approximately 16,000 additional options are expected to vest in the future, which options had no intrinsic value and a weighted average remaining contractual term of 8.2 years. There was approximately $110,000 and $75,000 of total recognized compensation cost related to stock options for the six months ended October 31, 2015 and 2014, respectively. As of October 31, 2015, there was approximately $84,000 of total unrecognized compensation cost related to non-vested stock options granted under the plans. This cost is expected to be recognized over a weighted-average period of 1.9 years. The Company normally issues new shares to satisfy option exercises under these plans. Stock options outstanding, as of October 31, 2015, included 11,578 stock options subject to performance-based vesting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Compensation expense for unvested restricted stock is generally recorded based on the market value of the restricted stock on the date of grant and recognized ratably over the associated service and performance period. Of the 47,514 unvested shares of restricted stock, there are different vesting criteria and compensation expense methods. There are 21,955 unvested restricted shares that vest based on service criteria. The compensation expense is recorded based on the market value on the date of grant and is recognized ratably over the associated service period. There are 1,599 unvested restricted shares that vest based on personal and Company performance goals and the compensation expense is recorded based on the market value on the date of grant and is recognized ratably over the associated performance period. There are 23,960 unvested restricted shares where the achievement of vesting requirement for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designated funds’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(Unaudited)</w:t>
      </w:r>
    </w:p>
    <w:p>
      <w:pPr>
        <w:sectPr>
          <w:pgSz w:w="11900" w:h="16838" w:orient="portrait"/>
          <w:cols w:equalWidth="0" w:num="1">
            <w:col w:w="11420"/>
          </w:cols>
          <w:pgMar w:left="240" w:top="580"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-121920</wp:posOffset>
            </wp:positionV>
            <wp:extent cx="6518275" cy="13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8275" cy="135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Granted</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-130175</wp:posOffset>
            </wp:positionV>
            <wp:extent cx="6518275"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8275" cy="135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13335</wp:posOffset>
            </wp:positionV>
            <wp:extent cx="6518275" cy="161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8275" cy="161290"/>
                    </a:xfrm>
                    <a:prstGeom prst="rect">
                      <a:avLst/>
                    </a:prstGeom>
                    <a:noFill/>
                  </pic:spPr>
                </pic:pic>
              </a:graphicData>
            </a:graphic>
          </wp:anchor>
        </w:drawing>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Issued and unvested at October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Weighted</w:t>
            </w:r>
          </w:p>
        </w:tc>
      </w:tr>
      <w:tr>
        <w:trPr>
          <w:trHeight w:val="214"/>
        </w:trPr>
        <w:tc>
          <w:tcPr>
            <w:tcW w:w="16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 per</w:t>
            </w:r>
          </w:p>
        </w:tc>
      </w:tr>
      <w:tr>
        <w:trPr>
          <w:trHeight w:val="231"/>
        </w:trPr>
        <w:tc>
          <w:tcPr>
            <w:tcW w:w="1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7"/>
              </w:rPr>
              <w:t>Share</w:t>
            </w:r>
          </w:p>
        </w:tc>
      </w:tr>
      <w:tr>
        <w:trPr>
          <w:trHeight w:val="407"/>
        </w:trPr>
        <w:tc>
          <w:tcPr>
            <w:tcW w:w="1560" w:type="dxa"/>
            <w:vAlign w:val="bottom"/>
          </w:tcPr>
          <w:p>
            <w:pPr>
              <w:jc w:val="right"/>
              <w:spacing w:after="0"/>
              <w:rPr>
                <w:sz w:val="20"/>
                <w:szCs w:val="20"/>
                <w:color w:val="auto"/>
              </w:rPr>
            </w:pPr>
            <w:r>
              <w:rPr>
                <w:rFonts w:ascii="Arial" w:cs="Arial" w:eastAsia="Arial" w:hAnsi="Arial"/>
                <w:sz w:val="18"/>
                <w:szCs w:val="18"/>
                <w:color w:val="auto"/>
              </w:rPr>
              <w:t>84,062</w:t>
            </w:r>
          </w:p>
        </w:tc>
        <w:tc>
          <w:tcPr>
            <w:tcW w:w="120" w:type="dxa"/>
            <w:vAlign w:val="bottom"/>
          </w:tcPr>
          <w:p>
            <w:pPr>
              <w:spacing w:after="0"/>
              <w:rPr>
                <w:sz w:val="24"/>
                <w:szCs w:val="24"/>
                <w:color w:val="auto"/>
              </w:rPr>
            </w:pP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14"/>
        </w:trPr>
        <w:tc>
          <w:tcPr>
            <w:tcW w:w="15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4"/>
        </w:trPr>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(4,897)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8"/>
        </w:trPr>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(32,951)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07"/>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47,514</w:t>
            </w:r>
          </w:p>
        </w:tc>
        <w:tc>
          <w:tcPr>
            <w:tcW w:w="120" w:type="dxa"/>
            <w:vAlign w:val="bottom"/>
          </w:tcPr>
          <w:p>
            <w:pPr>
              <w:spacing w:after="0"/>
              <w:rPr>
                <w:sz w:val="18"/>
                <w:szCs w:val="18"/>
                <w:color w:val="auto"/>
              </w:rPr>
            </w:pP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3960"/>
          </w:cols>
          <w:pgMar w:left="240" w:top="580" w:right="239" w:bottom="1440" w:gutter="0" w:footer="0" w:header="0"/>
          <w:type w:val="continuous"/>
        </w:sectPr>
      </w:pPr>
    </w:p>
    <w:p>
      <w:pPr>
        <w:spacing w:after="0" w:line="21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There was approximately $167,000 and $78,000 of total recognized compensation cost related to restricted stock for the six months ended October 31, 2015 and 2014, respectively. As of October 31, 2015, there was approximately $217,000 of total unrecognized compensation cost related to unvested restricted stock granted under our plans. This cost is expected to be recognized over a weighted average period of 1.9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six months ended October 31, 2015 and 2014, 452 and 80 shares, respectively, of common stock were purchased by the Company from employees to pay taxes related to the vesting of 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and its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Chew, et al. v. Ocean Power Technologies, Inc. et. al., Case No 3:14-cv-03815; Konstantinidis v. Ocean Power Technologies, Inc., et al., Case No. 3:14-cv-04015; and Turner v. Ocean Power Technologies, Inc., et al., Case No. 3:14-cv-04592. On March 17, 2015, the court entered an order appointing Five More Special Situation Fund Ltd. as the lead plaintiff. On May 18, 2015, the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On July 17, 2015, defendants filed a motion to dismiss the amended class action complaint. Lead plaintiff filed a response to the motion on August 31, 2015.</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defendants filed a new motion to dismiss the third amended class action complaint. The lead plaintiff has not yet responded to the motion.</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10, 2015, a second derivative lawsuit, captioned Rywolt v. Dunleavy</w:t>
      </w:r>
      <w:r>
        <w:rPr>
          <w:rFonts w:ascii="Arial" w:cs="Arial" w:eastAsia="Arial" w:hAnsi="Arial"/>
          <w:sz w:val="17"/>
          <w:szCs w:val="17"/>
          <w:i w:val="1"/>
          <w:iCs w:val="1"/>
          <w:color w:val="auto"/>
        </w:rPr>
        <w:t>,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The Court has not yet ruled on that motion.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1"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($306,741) at the request of the Spanish tax authorities. This is a customary request during the inquiry period. In November 2014 and March and September 2015, the Company received partial refunds of the amount under dispute and continues to expect that this matter will be resolved in the Company’s favor.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5"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color w:val="auto"/>
        </w:rPr>
        <w:t>The Company did not recognize any consolidated income tax benefit (expense) for the three and six month periods ended October 31, 2015 and 2014.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October 31, 2015, the Company had no material changes in uncertain tax positions.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gridSpan w:val="2"/>
          </w:tcPr>
          <w:p>
            <w:pPr>
              <w:spacing w:after="0"/>
              <w:rPr>
                <w:sz w:val="20"/>
                <w:szCs w:val="20"/>
                <w:color w:val="auto"/>
              </w:rPr>
            </w:pPr>
            <w:r>
              <w:rPr>
                <w:rFonts w:ascii="Arial" w:cs="Arial" w:eastAsia="Arial" w:hAnsi="Arial"/>
                <w:sz w:val="18"/>
                <w:szCs w:val="18"/>
                <w:color w:val="auto"/>
              </w:rPr>
              <w:t>Geographic information is as follows: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North</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Asia and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America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Europe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Australia</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2015</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494,412</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494,412</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(2,880,664)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(2,999,649</w:t>
            </w:r>
          </w:p>
        </w:tc>
        <w:tc>
          <w:tcPr>
            <w:tcW w:w="0" w:type="dxa"/>
            <w:vAlign w:val="bottom"/>
          </w:tcPr>
          <w:p>
            <w:pPr>
              <w:spacing w:after="0"/>
              <w:rPr>
                <w:sz w:val="1"/>
                <w:szCs w:val="1"/>
                <w:color w:val="auto"/>
              </w:rPr>
            </w:pPr>
          </w:p>
        </w:tc>
      </w:tr>
      <w:tr>
        <w:trPr>
          <w:trHeight w:val="214"/>
        </w:trPr>
        <w:tc>
          <w:tcPr>
            <w:tcW w:w="8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2014</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1,747,788</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1,747,788</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(3,614,964)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(341,804)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(226,885)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(4,183,653</w:t>
            </w:r>
          </w:p>
        </w:tc>
        <w:tc>
          <w:tcPr>
            <w:tcW w:w="0" w:type="dxa"/>
            <w:vAlign w:val="bottom"/>
          </w:tcPr>
          <w:p>
            <w:pPr>
              <w:spacing w:after="0"/>
              <w:rPr>
                <w:sz w:val="1"/>
                <w:szCs w:val="1"/>
                <w:color w:val="auto"/>
              </w:rPr>
            </w:pPr>
          </w:p>
        </w:tc>
      </w:tr>
      <w:tr>
        <w:trPr>
          <w:trHeight w:val="214"/>
        </w:trPr>
        <w:tc>
          <w:tcPr>
            <w:tcW w:w="8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2015</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600,078</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600,078</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(7,096,878)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(165,982)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(7,389,382</w:t>
            </w:r>
          </w:p>
        </w:tc>
        <w:tc>
          <w:tcPr>
            <w:tcW w:w="0" w:type="dxa"/>
            <w:vAlign w:val="bottom"/>
          </w:tcPr>
          <w:p>
            <w:pPr>
              <w:spacing w:after="0"/>
              <w:rPr>
                <w:sz w:val="1"/>
                <w:szCs w:val="1"/>
                <w:color w:val="auto"/>
              </w:rPr>
            </w:pPr>
          </w:p>
        </w:tc>
      </w:tr>
      <w:tr>
        <w:trPr>
          <w:trHeight w:val="214"/>
        </w:trPr>
        <w:tc>
          <w:tcPr>
            <w:tcW w:w="8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2014</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3,288,316</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3,288,316</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(6,197,577)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(734,672)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(7,653,206</w:t>
            </w:r>
          </w:p>
        </w:tc>
        <w:tc>
          <w:tcPr>
            <w:tcW w:w="0" w:type="dxa"/>
            <w:vAlign w:val="bottom"/>
          </w:tcPr>
          <w:p>
            <w:pPr>
              <w:spacing w:after="0"/>
              <w:rPr>
                <w:sz w:val="1"/>
                <w:szCs w:val="1"/>
                <w:color w:val="auto"/>
              </w:rPr>
            </w:pPr>
          </w:p>
        </w:tc>
      </w:tr>
      <w:tr>
        <w:trPr>
          <w:trHeight w:val="214"/>
        </w:trPr>
        <w:tc>
          <w:tcPr>
            <w:tcW w:w="8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October 31, 2015</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Long-lived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219,403</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10,526,855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426,666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11,787,864</w:t>
            </w:r>
          </w:p>
        </w:tc>
        <w:tc>
          <w:tcPr>
            <w:tcW w:w="0" w:type="dxa"/>
            <w:vAlign w:val="bottom"/>
          </w:tcPr>
          <w:p>
            <w:pPr>
              <w:spacing w:after="0"/>
              <w:rPr>
                <w:sz w:val="1"/>
                <w:szCs w:val="1"/>
                <w:color w:val="auto"/>
              </w:rPr>
            </w:pPr>
          </w:p>
        </w:tc>
      </w:tr>
      <w:tr>
        <w:trPr>
          <w:trHeight w:val="214"/>
        </w:trPr>
        <w:tc>
          <w:tcPr>
            <w:tcW w:w="8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April 30, 2015</w:t>
            </w: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Long-lived assets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263,898</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17,899,273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373,817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18,870,886</w:t>
            </w:r>
          </w:p>
        </w:tc>
        <w:tc>
          <w:tcPr>
            <w:tcW w:w="0" w:type="dxa"/>
            <w:vAlign w:val="bottom"/>
          </w:tcPr>
          <w:p>
            <w:pPr>
              <w:spacing w:after="0"/>
              <w:rPr>
                <w:sz w:val="1"/>
                <w:szCs w:val="1"/>
                <w:color w:val="auto"/>
              </w:rPr>
            </w:pPr>
          </w:p>
        </w:tc>
      </w:tr>
      <w:tr>
        <w:trPr>
          <w:trHeight w:val="667"/>
        </w:trPr>
        <w:tc>
          <w:tcPr>
            <w:tcW w:w="8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00" w:type="dxa"/>
            <w:vAlign w:val="bottom"/>
            <w:shd w:val="clear" w:color="auto" w:fill="808080"/>
          </w:tcPr>
          <w:p>
            <w:pPr>
              <w:spacing w:after="0"/>
              <w:rPr>
                <w:sz w:val="5"/>
                <w:szCs w:val="5"/>
                <w:color w:val="auto"/>
              </w:rPr>
            </w:pPr>
          </w:p>
        </w:tc>
        <w:tc>
          <w:tcPr>
            <w:tcW w:w="38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76" w:right="1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(“MD&amp;A”)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fiscal 2015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2015 refers to the year ended April 30,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market our autonomous PowerBuoy, which is designed to generate power for use independent of the power grid, to customers that require electricity in remote locations. We believe there are a variety of potential applications for our autonomous PowerBuoy, including ocean observing, offshore wind, defense and security, oil and gas, communications and ocean aquaculture.</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from contracts with Lockheed Martin Corporation (“Lockheed Martin”), in fiscal 2003, and in fiscal 2004 we entered into our first development and construction contract with Lockheed Martin for the development and construction of a prototype autonomous PowerBuoy. Subsequently, we received a contract from the US Navy to test our autonomous PowerBuoy as an alternate power source for the Navy’s Deep Water Active Detection System (“DWADS”). In fiscal 2012, an autonomous PowerBuoy was deployed for ocean trials off the coast of New Jersey under a contract from the US Navy under its Littoral Expeditionary Autonomous PowerBuoy (“LEAP”) contract. The LEAP PowerBuoy, or APB350, incorporates a unique power take-off (“PTO”) and on-board storage system, and is significantly smaller and more compact than those of our previous PowerBuoy designs. It is designed to provide persistent, grid-independent clean energy in remote ocean locations for a wide variety of maritime security, monitoring and other commercial applications. Also, in fiscal 2012, ocean trials of our PB150B1 PowerBuoy were conducted off the northeast coast of Scotland. Our larger-scale PB150B1 PowerBuoy structure and mooring system achieved independent certification from Lloyd’s Register in December 2010. This certification confirms that the PB150B1 PowerBuoy design complies with the requirements of Lloyd’s 1999 Rules and Regulations for the Classification of Floating Offshore Installations at Fixed Locations.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2012 through fiscal 2015, we worked on projects with partners including Mitsui Engineering &amp; Shipbuilding (“MES”) and the US Department of Energy (“DOE”) as well as on our WavePort project in Spain and a project in Oregon. We also continued development of our PowerBuoy technology as well as our next generation PowerBuoy technology. We are continuing to develop, test and refine our technology and our products and we do not yet have a commercial product offering.</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During the six months ended October 31, 2015, we continued work under our contract with the DOE and continued to seek to implement the strategic pivot in our business plan initiated in fiscal 2015, focusing on the autonomous applications markets. Our contract with the DOE is for development efforts that focus on further optimization of our modular PTO technology. In March 2015, we successfully completed a stage gate review during which the DOE reviewed advancements related to PTO design aspects such as reliability, cost take out, manufacturability and scalability. We are currently completing the final stage of the contract. We also deployed the PB40 PowerBuoy off the coast of the New Jersey in late July 2015 and subsequently retrieved it approximately three weeks later. We were permitted to operate the PB40 at this location for a period of up to one year. Although the PB40 produced power throughout its deployment period, it began reporting unexpected performance data. This performance data indicated likely failures of components associated with the float braking system which would be activated during severe storm periods in order to prevent damage to the float. As a result, we decided to proactively retrieve the PB40 earlier than anticipated in order to avoid potential physical damage to the buoy structure in the event of a severe storm. During the limited deployment period, we were able to obtain performance data, which we will use to further understand the PB40’s system performance and power generation in varying wave states. In addition, we were also able to use the deployment and retrieval of the PB40, 30 miles off of the coast of New Jersey, to validate our logistical processes associated with permitting, stage, towing and installation of the PB40 at its moored location. Because the PB40 is a legacy prototype device, it is not considered to be a critical part of our strategic pivot initiated in fiscal 2015 focusing on the autonomous applications market. Based on the limited information, we currently believe that the failed components are unique to the PB40, and therefore, we do not believe that their causes will materially impact the functionality of any of our other autonomous PowerBuoys currently under development. Costs associated with the retrieval of the PB40 are reflected in our product development expenses in our quarterly results for the quarter ending October 31, 2015. We do not have current plans to redeploy the PB40; however, we do plan to investigate, analyze and asses the component failures of the PB40.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We also deployed our APB350 A1 PowerBuoy off the coast of New Jersey in late August 2015. The APB350 A1 contains an improved PTO system compared to the APB350 that was deployed in 2011 in connection with the U.S. Navy's LEAP Program and then redeployed in 2013 in conjunction with the U.S. Department of Homeland Security. The APB350 A1 features an advanced PTO design with a focus on reliability, manufacturability, cost and efficiency improvement. The APB350 uses a modular energy storage system (ESS) to provide continuous power to the payload even when the Powerbuoy is not generating new power due to calm sea states. We believe the ESS has enough storage capacity to provide up to 7 days of continuous power to the majority of ocean sensors when starting from a fully charged state. Real-time performance and weather data is being collected and transmitted to the Company’s monitoring and analysis center at its corporate headquarters in Pennington, NJ. Subsequent to its August deployment, the APB350 A1 was retrieved in early October 2015 for a necessary repair. We redeployed the APB350 A1 in late October 2015 to continue its sea trials.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continuing to work to develop solutions seeking to improve our products’ durability and reliability and to reduce costs. For example, the original APB350 utilized a rack and pinion PTO and successfully powered US Navy applications off the coast of New Jersey for nearly three months. The redesigned APB350 leverages our knowledge base from that design to incorporate new design features which we believe will improve its reliability and efficiency, including a redesigned PTO and a higher efficiency high voltage ESS.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2013, we filed the Form S-3 Shelf. The Form S-3 Shelf was declared effective in February 2013. Under the Form S-3 Shelf we established an ATM Facility with Ascendiant via an ATM Agreement in June 2013. Under the ATM Agreement, we offered and sold shares of our Common Stock from time to time through the Ascendiant, acting as sales agent, in ordinary brokerage transactions at prevailing market prices. Under the ATM Facility, during fiscal 2014, we issued 330,633 shares of our Common Stock at an average price to the public of $30.20 per share, receiving net proceeds from the ATM Facility of approximately $9,698,000.</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the Public Offering of an aggregate of 380,000 shares of our Common Stock at a price of $31.00 per share (the “public offering”)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Form S-3 Shelf.</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October, 2015, the Company entered into the Offering Agreement with the Manager to offer and sell shares of our Common Stock under Form S-3. Pursuant to the Offering Agreement, the Company may offer and sell shares of its Common Stock, having an aggregate offering price of up to $2,906,836 from time to time through or to the Manager, acting as sales agent and/or principal, in reliance on and subject to the limitations of General Instruction I.B.6 of Form S-3 and other applicable laws and regulations. Under the Offering Agreement, during the three months ended October 31, 2015, the Company issued 1,500 shares of our common stock at an average price to the public of $3.25 per share, receiving net proceeds from the Offering Agreement of approximately $5,000.</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our S-3 Shelf, whether under the ATM Agreement, the Underwriting Agreement or otherwise, to one third of our public float. In 2014, we fully utilized our available transaction capacity to sell securities using the S-3 Shelf in the ATM offering. However, we regained the ability to utilize Form S-3 as we entered fiscal 2016. Of the $40 million of securities registered under the Form S-3 Shelf, approximately $18.2 million remains available for issuance and sale under the Form S-3 Shelf. However, based on our market capitalization of $4.2 million at October 31, 2015, we would be further limited in our ability to sell securities under the Form S-3 Shelf during any 12-month period to approximately $1.4 million.</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current projects, planned product development and marketing efforts, which could harm our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66" w:lineRule="auto"/>
        <w:rPr>
          <w:sz w:val="20"/>
          <w:szCs w:val="20"/>
          <w:color w:val="auto"/>
        </w:rPr>
      </w:pPr>
      <w:r>
        <w:rPr>
          <w:rFonts w:ascii="Arial" w:cs="Arial" w:eastAsia="Arial" w:hAnsi="Arial"/>
          <w:sz w:val="17"/>
          <w:szCs w:val="17"/>
          <w:color w:val="auto"/>
        </w:rPr>
        <w:t>At October 31, 2015, our total negotiated backlog was $0.7 million compared with $0.9 million at April 30, 2015. Some of our backlog at October 31, 2015 and April 30, 2015 consisted of cost-sharing contracts as described in the Financial Operations Overview section of the MD&amp;A in this Quarterly Report on Form 10-Q.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in the near term; however, we continue to focus on obtaining new contracts and customers to further develop our technology. We are also seeking to develop strategic alliances with other companies that have developed or are developing in-ocean applications requiring a persistent source of power to address identified needs of potential customers. As announced in late October, we signed a non-binding Memorandum of Understanding (“MOU”) with Gardline Environmental, Ltd. to jointly investigate innovative metocean monitoring and maritime security systems for prospective customers using both companies’ technologies. Our backlog was fully funded at October 31, 2015 and April 30, 2015.</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 included in our backlog is a $1.0 million grant that we received from Ente Vasco de la Energia (“EVE”), a Basque regional energy agency which would have provided partial funding for the deployment of the PB40 PowerBuoy off the coast of Spain. This grant expires on December 31, 2015 and will not be utilized as we have no planned deployment in Spain at this time.</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Currently, our contract with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DOE. MES has indicated that work under this contract could resume upon passing the stage-gate review. We billed and have been paid for all eligible costs incurred under the contract in fiscal 2015. Our revenues recorded reflect the total amount paid on the contract.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 We cannot predict whether MES will resume work under this contract, or, if any such work is resumed, when that will occur. Under the terms of the contract, MES has the right to terminate the contract assuming the Japanese Government prime contractor (“NEDO”) concurrence or to continue OPT’s activity until the next scheduled review.</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October 31, 2015, we generated revenues of $0.5 million and incurred a net loss attributable to Ocean Power Technologies, Inc. of $3.0 million, and for the three months ended October 31, 2014, we generated revenues of $1.7 million and incurred a net loss attributable to Ocean Power Technologies, Inc. of $4.4 million. As of October 31, 2015, our accumulated deficit was $171.9 million. We have not been profitable since inception, and we do not know whether or when we will become profitable because of the significant uncertainties with respect to our ability to successfully commercialize our PowerBuoys in the autonomous (grid independent) application markets.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our strategic pivot in business operations initiated in fiscal 2015, we are focused on developing the PowerBuoy technology for use in the autonomous applications markets.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could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 It is designed to offer a substantial amount of persistent power while also providing a simple and stable integration platform that is deployable using readily available vessels and skills.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APB350 is a prototype and is currently undergoing a design iteration focusing on improving its commercial viability, its reliability and endurance. Based on our product and technology roadmap, we believe that the APB350 will undergo significant in-ocean and accelerated life testing during the next year and we currently project that in calendar year 2016, it will achieve a maturity level that will allow us to proceed with a commercial launch of our product. We currently project that we will have a product capable of being used for our first product demonstrations with early adopters in calendar year 2016. We are currently projecting that our APB 350 product will be developed sufficiently for its customer launch within approximately the same timeframe. We anticipate that the APB350 will generate and store power sufficient to address application needs in all six markets such as metrological data collection for oil and gas and ocean observing, wind and environmental data collection for offshore wind, and sensors and communications for homeland defense. With additional power available, we believe new applications will be enabled through the development of new sensors and hardware that were not feasible or financially viable with incumbent power sources such as generators, solar, wind and battery based sources.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97"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2008, we announced a Joint Development Agreement with Leighton Contractors Pty. Ltd. (“Leighton”) for the development of wave power projects off the coast of Australia. In 2009, Leighton formed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and returned the Initial Funding to ARENA.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Generally, our contracts are either cost-plus or fixed-price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fixed-price contracts, firm-fixed price and cost-sharing. Under firm fixed-price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the three and six months ended October 31, 2015 and 2014 was from cost-sharing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provides information regarding the breakdown of our revenues by customer for the three and six months ended October 31, 2015 and 2014:</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8"/>
                <w:szCs w:val="18"/>
                <w:b w:val="1"/>
                <w:bCs w:val="1"/>
                <w:color w:val="auto"/>
                <w:w w:val="94"/>
              </w:rPr>
              <w:t>Three Months Ended October 31,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8"/>
                <w:szCs w:val="18"/>
                <w:b w:val="1"/>
                <w:bCs w:val="1"/>
                <w:color w:val="auto"/>
                <w:w w:val="92"/>
              </w:rPr>
              <w:t>Six Months Ended October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 millions)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9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European Union (WavePort project)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20" w:type="dxa"/>
            <w:vAlign w:val="bottom"/>
            <w:gridSpan w:val="2"/>
          </w:tcPr>
          <w:p>
            <w:pPr>
              <w:jc w:val="right"/>
              <w:ind w:right="73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six months ended October 31, 2015 and 2014:</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Six months ended October 31,</w:t>
            </w:r>
          </w:p>
        </w:tc>
      </w:tr>
      <w:tr>
        <w:trPr>
          <w:trHeight w:val="182"/>
        </w:trPr>
        <w:tc>
          <w:tcPr>
            <w:tcW w:w="5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540" w:type="dxa"/>
            <w:vAlign w:val="bottom"/>
            <w:tcBorders>
              <w:top w:val="single" w:sz="8" w:color="auto"/>
            </w:tcBorders>
          </w:tcPr>
          <w:p>
            <w:pPr>
              <w:jc w:val="right"/>
              <w:ind w:right="491"/>
              <w:spacing w:after="0" w:line="182"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511"/>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r>
      <w:tr>
        <w:trPr>
          <w:trHeight w:val="20"/>
        </w:trPr>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4"/>
        </w:trPr>
        <w:tc>
          <w:tcPr>
            <w:tcW w:w="1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780" w:type="dxa"/>
            <w:vAlign w:val="bottom"/>
            <w:gridSpan w:val="2"/>
          </w:tcPr>
          <w:p>
            <w:pPr>
              <w:spacing w:after="0"/>
              <w:rPr>
                <w:sz w:val="16"/>
                <w:szCs w:val="16"/>
                <w:color w:val="auto"/>
              </w:rPr>
            </w:pPr>
          </w:p>
        </w:tc>
        <w:tc>
          <w:tcPr>
            <w:tcW w:w="1700" w:type="dxa"/>
            <w:vAlign w:val="bottom"/>
            <w:gridSpan w:val="2"/>
          </w:tcPr>
          <w:p>
            <w:pPr>
              <w:spacing w:after="0"/>
              <w:rPr>
                <w:sz w:val="16"/>
                <w:szCs w:val="16"/>
                <w:color w:val="auto"/>
              </w:rPr>
            </w:pPr>
          </w:p>
        </w:tc>
      </w:tr>
      <w:tr>
        <w:trPr>
          <w:trHeight w:val="214"/>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4"/>
        </w:trPr>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4"/>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4"/>
        </w:trPr>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7"/>
        </w:trPr>
        <w:tc>
          <w:tcPr>
            <w:tcW w:w="14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revenue recorded for the six months ended October 31, 2015 and 2014 was generated from cost-sharing contracts, which result in zero gross profit. In the six months ended October 31, 2014, our fixed-price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of our PowerBuoy systems, the nature of our contracts generating revenues to fund our product development efforts, and our ability to manage costs incurred on fixed price commercial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$10.8 million as of October 31, 2015, compared to $23.4 million as of October 31, 2014.</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anticipate that our interest income reported in fiscal 2016 will continue to be lower than the comparable periods of the prior fiscal year as a result of the decrease in invested cash.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Foreign exchange gain (loss)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$1.8 million as of October 31, 2015 and $2.1 million as of October 31, 2014, compared to our total cash, cash equivalents, restricted cash, and marketable securities balances of $10.8 million as of October 31, 2015, and $23.4 million as of October 31, 2014. These foreign currency balances are translated at each month end to our functional currency, the US dollar, and any resulting gain or loss is recognized in our results of operations.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six months ended October 31, 2015 and 2014, were recorded in Euros.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2015 Compared to Three Months Ended October 31, 2014</w:t>
      </w:r>
    </w:p>
    <w:p>
      <w:pPr>
        <w:spacing w:after="0" w:line="221"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2015 and 2014:</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vMerge w:val="restart"/>
          </w:tcPr>
          <w:p>
            <w:pPr>
              <w:jc w:val="right"/>
              <w:ind w:right="402"/>
              <w:spacing w:after="0"/>
              <w:rPr>
                <w:sz w:val="20"/>
                <w:szCs w:val="20"/>
                <w:color w:val="auto"/>
              </w:rPr>
            </w:pPr>
            <w:r>
              <w:rPr>
                <w:rFonts w:ascii="Arial" w:cs="Arial" w:eastAsia="Arial" w:hAnsi="Arial"/>
                <w:sz w:val="18"/>
                <w:szCs w:val="18"/>
                <w:b w:val="1"/>
                <w:bCs w:val="1"/>
                <w:color w:val="auto"/>
                <w:w w:val="92"/>
              </w:rPr>
              <w:t>Three Months ended October 31,</w:t>
            </w:r>
          </w:p>
        </w:tc>
        <w:tc>
          <w:tcPr>
            <w:tcW w:w="16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19"/>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vMerge w:val="continue"/>
          </w:tcPr>
          <w:p>
            <w:pPr>
              <w:spacing w:after="0"/>
              <w:rPr>
                <w:sz w:val="19"/>
                <w:szCs w:val="19"/>
                <w:color w:val="auto"/>
              </w:rPr>
            </w:pPr>
          </w:p>
        </w:tc>
        <w:tc>
          <w:tcPr>
            <w:tcW w:w="1660" w:type="dxa"/>
            <w:vAlign w:val="bottom"/>
            <w:gridSpan w:val="2"/>
          </w:tcPr>
          <w:p>
            <w:pPr>
              <w:jc w:val="center"/>
              <w:ind w:right="151"/>
              <w:spacing w:after="0"/>
              <w:rPr>
                <w:sz w:val="20"/>
                <w:szCs w:val="20"/>
                <w:color w:val="auto"/>
              </w:rPr>
            </w:pPr>
            <w:r>
              <w:rPr>
                <w:rFonts w:ascii="Arial" w:cs="Arial" w:eastAsia="Arial" w:hAnsi="Arial"/>
                <w:sz w:val="18"/>
                <w:szCs w:val="18"/>
                <w:b w:val="1"/>
                <w:bCs w:val="1"/>
                <w:color w:val="auto"/>
                <w:w w:val="89"/>
              </w:rPr>
              <w:t>2015 Period to</w:t>
            </w:r>
          </w:p>
        </w:tc>
        <w:tc>
          <w:tcPr>
            <w:tcW w:w="0" w:type="dxa"/>
            <w:vAlign w:val="bottom"/>
          </w:tcPr>
          <w:p>
            <w:pPr>
              <w:spacing w:after="0"/>
              <w:rPr>
                <w:sz w:val="1"/>
                <w:szCs w:val="1"/>
                <w:color w:val="auto"/>
              </w:rPr>
            </w:pPr>
          </w:p>
        </w:tc>
      </w:tr>
      <w:tr>
        <w:trPr>
          <w:trHeight w:val="207"/>
        </w:trPr>
        <w:tc>
          <w:tcPr>
            <w:tcW w:w="4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6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90"/>
              </w:rPr>
              <w:t>2014 Period</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494,412</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1,747,788</w:t>
            </w:r>
          </w:p>
        </w:tc>
        <w:tc>
          <w:tcPr>
            <w:tcW w:w="2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494,412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2"/>
              <w:spacing w:after="0"/>
              <w:rPr>
                <w:sz w:val="20"/>
                <w:szCs w:val="20"/>
                <w:color w:val="auto"/>
              </w:rPr>
            </w:pPr>
            <w:r>
              <w:rPr>
                <w:rFonts w:ascii="Arial" w:cs="Arial" w:eastAsia="Arial" w:hAnsi="Arial"/>
                <w:sz w:val="18"/>
                <w:szCs w:val="18"/>
                <w:color w:val="auto"/>
              </w:rPr>
              <w:t>1,998,076</w:t>
            </w:r>
          </w:p>
        </w:tc>
        <w:tc>
          <w:tcPr>
            <w:tcW w:w="1660" w:type="dxa"/>
            <w:vAlign w:val="bottom"/>
            <w:gridSpan w:val="2"/>
          </w:tcPr>
          <w:p>
            <w:pPr>
              <w:jc w:val="right"/>
              <w:ind w:right="7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(250,288</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74"/>
              </w:rPr>
              <w:t>)</w:t>
            </w:r>
          </w:p>
        </w:tc>
        <w:tc>
          <w:tcPr>
            <w:tcW w:w="16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1,177,656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1,224,487</w:t>
            </w:r>
          </w:p>
        </w:tc>
        <w:tc>
          <w:tcPr>
            <w:tcW w:w="16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47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1,821,993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2"/>
              <w:spacing w:after="0"/>
              <w:rPr>
                <w:sz w:val="20"/>
                <w:szCs w:val="20"/>
                <w:color w:val="auto"/>
              </w:rPr>
            </w:pPr>
            <w:r>
              <w:rPr>
                <w:rFonts w:ascii="Arial" w:cs="Arial" w:eastAsia="Arial" w:hAnsi="Arial"/>
                <w:sz w:val="18"/>
                <w:szCs w:val="18"/>
                <w:color w:val="auto"/>
              </w:rPr>
              <w:t>2,708,878</w:t>
            </w:r>
          </w:p>
        </w:tc>
        <w:tc>
          <w:tcPr>
            <w:tcW w:w="1660" w:type="dxa"/>
            <w:vAlign w:val="bottom"/>
            <w:gridSpan w:val="2"/>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2,999,649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3,933,365</w:t>
            </w:r>
          </w:p>
        </w:tc>
        <w:tc>
          <w:tcPr>
            <w:tcW w:w="2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(2,999,649)</w:t>
            </w:r>
          </w:p>
        </w:tc>
        <w:tc>
          <w:tcPr>
            <w:tcW w:w="320" w:type="dxa"/>
            <w:vAlign w:val="bottom"/>
          </w:tcPr>
          <w:p>
            <w:pPr>
              <w:spacing w:after="0"/>
              <w:rPr>
                <w:sz w:val="18"/>
                <w:szCs w:val="18"/>
                <w:color w:val="auto"/>
              </w:rPr>
            </w:pPr>
          </w:p>
        </w:tc>
        <w:tc>
          <w:tcPr>
            <w:tcW w:w="1320" w:type="dxa"/>
            <w:vAlign w:val="bottom"/>
            <w:gridSpan w:val="2"/>
          </w:tcPr>
          <w:p>
            <w:pPr>
              <w:jc w:val="right"/>
              <w:ind w:right="62"/>
              <w:spacing w:after="0"/>
              <w:rPr>
                <w:sz w:val="20"/>
                <w:szCs w:val="20"/>
                <w:color w:val="auto"/>
              </w:rPr>
            </w:pPr>
            <w:r>
              <w:rPr>
                <w:rFonts w:ascii="Arial" w:cs="Arial" w:eastAsia="Arial" w:hAnsi="Arial"/>
                <w:sz w:val="18"/>
                <w:szCs w:val="18"/>
                <w:color w:val="auto"/>
              </w:rPr>
              <w:t>(4,183,653)</w:t>
            </w:r>
          </w:p>
        </w:tc>
        <w:tc>
          <w:tcPr>
            <w:tcW w:w="1660" w:type="dxa"/>
            <w:vAlign w:val="bottom"/>
            <w:gridSpan w:val="2"/>
          </w:tcPr>
          <w:p>
            <w:pPr>
              <w:jc w:val="right"/>
              <w:ind w:right="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3,424</w:t>
            </w:r>
          </w:p>
        </w:tc>
        <w:tc>
          <w:tcPr>
            <w:tcW w:w="16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(8,080)</w:t>
            </w:r>
          </w:p>
        </w:tc>
        <w:tc>
          <w:tcPr>
            <w:tcW w:w="320" w:type="dxa"/>
            <w:vAlign w:val="bottom"/>
          </w:tcPr>
          <w:p>
            <w:pPr>
              <w:spacing w:after="0"/>
              <w:rPr>
                <w:sz w:val="18"/>
                <w:szCs w:val="18"/>
                <w:color w:val="auto"/>
              </w:rPr>
            </w:pPr>
          </w:p>
        </w:tc>
        <w:tc>
          <w:tcPr>
            <w:tcW w:w="132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(216,249)</w:t>
            </w:r>
          </w:p>
        </w:tc>
        <w:tc>
          <w:tcPr>
            <w:tcW w:w="16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(3,028,818)</w:t>
            </w:r>
          </w:p>
        </w:tc>
        <w:tc>
          <w:tcPr>
            <w:tcW w:w="320" w:type="dxa"/>
            <w:vAlign w:val="bottom"/>
          </w:tcPr>
          <w:p>
            <w:pPr>
              <w:spacing w:after="0"/>
              <w:rPr>
                <w:sz w:val="18"/>
                <w:szCs w:val="18"/>
                <w:color w:val="auto"/>
              </w:rPr>
            </w:pPr>
          </w:p>
        </w:tc>
        <w:tc>
          <w:tcPr>
            <w:tcW w:w="1320" w:type="dxa"/>
            <w:vAlign w:val="bottom"/>
            <w:gridSpan w:val="2"/>
          </w:tcPr>
          <w:p>
            <w:pPr>
              <w:jc w:val="right"/>
              <w:ind w:right="62"/>
              <w:spacing w:after="0"/>
              <w:rPr>
                <w:sz w:val="20"/>
                <w:szCs w:val="20"/>
                <w:color w:val="auto"/>
              </w:rPr>
            </w:pPr>
            <w:r>
              <w:rPr>
                <w:rFonts w:ascii="Arial" w:cs="Arial" w:eastAsia="Arial" w:hAnsi="Arial"/>
                <w:sz w:val="18"/>
                <w:szCs w:val="18"/>
                <w:color w:val="auto"/>
              </w:rPr>
              <w:t>(4,396,478)</w:t>
            </w:r>
          </w:p>
        </w:tc>
        <w:tc>
          <w:tcPr>
            <w:tcW w:w="1660" w:type="dxa"/>
            <w:vAlign w:val="bottom"/>
            <w:gridSpan w:val="2"/>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4"/>
              </w:rPr>
              <w:t>Less: Net (gain) loss attributable to the noncontrolling interest</w:t>
            </w:r>
          </w:p>
        </w:tc>
        <w:tc>
          <w:tcPr>
            <w:tcW w:w="18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22"/>
              <w:spacing w:after="0"/>
              <w:rPr>
                <w:sz w:val="20"/>
                <w:szCs w:val="20"/>
                <w:color w:val="auto"/>
              </w:rPr>
            </w:pPr>
            <w:r>
              <w:rPr>
                <w:rFonts w:ascii="Arial" w:cs="Arial" w:eastAsia="Arial" w:hAnsi="Arial"/>
                <w:sz w:val="18"/>
                <w:szCs w:val="18"/>
                <w:color w:val="auto"/>
              </w:rPr>
              <w:t>26,784</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Ocean Power Technologies (Australasia) Pty Ltd</w:t>
            </w: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(3,026,761)</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2"/>
              <w:spacing w:after="0"/>
              <w:rPr>
                <w:sz w:val="20"/>
                <w:szCs w:val="20"/>
                <w:color w:val="auto"/>
              </w:rPr>
            </w:pPr>
            <w:r>
              <w:rPr>
                <w:rFonts w:ascii="Arial" w:cs="Arial" w:eastAsia="Arial" w:hAnsi="Arial"/>
                <w:sz w:val="18"/>
                <w:szCs w:val="18"/>
                <w:color w:val="auto"/>
              </w:rPr>
              <w:t>(4,369,694)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Revenues decreased by $1.3 million, or 72%, to $0.5 million in the three months ended October 31, 2015, as compared to $1.7 million in the three months ended October 31, 2014. The decrease in revenue is the result of the completion of the billable work under certain contracts under which we performed in the 2014 period with no associated billable work under new contracts in the 2015 period and the decrease in billable work under the current phase of our project with MES in the 2015 period. This is discussed more fully in the Overview section of the MD&amp;A. These decreases were slightly offset by revenue from our WavePort contract with the European Union (the “EU”) for our project in Spain. The contract included a contractual provision whereby the EU was not required to pay 15% of the total fee pending satisfactory completion of the project as well as a final audit of eligible and billable costs. Due to uncertainties as to whether the Company would ultimately collect this amount, the Company did not include this amount in our percentage-of-completion calculation for revenue recognition purposes in prior fiscal years. As previously disclosed, the contract terminated on July 31, 2014. During the three months ended October 31, 2015, the EU notified the Company that the final audit of billable costs was completed with satisfactory results. Subsequently, the EU paid the Company approximately € 368,000 ($406,000).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Cost of revenues decreased by $1.5 million, or 75%, to $0.5 million in the three months ended October 31, 2015, as compared to $2.0 million in the three months ended October 31, 2014. The decrease in cost of revenues is the result of the completion of billable work under certain contracts under which we performed in the 2014 period and the decrease in billable work under the current phase of our project with MES. This is discussed more fully in the Overview section of the MD&amp;A. These decreases were slightly offset by revenue from our WavePort contract with the European Union (the “EU”) for our project in Spain. The contract included a contractual provision whereby the EU was not required to pay 15% of the total fee pending (satisfactory completion of the project as well as a final audit of eligible and billable costs). Due to uncertainties as to whether the Company would ultimately collect this amount, the Company did not include this amount in our percentage-of-completion calculation for revenue recognition purposes in prior fiscal years. As previously disclosed, the contract terminated on July 31, 2014. During the three months ended October 31, 2015, the EU notified the Company that the final audit of billable costs was completed with satisfactory results. Subsequently, the EU paid the Company approximately € 368,000 ($406,000).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ind w:right="80"/>
        <w:spacing w:after="0" w:line="259" w:lineRule="auto"/>
        <w:rPr>
          <w:sz w:val="20"/>
          <w:szCs w:val="20"/>
          <w:color w:val="auto"/>
        </w:rPr>
      </w:pPr>
      <w:r>
        <w:rPr>
          <w:rFonts w:ascii="Arial" w:cs="Arial" w:eastAsia="Arial" w:hAnsi="Arial"/>
          <w:sz w:val="18"/>
          <w:szCs w:val="18"/>
          <w:color w:val="auto"/>
        </w:rPr>
        <w:t>During the three months ended October 31, 2014, our fixed-price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Some of our projects in the three month period ended October 31, 2015 and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generating revenues through sales of our PowerBuoy systems, the nature of contracts relating for our development efforts, and on our ability to manage costs incurred on our fixed price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Product development costs were $1.2 million in the three months ended October 31, 2015 and 2014. Product development costs for the three months ended October 31, 2015, included the costs associated with the deployment and retrieval of our legacy PB40 and APB350 A1 PowerBuoys, in addition to the continued development costs for use of our PowerBuoys in the autonomous applications markets. These costs were offset by the recovery of product development costs from prior periods under our cost-sharing contract with the EU for our WavePort project. Over the next several years, it is our goal to fund the majority of our research and development expenses, including cost-sharing arrangements, with sources of external funding. If we are unable to obtain external funding, we may curtail our product development expenses or the scope of our development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Selling, general and administrative costs decreased by approximately $0.9 million, or 33%, to $1.8 million for the three months ended October 31, 2015 as compared to $2.7 million for the three months ended October 31, 2014. The decrease was related primarily to site development expenses related to our terminated project in Australia incurred during the 2014 period, decreased patent amortization costs and lower third party consultant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Interest income (expense) net increased to $4,000 for the three months ended October 31, 2015, as compared to $3,000 in the three months ended October 31, 2014.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exchange loss was $25,000 for the three months ended October 31, 2015, compared to a foreign exchange loss of $216,000 for the three months ended October 31, 2014. The difference was attributable primarily to the relative change in value of the British pound sterling, Euro and Australian dollar compared to the US dollar during the two periods.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Six Months Ended October 31, 2015 Compared to Six Months Ended October 31, 2014</w:t>
      </w:r>
    </w:p>
    <w:p>
      <w:pPr>
        <w:spacing w:after="0" w:line="221"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2015 and 2014:</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w w:val="96"/>
              </w:rPr>
              <w:t>Six Months ended October 31,</w:t>
            </w:r>
          </w:p>
        </w:tc>
        <w:tc>
          <w:tcPr>
            <w:tcW w:w="17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vMerge w:val="continue"/>
          </w:tcPr>
          <w:p>
            <w:pPr>
              <w:spacing w:after="0"/>
              <w:rPr>
                <w:sz w:val="19"/>
                <w:szCs w:val="19"/>
                <w:color w:val="auto"/>
              </w:rPr>
            </w:pPr>
          </w:p>
        </w:tc>
        <w:tc>
          <w:tcPr>
            <w:tcW w:w="17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89"/>
              </w:rPr>
              <w:t>2015 Period to</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760" w:type="dxa"/>
            <w:vAlign w:val="bottom"/>
            <w:gridSpan w:val="2"/>
          </w:tcPr>
          <w:p>
            <w:pPr>
              <w:jc w:val="center"/>
              <w:ind w:right="131"/>
              <w:spacing w:after="0"/>
              <w:rPr>
                <w:sz w:val="20"/>
                <w:szCs w:val="20"/>
                <w:color w:val="auto"/>
              </w:rPr>
            </w:pPr>
            <w:r>
              <w:rPr>
                <w:rFonts w:ascii="Arial" w:cs="Arial" w:eastAsia="Arial" w:hAnsi="Arial"/>
                <w:sz w:val="18"/>
                <w:szCs w:val="18"/>
                <w:b w:val="1"/>
                <w:bCs w:val="1"/>
                <w:color w:val="auto"/>
                <w:w w:val="89"/>
              </w:rPr>
              <w:t>2014 Period</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600,078</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3,288,316</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3,965,240</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(676,924)</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1,144,432</w:t>
            </w:r>
          </w:p>
        </w:tc>
        <w:tc>
          <w:tcPr>
            <w:tcW w:w="17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4"/>
        </w:trPr>
        <w:tc>
          <w:tcPr>
            <w:tcW w:w="45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3,728,938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5,831,850</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7,389,382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6,976,282</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(7,389,382)</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(7,653,206)</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(55,196)</w:t>
            </w:r>
          </w:p>
        </w:tc>
        <w:tc>
          <w:tcPr>
            <w:tcW w:w="17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242,927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1760" w:type="dxa"/>
            <w:vAlign w:val="bottom"/>
            <w:gridSpan w:val="2"/>
          </w:tcPr>
          <w:p>
            <w:pPr>
              <w:jc w:val="right"/>
              <w:ind w:right="1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(221,907)</w:t>
            </w:r>
          </w:p>
        </w:tc>
        <w:tc>
          <w:tcPr>
            <w:tcW w:w="17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(7,143,462)</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(7,745,309)</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9"/>
        </w:trPr>
        <w:tc>
          <w:tcPr>
            <w:tcW w:w="45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Less: Net (gain) loss attributable to the noncontrolling</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interest in Ocean Power Technologies (Australasia)</w:t>
            </w:r>
          </w:p>
        </w:tc>
        <w:tc>
          <w:tcPr>
            <w:tcW w:w="28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(45,340)</w:t>
            </w:r>
          </w:p>
        </w:tc>
        <w:tc>
          <w:tcPr>
            <w:tcW w:w="34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92,863</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Pty Ltd</w:t>
            </w:r>
          </w:p>
        </w:tc>
        <w:tc>
          <w:tcPr>
            <w:tcW w:w="28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7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(7,188,802)</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(7,652,446)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decreased by $2.7 million, or 82%, to $0.6 million in the six months ended October 31, 2015, as compared to $3.3 million in the six months ended October 31, 2014. The decrease in revenue is related to decreased revenue as a result of the completion of billable work under certain contracts under which we performed in the 2014 period with no associated work under new contracts in the 2015 period, decreased billable work related to the completion of our WavePort contract with the EU in fiscal 2015 and the decrease in billable work under the current phase of our project with MES. This is discussed more fully in the Overview section of the MD&amp;A.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Cost of revenues decreased by $3.4 million, or 85%, to $0.6 million in the six months ended October 31, 2015, as compared to $4.0 million in the six months ended October 31, 2014. The decrease in cost of revenue is related to decreased revenue as a result of the billable work under certain contracts under which we performed in the 2014 period with no corresponding work performed in the 2015 period, decreased billable work related to the completion of our WavePort contract with the EU in fiscal 2015 and the decrease in billable work under the current phase of our project with MES. This is discussed more fully in the Overview section of the MD&amp;A. During the six months ended October 31, 2014, our firm-fixed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Some of our projects in the six-month period ended October 31, 2015 and 2014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generating revenues through sales of our PowerBuoy systems, the nature of contracts relating to our development efforts and on our ability to manage costs incurred on our fixed price contracts.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Product development costs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Product development costs increased by $2.5 million, or 220%, to $3.7 million in the six months ended October 31, 2015, as compared to $1.1 million in the six months ended October 31, 2014. The increase in product development costs was related primarily to increased costs associated with the deployment and retrieval costs of our legacy PB40 and APB350 A1 PowerBuoys, in addition to the continued development costs for our autonomous applications. Over the next several years, it is our intent to fund the majority of our research and development expenses, including cost-sharing arrangements, with sources of external funding. If we are unable to obtain external funding, we may curtail our product development expenses or the scope of our development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costs decreased by approximately $2.1 million, or 36%, to $3.7 million for the six months ended October 31, 2015 as compared to $5.8 million for the six months ended October 31, 2014. The decrease was related primarily to lower legal fees during the six months ended October 31, 2015. In addition during the six months ended October 31, 2014, we incurred costs related to site development expenses related to our terminated project in Australia which was terminated prior to the comparable 2015 period, and we incurred lower patent amortization costs and third party consultant fees in the 2015 period. These decreases were partially offset by increased employee related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(expense), net increased to $9,000 for the six months ended October 31, 2015, as compared to interest expense, net of $55,000 in the six months ended October 31, 2014. During the six months ended October 31, 2014, we recorded interest expense for the repayment of funds received in March 2014 from ARENA of $5.2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exchange loss was $6,000 for the six months ended October 31, 2015, compared to a foreign exchange loss of $222,000 for the six months ended October 31, 2014. The difference was attributable primarily to the relative change in value of the British pound sterling, Euro and Australian dollar compared to the US dollar during the two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October 31, 2015, we received a refund of $243,000 related to research and development expenditures in Australia. During the six months ended October 31, 2014, we reached a favorable settlement with a vendor regarding a disputed transaction, which resulted in our receipt of the amount of $185,000.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2015, our net losses were $24.4 million and our net cash used in operating activities was $23.7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7"/>
        </w:trPr>
        <w:tc>
          <w:tcPr>
            <w:tcW w:w="7100" w:type="dxa"/>
            <w:vAlign w:val="bottom"/>
            <w:gridSpan w:val="2"/>
          </w:tcPr>
          <w:p>
            <w:pPr>
              <w:spacing w:after="0"/>
              <w:rPr>
                <w:sz w:val="20"/>
                <w:szCs w:val="20"/>
                <w:color w:val="auto"/>
              </w:rPr>
            </w:pPr>
            <w:r>
              <w:rPr>
                <w:rFonts w:ascii="Arial" w:cs="Arial" w:eastAsia="Arial" w:hAnsi="Arial"/>
                <w:sz w:val="18"/>
                <w:szCs w:val="18"/>
                <w:color w:val="auto"/>
              </w:rPr>
              <w:t>Cash flows for the six months ended October 31, 2015 and 2014 were as follows: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8"/>
        </w:trPr>
        <w:tc>
          <w:tcPr>
            <w:tcW w:w="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Six Months Ended October 31,</w:t>
            </w:r>
          </w:p>
        </w:tc>
      </w:tr>
      <w:tr>
        <w:trPr>
          <w:trHeight w:val="208"/>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r>
      <w:tr>
        <w:trPr>
          <w:trHeight w:val="207"/>
        </w:trPr>
        <w:tc>
          <w:tcPr>
            <w:tcW w:w="9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(7,143,462)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(7,745,309)</w:t>
            </w:r>
          </w:p>
        </w:tc>
        <w:tc>
          <w:tcPr>
            <w:tcW w:w="80" w:type="dxa"/>
            <w:vAlign w:val="bottom"/>
            <w:shd w:val="clear" w:color="auto" w:fill="CCEEFF"/>
          </w:tcPr>
          <w:p>
            <w:pPr>
              <w:spacing w:after="0"/>
              <w:rPr>
                <w:sz w:val="18"/>
                <w:szCs w:val="18"/>
                <w:color w:val="auto"/>
              </w:rPr>
            </w:pPr>
          </w:p>
        </w:tc>
      </w:tr>
      <w:tr>
        <w:trPr>
          <w:trHeight w:val="214"/>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4"/>
        </w:trPr>
        <w:tc>
          <w:tcPr>
            <w:tcW w:w="98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338,383</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4"/>
        </w:trPr>
        <w:tc>
          <w:tcPr>
            <w:tcW w:w="9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(6,805,079)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(6,883,609)</w:t>
            </w:r>
          </w:p>
        </w:tc>
      </w:tr>
      <w:tr>
        <w:trPr>
          <w:trHeight w:val="214"/>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4"/>
        </w:trPr>
        <w:tc>
          <w:tcPr>
            <w:tcW w:w="9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(179,626)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(5,227,368)</w:t>
            </w:r>
          </w:p>
        </w:tc>
      </w:tr>
      <w:tr>
        <w:trPr>
          <w:trHeight w:val="214"/>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98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(6,984,705)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(12,110,977)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4"/>
        </w:trPr>
        <w:tc>
          <w:tcPr>
            <w:tcW w:w="9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254"/>
        </w:trPr>
        <w:tc>
          <w:tcPr>
            <w:tcW w:w="98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89,699</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4,700,266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194"/>
        </w:trPr>
        <w:tc>
          <w:tcPr>
            <w:tcW w:w="9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254"/>
        </w:trPr>
        <w:tc>
          <w:tcPr>
            <w:tcW w:w="980" w:type="dxa"/>
            <w:vAlign w:val="bottom"/>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(46,926)</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(50,154)</w:t>
            </w:r>
          </w:p>
        </w:tc>
      </w:tr>
      <w:tr>
        <w:trPr>
          <w:trHeight w:val="194"/>
        </w:trPr>
        <w:tc>
          <w:tcPr>
            <w:tcW w:w="980" w:type="dxa"/>
            <w:vAlign w:val="bottom"/>
          </w:tcPr>
          <w:p>
            <w:pPr>
              <w:spacing w:after="0"/>
              <w:rPr>
                <w:sz w:val="16"/>
                <w:szCs w:val="16"/>
                <w:color w:val="auto"/>
              </w:rPr>
            </w:pPr>
          </w:p>
        </w:tc>
        <w:tc>
          <w:tcPr>
            <w:tcW w:w="6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4"/>
        </w:trPr>
        <w:tc>
          <w:tcPr>
            <w:tcW w:w="980" w:type="dxa"/>
            <w:vAlign w:val="bottom"/>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(54,480)</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(159,086)</w:t>
            </w:r>
          </w:p>
        </w:tc>
      </w:tr>
      <w:tr>
        <w:trPr>
          <w:trHeight w:val="20"/>
        </w:trPr>
        <w:tc>
          <w:tcPr>
            <w:tcW w:w="98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$7.0 million and $12.1 million for the six months ended October 31, 2015 and 2014, respectively. The change was the result of a decrease in net loss of $0.6 million and the net change in operating assets and liabilities of $5.0 million, partially offset by a decrease in cash provided by noncash operating items of $0.5 million.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net loss for the six months ended October 31, 2015 compared to the six months ended October 31, 2014 reflects an increase in product development costs of $2.5 million relating primarily to multiple deployments and retrievals of PowerBuoys, offset by a decrease in SG&amp;A costs of $2.1 million relating primarily to decreased legal fees to address the shareholder litigation and related matters, decreased site development expenses related to our terminated project in Australia, and a decrease in the net change of other income and foreign exchange loss of $0.3 million. In addition, the six months ended October 31, 2014 reflects a gross loss of $0.7 million relating to our project with MES.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decrease in noncash operating items reflects a decrease in amortization expense for patents of $0.4 million and a decrease in foreign exchange loss of $0.2 million, offset by an increase in equity compensation of $0.1 million.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operating assets and liabilities reflects the advanced payment received from customers of $4.7 million and the change in unearned revenue of $0.9 million for the six months ended October 31, 2014, offset by the change in accounts receivable of $0.3 million and the change in other assets of $0.3 million during the six months ended October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$0.1 million for the six months ended October 31, 2015 and net cash provided by investing activities was $4.7 million for the six months ended October 31, 2014. The change was primarily the result of a net decrease in purchases of $2.0 million in marketable securities offset by a decrease in restricted cash of $6.7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25"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Net cash used in financing activities was $47,000 and $50,000, respectively, for the six months ended October 31, 2015 and 2014. The net cash used was primarily for repayment of long term debt.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exchange rates on cash and cash equivalents was a decrease of $54,000 and $159,000 in the six months ended October 31, 2015 and 2014,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Outlook</w:t>
      </w:r>
    </w:p>
    <w:p>
      <w:pPr>
        <w:spacing w:after="0" w:line="225"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w:t>
      </w:r>
    </w:p>
    <w:p>
      <w:pPr>
        <w:spacing w:after="0" w:line="183" w:lineRule="exact"/>
        <w:rPr>
          <w:sz w:val="20"/>
          <w:szCs w:val="20"/>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development efforts for our PowerBuoys;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220" w:lineRule="exact"/>
        <w:rPr>
          <w:rFonts w:ascii="Arial" w:cs="Arial" w:eastAsia="Arial" w:hAnsi="Arial"/>
          <w:sz w:val="18"/>
          <w:szCs w:val="18"/>
          <w:color w:val="auto"/>
        </w:rPr>
      </w:pPr>
    </w:p>
    <w:p>
      <w:pPr>
        <w:ind w:left="600" w:hanging="323"/>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shareholder and other litigation and regulatory inquiries.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negative operating cash flows since our inception. As of October 31, 2015, our cash and cash equivalents and marketable securities balance was approximately $10.4 million. Based upon our cash and cash equivalents and marketable securities balance as of April 30, 2015, we believe that we will be able to finance our capital requirements and operations into the quarter ending October 31, 2016. In addition, as of October 31, 2015, our restricted cash balance was approximately $0.4 million.</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continue to make investments in ongoing product development efforts in anticipation of future growth. Our future results of operations involve significant risks and uncertainties. Factors that could affect the Company’s future operating results and cause actual results to vary materially from our expectations include, but are not limited to, risks from insufficiencies of capital, technology development, scalability of technology and production, dependence on skills of key personnel, concentration of customers and suppliers, performance of PowerBuoy, deployment risks and laws, regulations and permitting. In order to complete our future growth strategy, we will require additional equity and/or debt financing. There is no assurance that additional equity and/or debt financing will be available to us as needed. Historically, we have raised proceeds through public capital markets. If sufficient financing is not obtained, we may be required to further curtail or limit certain product development costs and product development activities, and/or selling, general and administrative activities in order to reduce our cash expenditures.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2013, we filed the Form S-3. The Form S-3 was declared effective in February 2013. Under the Form S-3 Shelf we established the ATM Facility with Ascendiant via the ATM Agreement in June 2013. Under the ATM Agreement, we offered and sold shares of our Common Stock from time to time through Ascendiant, acting as sales agent, in ordinary brokerage transactions at prevailing market prices. Under the ATM Facility, during fiscal 2014, we issued 330,633 shares of our common stock at an average price to the public of $30.20 per share, receiving net proceeds from the ATM Facility of approximately $9,698,000.</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 shares of our Common Stock at a price of $30.10 per share under the Form S-3.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Form S-3 Shelf.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2" w:name="page33"/>
    <w:bookmarkEnd w:id="32"/>
    <w:p>
      <w:pPr>
        <w:jc w:val="both"/>
        <w:spacing w:after="0" w:line="292" w:lineRule="auto"/>
        <w:rPr>
          <w:sz w:val="20"/>
          <w:szCs w:val="20"/>
          <w:color w:val="auto"/>
        </w:rPr>
      </w:pPr>
      <w:r>
        <w:rPr>
          <w:rFonts w:ascii="Arial" w:cs="Arial" w:eastAsia="Arial" w:hAnsi="Arial"/>
          <w:sz w:val="16"/>
          <w:szCs w:val="16"/>
          <w:color w:val="auto"/>
        </w:rPr>
        <w:t>In October, 2015, the Company entered into the Offering Agreement with the Manager to offer and sell shares of our Common Stock under the Form S-3. Pursuant to the Offering Agreement, the Company may offer and sell shares of its Common Stock, having an aggregate offering price of up to $2,906,836 from time to time through or to the Manager, acting as sales agent and/or principal, in reliance on and subject to the limitations of General Instruction I.B.6 of Form S-3 and other applicable law and regulation. Under the Offering Agreement, during the three months ended October 31, 2015, the Company issued 1,500 shares of our common stock at an average price to the public of $3.25 per share, receiving net proceeds from the Offering Agreement of approximately $5,000.</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Form S-3 limits the aggregate market value of securities that we are permitted to offer in any 12-month period under our S-3 Shelf, whether under the ATM Agreement, the Underwriting Agreement or otherwise, to one-third of our public float. In 2014, we fully utilized our available transaction capacity to sell securities using the Form S-3 in the ATM offering. However, we regained the ability to utilize the S-3 Shelf as we entered fiscal 2016. Of the $40 million of securities registered under the Form S-3, approximately $18.2 million of securities remains available for issuance and sale under the Form S-3. However, based on our market capitalization of $4.2 million at October 31, 2015, we would be further limited in our ability to sell securities under the Form S-3 during a 12 month period to approximately $1.4 million.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92"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During fiscal 2015, the Company returned the initial grant funding received of AU$5,595,723 (US$5,179,960) and interest of AU$109,051 (US$102,061) to ARENA. This was related to the VWP Board of Directors’ determination that the project contemplated by the grant was no longer commercially viable.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effectiveness of the design and operation of our disclosure controls and procedures as of October 31, 2015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2015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1"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October 31, 2015 that has materially affected, or is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and its former Chief Executive Officer Charles Dunleavy are defendants in consolidated securities class action lawsuits pending in the United States District Court for the District of New Jersey captioned In Re: Ocean Power Technologies, Inc. Securities Litigation, Civil Action No. 14-3799 (FLW) (LHG). The consolidated actions are Roby v. Ocean Power Technologies, Inc., et al., Case No. 3:14-cv-03799-FLW-LHG; Chew, et al. v. Ocean Power Technologies, Inc. et. al., Case No 3:14-cv-03815; Konstantinidis v. Ocean Power Technologies, Inc., et al., Case No. 3:14-cv-04015; and Turner v. Ocean Power Technologies, Inc., et al., Case No. 3:14-cv-04592. On March 17, 2015, the court entered an order appointing Five More Special Situation Fund Ltd. as the lead plaintiff. On May 18, 2015, the lead plaintiff filed an amended class action complaint. The amended class action complaint alleges claims for violations of sections 12(a) (2) and 15 of the Securities Act of 1933 and for violations of §10(b) and §20(a) of the Securities Exchange Act of 1934 arising out of public statements relating to a now terminated agreement between Victorian Wave Partners Pty. Ltd. (VWP) and the Australian Renewable Energy Agency (ARENA) for the development of a wave power station (the "VWP Project"). The amended complaint seeks unspecified monetary damages and other relief. On July 17, 2015, defendants filed a motion to dismiss" the amended class action complaint. Lead plaintiff filed a response to the motion on August 31, 2015. 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the Company filed a new motion to dismiss the third amended class action complaint. Lead plaintiff has not yet responded to the motion.</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10, 2015, a second derivative lawsuit, captioned Rywolt v. Dunleavy</w:t>
      </w:r>
      <w:r>
        <w:rPr>
          <w:rFonts w:ascii="Arial" w:cs="Arial" w:eastAsia="Arial" w:hAnsi="Arial"/>
          <w:sz w:val="17"/>
          <w:szCs w:val="17"/>
          <w:i w:val="1"/>
          <w:iCs w:val="1"/>
          <w:color w:val="auto"/>
        </w:rPr>
        <w:t>,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September 2, 2015, the plaintiff and all the defendants agreed to stay the Rywolt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Labare and Rywolt derivative lawsuits filed an unopposed motion to consolidate the two actions. The Court has not yet ruled on that motion.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The SEC investigation is ongoing and the Company continues to cooperate with the SEC in its investigation. We are unable to predict what action, if any, might be taken by the SEC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2015.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6,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 Dollar</w:t>
            </w:r>
          </w:p>
        </w:tc>
      </w:tr>
      <w:tr>
        <w:trPr>
          <w:trHeight w:val="214"/>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Purchased as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 Shares that</w:t>
            </w:r>
          </w:p>
        </w:tc>
      </w:tr>
      <w:tr>
        <w:trPr>
          <w:trHeight w:val="214"/>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2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Price Paid</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 Publicly</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May Yet Be Purchased</w:t>
            </w:r>
          </w:p>
        </w:tc>
      </w:tr>
      <w:tr>
        <w:trPr>
          <w:trHeight w:val="231"/>
        </w:trPr>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Purchased (1)</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1"/>
              </w:rPr>
              <w:t>per Share</w:t>
            </w:r>
          </w:p>
        </w:tc>
        <w:tc>
          <w:tcPr>
            <w:tcW w:w="2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 the Plan</w:t>
            </w:r>
          </w:p>
        </w:tc>
        <w:tc>
          <w:tcPr>
            <w:tcW w:w="100" w:type="dxa"/>
            <w:vAlign w:val="bottom"/>
          </w:tcPr>
          <w:p>
            <w:pPr>
              <w:spacing w:after="0"/>
              <w:rPr>
                <w:sz w:val="20"/>
                <w:szCs w:val="20"/>
                <w:color w:val="auto"/>
              </w:rPr>
            </w:pPr>
          </w:p>
        </w:tc>
      </w:tr>
      <w:tr>
        <w:trPr>
          <w:trHeight w:val="208"/>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August 1-31, 2015</w:t>
            </w: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1960" w:type="dxa"/>
            <w:vAlign w:val="bottom"/>
          </w:tcPr>
          <w:p>
            <w:pPr>
              <w:spacing w:after="0"/>
              <w:rPr>
                <w:sz w:val="20"/>
                <w:szCs w:val="20"/>
                <w:color w:val="auto"/>
              </w:rPr>
            </w:pPr>
            <w:r>
              <w:rPr>
                <w:rFonts w:ascii="Arial" w:cs="Arial" w:eastAsia="Arial" w:hAnsi="Arial"/>
                <w:sz w:val="18"/>
                <w:szCs w:val="18"/>
                <w:color w:val="auto"/>
              </w:rPr>
              <w:t>September 1-30, 2015</w:t>
            </w:r>
          </w:p>
        </w:tc>
        <w:tc>
          <w:tcPr>
            <w:tcW w:w="10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October 1-31, 2015</w:t>
            </w:r>
          </w:p>
        </w:tc>
        <w:tc>
          <w:tcPr>
            <w:tcW w:w="2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78"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Amendment to Certificate of Incorporation of the Company, filed with the Secretary of State of the State of Delaware on October 27,</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2015 (incorporated by reference to Exhibit 3.1 to the Company's Current Report on Form 8-K filed with the SEC on October 28, 2015)</w:t>
      </w:r>
    </w:p>
    <w:p>
      <w:pPr>
        <w:spacing w:after="0" w:line="219" w:lineRule="exact"/>
        <w:rPr>
          <w:sz w:val="20"/>
          <w:szCs w:val="20"/>
          <w:color w:val="auto"/>
        </w:rPr>
      </w:pPr>
    </w:p>
    <w:p>
      <w:pPr>
        <w:jc w:val="both"/>
        <w:ind w:left="900" w:hanging="671"/>
        <w:spacing w:after="0" w:line="259" w:lineRule="auto"/>
        <w:tabs>
          <w:tab w:leader="none" w:pos="8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At the Market Offering Agreement, dated as of October 19, 2015, by and between Ocean Power Technologies, Inc. and Rodman &amp; Renshaw, a unit of H.C. Wainwright &amp; Co., LLC (incorporated by reference to Exhibit 10.1 to the Company's Current Report on Form 8-K filed with the SEC on October 19, 2015)</w:t>
      </w:r>
    </w:p>
    <w:p>
      <w:pPr>
        <w:spacing w:after="0" w:line="185" w:lineRule="exact"/>
        <w:rPr>
          <w:sz w:val="20"/>
          <w:szCs w:val="20"/>
          <w:color w:val="auto"/>
        </w:rPr>
      </w:pPr>
    </w:p>
    <w:p>
      <w:pPr>
        <w:jc w:val="both"/>
        <w:ind w:left="900" w:hanging="671"/>
        <w:spacing w:after="0" w:line="270" w:lineRule="auto"/>
        <w:tabs>
          <w:tab w:leader="none" w:pos="8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Ocean Power Technologies, Inc. 2015 Omnibus Incentive Plan (incorporated by reference to Exhibit 10.1 to the Company's registration statement on Form S-8 filed with the SEC on December 14, 2015)</w:t>
      </w:r>
    </w:p>
    <w:p>
      <w:pPr>
        <w:spacing w:after="0" w:line="176" w:lineRule="exact"/>
        <w:rPr>
          <w:sz w:val="20"/>
          <w:szCs w:val="20"/>
          <w:color w:val="auto"/>
        </w:rPr>
      </w:pPr>
    </w:p>
    <w:p>
      <w:pPr>
        <w:ind w:left="24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1" w:lineRule="exact"/>
        <w:rPr>
          <w:sz w:val="20"/>
          <w:szCs w:val="20"/>
          <w:color w:val="auto"/>
        </w:rPr>
      </w:pPr>
    </w:p>
    <w:p>
      <w:pPr>
        <w:ind w:left="240"/>
        <w:spacing w:after="0"/>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1" w:lineRule="exact"/>
        <w:rPr>
          <w:sz w:val="20"/>
          <w:szCs w:val="20"/>
          <w:color w:val="auto"/>
        </w:rPr>
      </w:pPr>
    </w:p>
    <w:p>
      <w:pPr>
        <w:ind w:left="240"/>
        <w:spacing w:after="0"/>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1" w:lineRule="exact"/>
        <w:rPr>
          <w:sz w:val="20"/>
          <w:szCs w:val="20"/>
          <w:color w:val="auto"/>
        </w:rPr>
      </w:pPr>
    </w:p>
    <w:p>
      <w:pPr>
        <w:ind w:left="240"/>
        <w:spacing w:after="0"/>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1" w:lineRule="exact"/>
        <w:rPr>
          <w:sz w:val="20"/>
          <w:szCs w:val="20"/>
          <w:color w:val="auto"/>
        </w:rPr>
      </w:pPr>
    </w:p>
    <w:p>
      <w:pPr>
        <w:jc w:val="both"/>
        <w:ind w:left="900" w:hanging="626"/>
        <w:spacing w:after="0" w:line="28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2015, filed December XX, 2015: (i) Consolidated Balance Sheets – October 31, 2015 (unaudited) and April 30, 2015, (ii) Consolidated Statements of Operations (unaudited) – Three and Six Months Ended October 31, 2015 and 2014, (iii) Consolidated Statements of Comprehensive Loss (unaudited) – Three and Six Months Ended October 31, 2015 and 2014, (iv) Consolidated Statements of Cash Flows (unaudited) – Three and Six Months Ended October 31, 2015 and 2014, (v) Consolidated Statements of Stockholders’ Equity (unaudited) – Three and Six Months Ended October 31, 2015 and 2014 and (vi) Notes to Consolidated Financial Statements.**</w:t>
      </w:r>
    </w:p>
    <w:p>
      <w:pPr>
        <w:spacing w:after="0" w:line="3" w:lineRule="exact"/>
        <w:rPr>
          <w:rFonts w:ascii="Arial" w:cs="Arial" w:eastAsia="Arial" w:hAnsi="Arial"/>
          <w:sz w:val="16"/>
          <w:szCs w:val="16"/>
          <w:color w:val="auto"/>
        </w:rPr>
      </w:pPr>
    </w:p>
    <w:p>
      <w:pPr>
        <w:jc w:val="both"/>
        <w:ind w:left="900"/>
        <w:spacing w:after="0" w:line="251" w:lineRule="auto"/>
        <w:rPr>
          <w:rFonts w:ascii="Arial" w:cs="Arial" w:eastAsia="Arial" w:hAnsi="Arial"/>
          <w:sz w:val="16"/>
          <w:szCs w:val="16"/>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and shall not be deemed “filed” for purposes of Section 18 of the Exchange Act or otherwise subject to the liability under those sections.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94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4"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(Registrant)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Arial" w:cs="Arial" w:eastAsia="Arial" w:hAnsi="Arial"/>
                <w:sz w:val="18"/>
                <w:szCs w:val="18"/>
                <w:color w:val="auto"/>
              </w:rPr>
              <w:t>Date: December 14, 2015</w:t>
            </w:r>
          </w:p>
        </w:tc>
        <w:tc>
          <w:tcPr>
            <w:tcW w:w="200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H. Kirby III</w:t>
            </w:r>
          </w:p>
        </w:tc>
      </w:tr>
      <w:tr>
        <w:trPr>
          <w:trHeight w:val="194"/>
        </w:trPr>
        <w:tc>
          <w:tcPr>
            <w:tcW w:w="3500" w:type="dxa"/>
            <w:vAlign w:val="bottom"/>
          </w:tcPr>
          <w:p>
            <w:pPr>
              <w:spacing w:after="0"/>
              <w:rPr>
                <w:sz w:val="16"/>
                <w:szCs w:val="16"/>
                <w:color w:val="auto"/>
              </w:rPr>
            </w:pPr>
          </w:p>
        </w:tc>
        <w:tc>
          <w:tcPr>
            <w:tcW w:w="2000" w:type="dxa"/>
            <w:vAlign w:val="bottom"/>
          </w:tcPr>
          <w:p>
            <w:pPr>
              <w:ind w:left="1660"/>
              <w:spacing w:after="0" w:line="195" w:lineRule="exact"/>
              <w:rPr>
                <w:sz w:val="20"/>
                <w:szCs w:val="20"/>
                <w:color w:val="auto"/>
              </w:rPr>
            </w:pPr>
            <w:r>
              <w:rPr>
                <w:rFonts w:ascii="Arial" w:cs="Arial" w:eastAsia="Arial" w:hAnsi="Arial"/>
                <w:sz w:val="18"/>
                <w:szCs w:val="18"/>
                <w:color w:val="auto"/>
              </w:rPr>
              <w:t>By:</w:t>
            </w: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George H. Kirby III</w:t>
            </w:r>
          </w:p>
        </w:tc>
      </w:tr>
      <w:tr>
        <w:trPr>
          <w:trHeight w:val="227"/>
        </w:trPr>
        <w:tc>
          <w:tcPr>
            <w:tcW w:w="3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Arial" w:cs="Arial" w:eastAsia="Arial" w:hAnsi="Arial"/>
                <w:sz w:val="18"/>
                <w:szCs w:val="18"/>
                <w:color w:val="auto"/>
              </w:rPr>
              <w:t>Date: December 14, 2015</w:t>
            </w:r>
          </w:p>
        </w:tc>
        <w:tc>
          <w:tcPr>
            <w:tcW w:w="200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Featherstone</w:t>
            </w:r>
          </w:p>
        </w:tc>
        <w:tc>
          <w:tcPr>
            <w:tcW w:w="40" w:type="dxa"/>
            <w:vAlign w:val="bottom"/>
          </w:tcPr>
          <w:p>
            <w:pPr>
              <w:spacing w:after="0"/>
              <w:rPr>
                <w:sz w:val="19"/>
                <w:szCs w:val="19"/>
                <w:color w:val="auto"/>
              </w:rPr>
            </w:pPr>
          </w:p>
        </w:tc>
      </w:tr>
      <w:tr>
        <w:trPr>
          <w:trHeight w:val="194"/>
        </w:trPr>
        <w:tc>
          <w:tcPr>
            <w:tcW w:w="3500" w:type="dxa"/>
            <w:vAlign w:val="bottom"/>
          </w:tcPr>
          <w:p>
            <w:pPr>
              <w:spacing w:after="0"/>
              <w:rPr>
                <w:sz w:val="16"/>
                <w:szCs w:val="16"/>
                <w:color w:val="auto"/>
              </w:rPr>
            </w:pPr>
          </w:p>
        </w:tc>
        <w:tc>
          <w:tcPr>
            <w:tcW w:w="2000" w:type="dxa"/>
            <w:vAlign w:val="bottom"/>
          </w:tcPr>
          <w:p>
            <w:pPr>
              <w:ind w:left="1660"/>
              <w:spacing w:after="0" w:line="195" w:lineRule="exact"/>
              <w:rPr>
                <w:sz w:val="20"/>
                <w:szCs w:val="20"/>
                <w:color w:val="auto"/>
              </w:rPr>
            </w:pPr>
            <w:r>
              <w:rPr>
                <w:rFonts w:ascii="Arial" w:cs="Arial" w:eastAsia="Arial" w:hAnsi="Arial"/>
                <w:sz w:val="18"/>
                <w:szCs w:val="18"/>
                <w:color w:val="auto"/>
              </w:rPr>
              <w:t>By:</w:t>
            </w: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Mark A. Featherstone</w:t>
            </w:r>
          </w:p>
        </w:tc>
        <w:tc>
          <w:tcPr>
            <w:tcW w:w="40" w:type="dxa"/>
            <w:vAlign w:val="bottom"/>
          </w:tcPr>
          <w:p>
            <w:pPr>
              <w:spacing w:after="0"/>
              <w:rPr>
                <w:sz w:val="16"/>
                <w:szCs w:val="16"/>
                <w:color w:val="auto"/>
              </w:rPr>
            </w:pPr>
          </w:p>
        </w:tc>
      </w:tr>
      <w:tr>
        <w:trPr>
          <w:trHeight w:val="227"/>
        </w:trPr>
        <w:tc>
          <w:tcPr>
            <w:tcW w:w="3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9"/>
                <w:szCs w:val="19"/>
                <w:color w:val="auto"/>
              </w:rPr>
            </w:pPr>
          </w:p>
        </w:tc>
      </w:tr>
      <w:tr>
        <w:trPr>
          <w:trHeight w:val="722"/>
        </w:trPr>
        <w:tc>
          <w:tcPr>
            <w:tcW w:w="3500" w:type="dxa"/>
            <w:vAlign w:val="bottom"/>
          </w:tcPr>
          <w:p>
            <w:pPr>
              <w:spacing w:after="0"/>
              <w:rPr>
                <w:sz w:val="24"/>
                <w:szCs w:val="24"/>
                <w:color w:val="auto"/>
              </w:rPr>
            </w:pPr>
          </w:p>
        </w:tc>
        <w:tc>
          <w:tcPr>
            <w:tcW w:w="7920" w:type="dxa"/>
            <w:vAlign w:val="bottom"/>
            <w:gridSpan w:val="2"/>
          </w:tcPr>
          <w:p>
            <w:pPr>
              <w:jc w:val="right"/>
              <w:ind w:right="5531"/>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105"/>
        </w:trPr>
        <w:tc>
          <w:tcPr>
            <w:tcW w:w="35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0"/>
        </w:trPr>
        <w:tc>
          <w:tcPr>
            <w:tcW w:w="350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59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37" w:name="page38"/>
    <w:bookmarkEnd w:id="37"/>
    <w:p>
      <w:pPr>
        <w:jc w:val="center"/>
        <w:ind w:right="200"/>
        <w:spacing w:after="0"/>
        <w:rPr>
          <w:sz w:val="20"/>
          <w:szCs w:val="20"/>
          <w:color w:val="auto"/>
        </w:rPr>
      </w:pPr>
      <w:r>
        <w:rPr>
          <w:rFonts w:ascii="Arial" w:cs="Arial" w:eastAsia="Arial" w:hAnsi="Arial"/>
          <w:sz w:val="18"/>
          <w:szCs w:val="18"/>
          <w:b w:val="1"/>
          <w:bCs w:val="1"/>
          <w:color w:val="auto"/>
        </w:rPr>
        <w:t>EXHIBIT INDEX</w:t>
      </w:r>
    </w:p>
    <w:p>
      <w:pPr>
        <w:spacing w:after="0" w:line="278"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Amendment to Certificate of Incorporation of the Company, filed with the Secretary of State of the State of Delaware on October 27,</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2015 (incorporated by reference to Exhibit 3.1 to the Company’s Current Report on Form 8-K filed with the SEC on October 28, 2015)</w:t>
      </w:r>
    </w:p>
    <w:p>
      <w:pPr>
        <w:spacing w:after="0" w:line="219" w:lineRule="exact"/>
        <w:rPr>
          <w:sz w:val="20"/>
          <w:szCs w:val="20"/>
          <w:color w:val="auto"/>
        </w:rPr>
      </w:pPr>
    </w:p>
    <w:p>
      <w:pPr>
        <w:jc w:val="both"/>
        <w:ind w:left="700" w:hanging="698"/>
        <w:spacing w:after="0" w:line="259"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At the Market Offering Agreement, dated as of October 19, 2015, by and between Ocean Power Technologies, Inc. and Rodman &amp; Renshaw, a unit of H.C. Wainwright &amp; Co., LLC (incorporated by reference to Exhibit 10.1 to the Company’s Current Report on Form 8-K filed with the SEC on October 19, 2015)</w:t>
      </w:r>
    </w:p>
    <w:p>
      <w:pPr>
        <w:spacing w:after="0" w:line="185" w:lineRule="exact"/>
        <w:rPr>
          <w:sz w:val="20"/>
          <w:szCs w:val="20"/>
          <w:color w:val="auto"/>
        </w:rPr>
      </w:pPr>
    </w:p>
    <w:p>
      <w:pPr>
        <w:jc w:val="both"/>
        <w:ind w:left="700" w:hanging="698"/>
        <w:spacing w:after="0" w:line="270"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Ocean Power Technologies, Inc. 2015 Omnibus Incentive Plan (incorporated by reference to Exhibit 10.1 to the Company’s registration statement on Form S-8 filed with the SEC on December 14, 2015)</w:t>
      </w:r>
    </w:p>
    <w:p>
      <w:pPr>
        <w:spacing w:after="0" w:line="1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1" w:lineRule="exact"/>
        <w:rPr>
          <w:sz w:val="20"/>
          <w:szCs w:val="20"/>
          <w:color w:val="auto"/>
        </w:rPr>
      </w:pPr>
    </w:p>
    <w:p>
      <w:pPr>
        <w:jc w:val="both"/>
        <w:ind w:left="700" w:hanging="659"/>
        <w:spacing w:after="0" w:line="29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2015, filed December XX, 2015: (i) Consolidated Balance Sheets – October 31, 2015 (unaudited) and April 30, 2015, (ii) Consolidated Statements of Operations (unaudited) – Three and Six Months Ended October 31, 2015 and 2014, (iii) Consolidated Statements of Comprehensive Loss (unaudited) – Three and Six Months Ended October 31, 2015 and 2014, (iv) Consolidated Statements of Cash Flows (unaudited) – Three and Six Months Ended October 31, 2015 and 2014, (v) Consolidated Statements of Stockholders’ Equity (unaudited) – Three and Six Months Ended October 31, 2015 and 2014 and (vi) Notes to Consolidated Financial Statements.**</w:t>
      </w:r>
    </w:p>
    <w:p>
      <w:pPr>
        <w:spacing w:after="0" w:line="163" w:lineRule="exact"/>
        <w:rPr>
          <w:rFonts w:ascii="Arial" w:cs="Arial" w:eastAsia="Arial" w:hAnsi="Arial"/>
          <w:sz w:val="16"/>
          <w:szCs w:val="16"/>
          <w:color w:val="auto"/>
        </w:rPr>
      </w:pPr>
    </w:p>
    <w:p>
      <w:pPr>
        <w:jc w:val="both"/>
        <w:ind w:left="700"/>
        <w:spacing w:after="0" w:line="259" w:lineRule="auto"/>
        <w:rPr>
          <w:rFonts w:ascii="Arial" w:cs="Arial" w:eastAsia="Arial" w:hAnsi="Arial"/>
          <w:sz w:val="16"/>
          <w:szCs w:val="16"/>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and shall not be deemed “filed” for purposes of Section 18 of the Exchange Act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00"/>
          </w:cols>
          <w:pgMar w:left="460" w:top="57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21" w:lineRule="exact"/>
        <w:rPr>
          <w:sz w:val="20"/>
          <w:szCs w:val="20"/>
          <w:color w:val="auto"/>
        </w:rPr>
      </w:pPr>
    </w:p>
    <w:p>
      <w:pPr>
        <w:ind w:left="480" w:hanging="47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0" w:lineRule="exact"/>
        <w:rPr>
          <w:rFonts w:ascii="Arial" w:cs="Arial" w:eastAsia="Arial" w:hAnsi="Arial"/>
          <w:sz w:val="18"/>
          <w:szCs w:val="18"/>
          <w:color w:val="auto"/>
        </w:rPr>
      </w:pPr>
    </w:p>
    <w:p>
      <w:pPr>
        <w:ind w:left="480" w:hanging="473"/>
        <w:spacing w:after="0" w:line="334"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480" w:hanging="473"/>
        <w:spacing w:after="0" w:line="270"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80" w:hanging="473"/>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sz w:val="20"/>
          <w:szCs w:val="20"/>
          <w:color w:val="auto"/>
        </w:rPr>
      </w:pPr>
    </w:p>
    <w:p>
      <w:pPr>
        <w:jc w:val="both"/>
        <w:ind w:left="480" w:hanging="473"/>
        <w:spacing w:after="0" w:line="2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480" w:hanging="473"/>
        <w:spacing w:after="0" w:line="2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480" w:hanging="473"/>
        <w:spacing w:after="0" w:line="270"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480" w:hanging="473"/>
        <w:spacing w:after="0" w:line="25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left="480" w:hanging="473"/>
        <w:spacing w:after="0" w:line="300"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3" w:lineRule="exact"/>
        <w:rPr>
          <w:sz w:val="20"/>
          <w:szCs w:val="20"/>
          <w:color w:val="auto"/>
        </w:rPr>
      </w:pPr>
    </w:p>
    <w:p>
      <w:pPr>
        <w:ind w:left="480" w:right="100" w:hanging="473"/>
        <w:spacing w:after="0" w:line="27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480" w:right="360" w:hanging="473"/>
        <w:spacing w:after="0" w:line="270"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Date: December 14, 2015</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H. Kirby III</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-130175</wp:posOffset>
            </wp:positionV>
            <wp:extent cx="2317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1711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1" w:lineRule="exact"/>
        <w:rPr>
          <w:sz w:val="20"/>
          <w:szCs w:val="20"/>
          <w:color w:val="auto"/>
        </w:rPr>
      </w:pPr>
    </w:p>
    <w:p>
      <w:pPr>
        <w:ind w:left="340" w:hanging="33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0" w:lineRule="exact"/>
        <w:rPr>
          <w:rFonts w:ascii="Arial" w:cs="Arial" w:eastAsia="Arial" w:hAnsi="Arial"/>
          <w:sz w:val="18"/>
          <w:szCs w:val="18"/>
          <w:color w:val="auto"/>
        </w:rPr>
      </w:pPr>
    </w:p>
    <w:p>
      <w:pPr>
        <w:ind w:left="340" w:hanging="333"/>
        <w:spacing w:after="0" w:line="33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left="340" w:hanging="333"/>
        <w:spacing w:after="0" w:line="27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340" w:hanging="333"/>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sz w:val="20"/>
          <w:szCs w:val="20"/>
          <w:color w:val="auto"/>
        </w:rPr>
      </w:pPr>
    </w:p>
    <w:p>
      <w:pPr>
        <w:jc w:val="both"/>
        <w:ind w:left="340" w:hanging="333"/>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jc w:val="both"/>
        <w:ind w:left="340" w:hanging="333"/>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340" w:hanging="333"/>
        <w:spacing w:after="0" w:line="27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340" w:hanging="333"/>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sz w:val="20"/>
          <w:szCs w:val="20"/>
          <w:color w:val="auto"/>
        </w:rPr>
      </w:pPr>
    </w:p>
    <w:p>
      <w:pPr>
        <w:ind w:left="340" w:hanging="333"/>
        <w:spacing w:after="0" w:line="300"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3" w:lineRule="exact"/>
        <w:rPr>
          <w:sz w:val="20"/>
          <w:szCs w:val="20"/>
          <w:color w:val="auto"/>
        </w:rPr>
      </w:pPr>
    </w:p>
    <w:p>
      <w:pPr>
        <w:ind w:left="340" w:right="240" w:hanging="333"/>
        <w:spacing w:after="0" w:line="27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340" w:right="500" w:hanging="333"/>
        <w:spacing w:after="0" w:line="27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2015</w:t>
      </w:r>
    </w:p>
    <w:p>
      <w:pPr>
        <w:spacing w:after="0" w:line="22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Mark A. Featherstone</w:t>
      </w:r>
    </w:p>
    <w:p>
      <w:pPr>
        <w:spacing w:after="0" w:line="2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-130175</wp:posOffset>
            </wp:positionV>
            <wp:extent cx="3810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1063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2015,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90"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0" w:lineRule="exact"/>
        <w:rPr>
          <w:rFonts w:ascii="Arial" w:cs="Arial" w:eastAsia="Arial" w:hAnsi="Arial"/>
          <w:sz w:val="18"/>
          <w:szCs w:val="18"/>
          <w:color w:val="auto"/>
        </w:rPr>
      </w:pPr>
    </w:p>
    <w:p>
      <w:pPr>
        <w:ind w:left="340" w:hanging="333"/>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December 14, 2015</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George H. Kirby III</w:t>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-130175</wp:posOffset>
            </wp:positionV>
            <wp:extent cx="24949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32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2015,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90" w:lineRule="exact"/>
        <w:rPr>
          <w:sz w:val="20"/>
          <w:szCs w:val="20"/>
          <w:color w:val="auto"/>
        </w:rPr>
      </w:pPr>
    </w:p>
    <w:p>
      <w:pPr>
        <w:ind w:left="360" w:hanging="353"/>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0" w:lineRule="exact"/>
        <w:rPr>
          <w:rFonts w:ascii="Arial" w:cs="Arial" w:eastAsia="Arial" w:hAnsi="Arial"/>
          <w:sz w:val="18"/>
          <w:szCs w:val="18"/>
          <w:color w:val="auto"/>
        </w:rPr>
      </w:pPr>
    </w:p>
    <w:p>
      <w:pPr>
        <w:ind w:left="360" w:right="720" w:hanging="353"/>
        <w:spacing w:after="0" w:line="565"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14, 2015</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Mark A. Featherstone</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-130175</wp:posOffset>
            </wp:positionV>
            <wp:extent cx="3691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32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01"/>
    </w:lvl>
    <w:lvl w:ilvl="1">
      <w:lvlJc w:val="left"/>
      <w:lvlText w:val="*"/>
      <w:numFmt w:val="bullet"/>
      <w:start w:val="1"/>
    </w:lvl>
  </w:abstractNum>
  <w:abstractNum w:abstractNumId="5">
    <w:nsid w:val="1F16E9E8"/>
    <w:multiLevelType w:val="hybridMultilevel"/>
    <w:lvl w:ilvl="0">
      <w:lvlJc w:val="left"/>
      <w:lvlText w:val="%1"/>
      <w:numFmt w:val="decimal"/>
      <w:start w:val="101"/>
    </w:lvl>
    <w:lvl w:ilvl="1">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2019-12-08T17:24:12Z</dcterms:created>
  <dcterms:modified xsi:type="dcterms:W3CDTF">2019-12-08T17:24:12Z</dcterms:modified>
</cp:coreProperties>
</file>