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0" w:right="1300" w:hanging="3593"/>
        <w:spacing w:after="0" w:line="501" w:lineRule="auto"/>
        <w:tabs>
          <w:tab w:leader="none" w:pos="9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2019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153"/>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3360"/>
        <w:spacing w:after="0"/>
        <w:rPr>
          <w:rFonts w:ascii="Arial" w:cs="Arial" w:eastAsia="Arial" w:hAnsi="Arial"/>
          <w:sz w:val="18"/>
          <w:szCs w:val="18"/>
          <w:color w:val="auto"/>
        </w:rPr>
      </w:pPr>
      <w:r>
        <w:rPr>
          <w:rFonts w:ascii="Arial" w:cs="Arial" w:eastAsia="Arial" w:hAnsi="Arial"/>
          <w:sz w:val="18"/>
          <w:szCs w:val="18"/>
          <w:b w:val="1"/>
          <w:bCs w:val="1"/>
          <w:color w:val="auto"/>
        </w:rPr>
        <w:t>For the Transition Period From ___________ to ___________</w:t>
      </w:r>
    </w:p>
    <w:p>
      <w:pPr>
        <w:spacing w:after="0" w:line="225"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OCEAN POWER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2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20" w:type="dxa"/>
            <w:vAlign w:val="bottom"/>
          </w:tcPr>
          <w:p>
            <w:pPr>
              <w:jc w:val="right"/>
              <w:ind w:right="130"/>
              <w:spacing w:after="0"/>
              <w:rPr>
                <w:sz w:val="20"/>
                <w:szCs w:val="20"/>
                <w:color w:val="auto"/>
              </w:rPr>
            </w:pPr>
            <w:r>
              <w:rPr>
                <w:rFonts w:ascii="Arial" w:cs="Arial" w:eastAsia="Arial" w:hAnsi="Arial"/>
                <w:sz w:val="18"/>
                <w:szCs w:val="18"/>
                <w:b w:val="1"/>
                <w:bCs w:val="1"/>
                <w:color w:val="auto"/>
              </w:rPr>
              <w:t>22-2535818</w:t>
            </w:r>
          </w:p>
        </w:tc>
      </w:tr>
      <w:tr>
        <w:trPr>
          <w:trHeight w:val="216"/>
        </w:trPr>
        <w:tc>
          <w:tcPr>
            <w:tcW w:w="4280" w:type="dxa"/>
            <w:vAlign w:val="bottom"/>
          </w:tcPr>
          <w:p>
            <w:pPr>
              <w:jc w:val="center"/>
              <w:ind w:right="1970"/>
              <w:spacing w:after="0"/>
              <w:rPr>
                <w:sz w:val="20"/>
                <w:szCs w:val="20"/>
                <w:color w:val="auto"/>
              </w:rPr>
            </w:pPr>
            <w:r>
              <w:rPr>
                <w:rFonts w:ascii="Arial" w:cs="Arial" w:eastAsia="Arial" w:hAnsi="Arial"/>
                <w:sz w:val="18"/>
                <w:szCs w:val="18"/>
                <w:i w:val="1"/>
                <w:iCs w:val="1"/>
                <w:color w:val="auto"/>
                <w:w w:val="93"/>
              </w:rPr>
              <w:t>(State or Other Jurisdiction of</w:t>
            </w:r>
          </w:p>
        </w:tc>
        <w:tc>
          <w:tcPr>
            <w:tcW w:w="3320" w:type="dxa"/>
            <w:vAlign w:val="bottom"/>
          </w:tcPr>
          <w:p>
            <w:pPr>
              <w:jc w:val="center"/>
              <w:ind w:left="18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2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4"/>
              </w:rPr>
              <w:t>Incorporation or Organization)</w:t>
            </w:r>
          </w:p>
        </w:tc>
        <w:tc>
          <w:tcPr>
            <w:tcW w:w="3320" w:type="dxa"/>
            <w:vAlign w:val="bottom"/>
          </w:tcPr>
          <w:p>
            <w:pPr>
              <w:jc w:val="center"/>
              <w:ind w:left="191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7" w:right="239" w:bottom="1440" w:gutter="0" w:footer="0" w:header="0"/>
        </w:sectPr>
      </w:pPr>
    </w:p>
    <w:p>
      <w:pPr>
        <w:spacing w:after="0" w:line="181" w:lineRule="exact"/>
        <w:rPr>
          <w:sz w:val="24"/>
          <w:szCs w:val="24"/>
          <w:color w:val="auto"/>
        </w:rPr>
      </w:pPr>
    </w:p>
    <w:p>
      <w:pPr>
        <w:ind w:left="50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80" w:lineRule="exact"/>
        <w:rPr>
          <w:sz w:val="24"/>
          <w:szCs w:val="24"/>
          <w:color w:val="auto"/>
        </w:rPr>
      </w:pPr>
    </w:p>
    <w:p>
      <w:pPr>
        <w:sectPr>
          <w:pgSz w:w="11900" w:h="16838" w:orient="portrait"/>
          <w:cols w:equalWidth="0" w:num="4">
            <w:col w:w="2700" w:space="720"/>
            <w:col w:w="1460" w:space="600"/>
            <w:col w:w="2580" w:space="640"/>
            <w:col w:w="2720"/>
          </w:cols>
          <w:pgMar w:left="240" w:top="74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440" w:gutter="0" w:footer="0" w:header="0"/>
          <w:type w:val="continuous"/>
        </w:sect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March 5, 2019, the number of outstanding shares of common stock of the registrant was 22,726,006.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41"/>
        </w:trPr>
        <w:tc>
          <w:tcPr>
            <w:tcW w:w="20" w:type="dxa"/>
            <w:vAlign w:val="bottom"/>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6"/>
        </w:trPr>
        <w:tc>
          <w:tcPr>
            <w:tcW w:w="20" w:type="dxa"/>
            <w:vAlign w:val="bottom"/>
          </w:tcPr>
          <w:p>
            <w:pPr>
              <w:spacing w:after="0"/>
              <w:rPr>
                <w:sz w:val="17"/>
                <w:szCs w:val="17"/>
                <w:color w:val="auto"/>
              </w:rPr>
            </w:pPr>
          </w:p>
        </w:tc>
        <w:tc>
          <w:tcPr>
            <w:tcW w:w="3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5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3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January 31, 2019 (unaudited) and April 30, 2018</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months and nine months ended January 31, 2019 and 2018</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Comprehensive Loss for the three and nine months ended January 31, 2019 and 2018</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9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 of Stockholders’ Equity for the nine months ended January 31, 2019</w:t>
              </w:r>
            </w:hyperlink>
          </w:p>
        </w:tc>
        <w:tc>
          <w:tcPr>
            <w:tcW w:w="12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 for the nine months ended January 31, 2019 and 2018</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266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2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340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Item 4. Controls and Procedures</w:t>
              </w:r>
            </w:hyperlink>
          </w:p>
        </w:tc>
        <w:tc>
          <w:tcPr>
            <w:tcW w:w="80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176"/>
        </w:trPr>
        <w:tc>
          <w:tcPr>
            <w:tcW w:w="20" w:type="dxa"/>
            <w:vAlign w:val="bottom"/>
          </w:tcPr>
          <w:p>
            <w:pPr>
              <w:spacing w:after="0"/>
              <w:rPr>
                <w:sz w:val="15"/>
                <w:szCs w:val="15"/>
                <w:color w:val="auto"/>
              </w:rPr>
            </w:pPr>
          </w:p>
        </w:tc>
        <w:tc>
          <w:tcPr>
            <w:tcW w:w="10760" w:type="dxa"/>
            <w:vAlign w:val="bottom"/>
            <w:gridSpan w:val="20"/>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 OTHER INFORMATION</w:t>
              </w:r>
            </w:hyperlink>
          </w:p>
        </w:tc>
        <w:tc>
          <w:tcPr>
            <w:tcW w:w="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1. Legal Proceedings</w:t>
              </w:r>
            </w:hyperlink>
          </w:p>
        </w:tc>
        <w:tc>
          <w:tcPr>
            <w:tcW w:w="85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3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2. Unregistered Sales of Equity Securities and Use of Proceeds</w:t>
              </w:r>
            </w:hyperlink>
          </w:p>
        </w:tc>
        <w:tc>
          <w:tcPr>
            <w:tcW w:w="550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34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3. Defaults Upon Senior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4. Mine Safety Disclosures</w:t>
              </w:r>
            </w:hyperlink>
          </w:p>
        </w:tc>
        <w:tc>
          <w:tcPr>
            <w:tcW w:w="80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34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5. 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shd w:val="clear" w:color="auto" w:fill="CCEEFF"/>
          </w:tcPr>
          <w:p>
            <w:pPr>
              <w:ind w:left="3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6. 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560" w:hanging="647"/>
        <w:spacing w:after="0" w:line="277"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560" w:hanging="647"/>
        <w:spacing w:after="0" w:line="277"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such as a hybrid PowerBuoy® or subsea battery solutions;</w:t>
      </w:r>
    </w:p>
    <w:p>
      <w:pPr>
        <w:spacing w:after="0" w:line="225" w:lineRule="exact"/>
        <w:rPr>
          <w:rFonts w:ascii="Arial" w:cs="Arial" w:eastAsia="Arial" w:hAnsi="Arial"/>
          <w:sz w:val="18"/>
          <w:szCs w:val="18"/>
          <w:color w:val="auto"/>
        </w:rPr>
      </w:pPr>
    </w:p>
    <w:p>
      <w:pPr>
        <w:ind w:left="1560" w:hanging="647"/>
        <w:spacing w:after="0" w:line="277"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power output, survivability and reliability of our PowerBuoys®;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relationships with our strategic partners may not be successful and we may not be successful in establishing additional relationships;</w:t>
      </w:r>
    </w:p>
    <w:p>
      <w:pPr>
        <w:spacing w:after="0" w:line="248" w:lineRule="exact"/>
        <w:rPr>
          <w:rFonts w:ascii="Arial" w:cs="Arial" w:eastAsia="Arial" w:hAnsi="Arial"/>
          <w:sz w:val="16"/>
          <w:szCs w:val="16"/>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2018,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248"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jc w:val="center"/>
              <w:ind w:left="3750"/>
              <w:spacing w:after="0"/>
              <w:rPr>
                <w:sz w:val="20"/>
                <w:szCs w:val="20"/>
                <w:color w:val="auto"/>
              </w:rPr>
            </w:pPr>
            <w:r>
              <w:rPr>
                <w:rFonts w:ascii="Arial" w:cs="Arial" w:eastAsia="Arial" w:hAnsi="Arial"/>
                <w:sz w:val="18"/>
                <w:szCs w:val="18"/>
                <w:b w:val="1"/>
                <w:bCs w:val="1"/>
                <w:color w:val="auto"/>
              </w:rPr>
              <w:t>PART I — FINANCIAL INFORMATION</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00" w:type="dxa"/>
            <w:vAlign w:val="bottom"/>
            <w:gridSpan w:val="2"/>
          </w:tcPr>
          <w:p>
            <w:pPr>
              <w:jc w:val="center"/>
              <w:ind w:left="375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jc w:val="center"/>
              <w:ind w:left="403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jc w:val="center"/>
              <w:ind w:left="4030"/>
              <w:spacing w:after="0"/>
              <w:rPr>
                <w:sz w:val="20"/>
                <w:szCs w:val="20"/>
                <w:color w:val="auto"/>
              </w:rPr>
            </w:pPr>
            <w:r>
              <w:rPr>
                <w:rFonts w:ascii="Arial" w:cs="Arial" w:eastAsia="Arial" w:hAnsi="Arial"/>
                <w:sz w:val="18"/>
                <w:szCs w:val="18"/>
                <w:b w:val="1"/>
                <w:bCs w:val="1"/>
                <w:color w:val="auto"/>
                <w:w w:val="88"/>
              </w:rPr>
              <w:t>(in thousands, except share data)</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January 31, 2019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April 30, 2018</w:t>
            </w:r>
          </w:p>
        </w:tc>
      </w:tr>
      <w:tr>
        <w:trPr>
          <w:trHeight w:val="216"/>
        </w:trPr>
        <w:tc>
          <w:tcPr>
            <w:tcW w:w="7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2,220</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receivable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1,066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57"/>
        </w:trPr>
        <w:tc>
          <w:tcPr>
            <w:tcW w:w="73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320" w:type="dxa"/>
            <w:vAlign w:val="bottom"/>
            <w:shd w:val="clear" w:color="auto" w:fill="CCEEFF"/>
          </w:tcPr>
          <w:p>
            <w:pPr>
              <w:ind w:left="1700"/>
              <w:spacing w:after="0" w:line="196"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2,533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2,261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Deferred credits payable current</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6"/>
        </w:trPr>
        <w:tc>
          <w:tcPr>
            <w:tcW w:w="7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w w:val="97"/>
              </w:rPr>
              <w:t>Preferred stock, $0.001 par value; authorized 5,000,000 shares, none issued or outstanding</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$0.001 par value; authorized 100,000,000 shares, issued 20,390,109 and</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18,424,939 shares, respectively</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Treasury stock, at cost; 75,782 and 74,012 shares, respectively</w:t>
            </w:r>
          </w:p>
        </w:tc>
        <w:tc>
          <w:tcPr>
            <w:tcW w:w="2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209,173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208,216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(207,279)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(197,538)</w:t>
            </w: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73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10,236</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Three months ended January 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Nine months ended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profit/(loss)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Engineering and product development costs</w:t>
            </w: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1,382</w:t>
            </w: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3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3,390</w:t>
            </w:r>
          </w:p>
        </w:tc>
        <w:tc>
          <w:tcPr>
            <w:tcW w:w="2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10,014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due to the change in fair value of warrant</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28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2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(0.52</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4"/>
              </w:rPr>
              <w:t>Weighted average shares used to compute basic and</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loss per share</w:t>
            </w: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19,185,741</w:t>
            </w:r>
          </w:p>
        </w:tc>
        <w:tc>
          <w:tcPr>
            <w:tcW w:w="3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18,150,494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18,621,033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14,441,383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left="390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6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 January 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Nine months ended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w w:val="89"/>
              </w:rPr>
              <w:t>Common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6"/>
            <w:vMerge w:val="restart"/>
          </w:tcPr>
          <w:p>
            <w:pPr>
              <w:jc w:val="right"/>
              <w:ind w:right="159"/>
              <w:spacing w:after="0"/>
              <w:rPr>
                <w:sz w:val="20"/>
                <w:szCs w:val="20"/>
                <w:color w:val="auto"/>
              </w:rPr>
            </w:pPr>
            <w:r>
              <w:rPr>
                <w:rFonts w:ascii="Arial" w:cs="Arial" w:eastAsia="Arial" w:hAnsi="Arial"/>
                <w:sz w:val="16"/>
                <w:szCs w:val="16"/>
                <w:b w:val="1"/>
                <w:bCs w:val="1"/>
                <w:color w:val="auto"/>
                <w:w w:val="98"/>
              </w:rPr>
              <w:t>Treasury Shares</w:t>
            </w:r>
          </w:p>
        </w:tc>
        <w:tc>
          <w:tcPr>
            <w:tcW w:w="900" w:type="dxa"/>
            <w:vAlign w:val="bottom"/>
            <w:gridSpan w:val="4"/>
          </w:tcPr>
          <w:p>
            <w:pPr>
              <w:ind w:left="8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Paid-In</w:t>
            </w:r>
          </w:p>
        </w:tc>
        <w:tc>
          <w:tcPr>
            <w:tcW w:w="11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340" w:type="dxa"/>
            <w:vAlign w:val="bottom"/>
            <w:gridSpan w:val="4"/>
          </w:tcPr>
          <w:p>
            <w:pPr>
              <w:ind w:left="80"/>
              <w:spacing w:after="0"/>
              <w:rPr>
                <w:sz w:val="20"/>
                <w:szCs w:val="20"/>
                <w:color w:val="auto"/>
              </w:rPr>
            </w:pPr>
            <w:r>
              <w:rPr>
                <w:rFonts w:ascii="Arial" w:cs="Arial" w:eastAsia="Arial" w:hAnsi="Arial"/>
                <w:sz w:val="16"/>
                <w:szCs w:val="16"/>
                <w:b w:val="1"/>
                <w:bCs w:val="1"/>
                <w:color w:val="auto"/>
              </w:rPr>
              <w:t>Comprehensive</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Shares</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w w:val="97"/>
              </w:rPr>
              <w:t>Shares</w:t>
            </w:r>
          </w:p>
        </w:tc>
        <w:tc>
          <w:tcPr>
            <w:tcW w:w="64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Balances, April 30, 2018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18,424,939</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(74,012)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208,216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(197,538)</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6"/>
                <w:szCs w:val="16"/>
                <w:color w:val="auto"/>
              </w:rPr>
              <w:t>(9,741)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Stock based compensation</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Issuance of restricted stock, net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(82,939)</w:t>
            </w:r>
          </w:p>
        </w:tc>
        <w:tc>
          <w:tcPr>
            <w:tcW w:w="3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Sale of stock, net of financing costs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1,619,538</w:t>
            </w:r>
          </w:p>
        </w:tc>
        <w:tc>
          <w:tcPr>
            <w:tcW w:w="3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Common stock issued for commitment fee</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428,571</w:t>
            </w:r>
          </w:p>
        </w:tc>
        <w:tc>
          <w:tcPr>
            <w:tcW w:w="3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treasury stock</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7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Balances, January 31, 2019</w:t>
            </w: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20,390,109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(75,782</w:t>
            </w: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40" w:type="dxa"/>
            <w:vAlign w:val="bottom"/>
            <w:vMerge w:val="continue"/>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209,173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(207,279</w:t>
            </w:r>
          </w:p>
        </w:tc>
        <w:tc>
          <w:tcPr>
            <w:tcW w:w="120" w:type="dxa"/>
            <w:vAlign w:val="bottom"/>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ind w:left="3880"/>
              <w:spacing w:after="0"/>
              <w:rPr>
                <w:sz w:val="20"/>
                <w:szCs w:val="20"/>
                <w:color w:val="auto"/>
              </w:rPr>
            </w:pPr>
            <w:r>
              <w:rPr>
                <w:rFonts w:ascii="Arial" w:cs="Arial" w:eastAsia="Arial" w:hAnsi="Arial"/>
                <w:sz w:val="18"/>
                <w:szCs w:val="18"/>
                <w:b w:val="1"/>
                <w:bCs w:val="1"/>
                <w:color w:val="auto"/>
                <w:w w:val="90"/>
              </w:rPr>
              <w:t>Ocean Power Technologies, Inc. and Subsidiaries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jc w:val="center"/>
              <w:ind w:left="3550"/>
              <w:spacing w:after="0"/>
              <w:rPr>
                <w:sz w:val="20"/>
                <w:szCs w:val="20"/>
                <w:color w:val="auto"/>
              </w:rPr>
            </w:pPr>
            <w:r>
              <w:rPr>
                <w:rFonts w:ascii="Arial" w:cs="Arial" w:eastAsia="Arial" w:hAnsi="Arial"/>
                <w:sz w:val="18"/>
                <w:szCs w:val="18"/>
                <w:b w:val="1"/>
                <w:bCs w:val="1"/>
                <w:color w:val="auto"/>
                <w:w w:val="88"/>
              </w:rPr>
              <w:t>Unaudited Consolidated Statements of Cash Flows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jc w:val="center"/>
              <w:ind w:left="3530"/>
              <w:spacing w:after="0"/>
              <w:rPr>
                <w:sz w:val="20"/>
                <w:szCs w:val="20"/>
                <w:color w:val="auto"/>
              </w:rPr>
            </w:pPr>
            <w:r>
              <w:rPr>
                <w:rFonts w:ascii="Arial" w:cs="Arial" w:eastAsia="Arial" w:hAnsi="Arial"/>
                <w:sz w:val="18"/>
                <w:szCs w:val="18"/>
                <w:b w:val="1"/>
                <w:bCs w:val="1"/>
                <w:color w:val="auto"/>
                <w:w w:val="88"/>
              </w:rPr>
              <w:t>(in thousands)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jc w:val="center"/>
              <w:ind w:left="3530"/>
              <w:spacing w:after="0"/>
              <w:rPr>
                <w:sz w:val="20"/>
                <w:szCs w:val="20"/>
                <w:color w:val="auto"/>
              </w:rPr>
            </w:pPr>
            <w:r>
              <w:rPr>
                <w:rFonts w:ascii="Arial" w:cs="Arial" w:eastAsia="Arial" w:hAnsi="Arial"/>
                <w:sz w:val="18"/>
                <w:szCs w:val="18"/>
                <w:b w:val="1"/>
                <w:bCs w:val="1"/>
                <w:color w:val="auto"/>
                <w:w w:val="93"/>
              </w:rPr>
              <w:t>(Unaudited)</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 January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(9,741)</w:t>
            </w:r>
          </w:p>
        </w:tc>
        <w:tc>
          <w:tcPr>
            <w:tcW w:w="120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Foreign exchange loss/(gain)</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Gain due to the change in fair value of warrant liabilities</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Unbilled receivables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Contract assets</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Deferred rent</w:t>
            </w:r>
          </w:p>
        </w:tc>
        <w:tc>
          <w:tcPr>
            <w:tcW w:w="10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credit payable</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Unearned revenue</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Contract liabilities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used in operating activities</w:t>
            </w:r>
          </w:p>
        </w:tc>
        <w:tc>
          <w:tcPr>
            <w:tcW w:w="1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(9,850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(8,177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Leasehold improvements and purchase of equipment</w:t>
            </w:r>
          </w:p>
        </w:tc>
        <w:tc>
          <w:tcPr>
            <w:tcW w:w="10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costs</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 of capital lease obligations</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14,584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700"/>
              <w:spacing w:after="0" w:line="203" w:lineRule="exact"/>
              <w:rPr>
                <w:sz w:val="20"/>
                <w:szCs w:val="20"/>
                <w:color w:val="auto"/>
              </w:rPr>
            </w:pPr>
            <w:r>
              <w:rPr>
                <w:rFonts w:ascii="Arial" w:cs="Arial" w:eastAsia="Arial" w:hAnsi="Arial"/>
                <w:sz w:val="18"/>
                <w:szCs w:val="18"/>
                <w:color w:val="auto"/>
              </w:rPr>
              <w:t>Net (decrease)/increase in cash, cash equivalents and restricted cash</w:t>
            </w:r>
          </w:p>
        </w:tc>
        <w:tc>
          <w:tcPr>
            <w:tcW w:w="10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4"/>
              </w:rPr>
              <w:t>(9,497)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5,996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12,225</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7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4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14,905</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040" w:type="dxa"/>
            <w:vAlign w:val="bottom"/>
            <w:shd w:val="clear" w:color="auto" w:fill="CCEEFF"/>
          </w:tcPr>
          <w:p>
            <w:pPr>
              <w:jc w:val="right"/>
              <w:ind w:right="881"/>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right"/>
              <w:ind w:right="88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Acquisition of leasehold improvements and equipment through accounts payable</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leasehold improvements and equipment through accrued expenses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Common stock issued for payment of commitment fee</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20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ind w:left="38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relating to our technology. Today our goal is to generate the majority our revenue from the sale or lease of products, and sales of services to support our business operations. As we continue to develop and commercialize our products and services, we expect to have a net loss of cash from operating activities unless and until we achieve positive cash flow from the commercialization of products and services.</w:t>
      </w:r>
    </w:p>
    <w:p>
      <w:pPr>
        <w:spacing w:after="0" w:line="16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2018 filed with the Securities and Exchange Commission (“SEC”) and elsewhere in this Form 10-Q.</w:t>
      </w:r>
    </w:p>
    <w:p>
      <w:pPr>
        <w:spacing w:after="0" w:line="189"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Liquidity/Going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consolidated financial statements have been prepared assuming the Company will continue as a going concern. The Company has experienced substantial and recurring losses from operations, which have contributed to an accumulated deficit of $207.3 million as of January 31, 2019. As of January 31, 2019, the Company had approximately $2.7 million in cash, cash equivalents, and restricted cash on hand. The Company generated revenues of $0.4 and $0.3 million during each of the nine months ended January 31, 2019 and 2018. Based on the Company’s cash, cash equivalents and restricted cash balances as of January 31, 2019, the Company believes that it will be able to finance its capital requirements and operations into the quarter ending April 30, 2019. In August 2018, the Company entered into a common stock purchase agreement with Aspire Capital Fund, LLC. As of January 31, 2019, the Company has sold 800,000 shares of common stock with an aggregate market value of $301,000 at an average price of $0.38 per share pursuant to this common stock purchase agreement. In January 2019, the Company entered into an At the Market Offering Agreement with A.G.P./Alliance Global Partners. Under the 2019 ATM Facility, during the month of January 2019, the Company issued and sold 819,538 shares of its common stock with an aggregate market value of $273,735 at an average price of $0.33 per share and paid AGP a sales commission of approximately $8,900 related to those shares. Among other things, the Company is currently evaluating a variety of different financing alternatives and we expect to continue to fund our business with sales of our securities and through generating revenue with customers. The Company will require additional equity and/or debt financing to continue its operations into Fiscal Year 2020.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a public offering of the Company’s equity or debt securities; partnerships and/or collaborations. There can be no assurance that any of these future-funding efforts will be successful.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7"/>
          <w:szCs w:val="17"/>
          <w:color w:val="auto"/>
        </w:rPr>
        <w:t>In fiscal 2018 and during the nine months ended January 31, 2019,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and new products that it may develop,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currently has committed sources of equity financing through its common stock purchase agreement with Aspire Capital and At the Market Offering Agreement with Alliance Global Partners (discussed further below), but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In consideration for entering into the agreement, the Company issued to Aspire Capital 428,571 shares of our common stock as a commitment fee. As of January 31, 2019, the Company has sold 800,000 shares of common stock with an aggregate market value of $301,000 at an average price of $0.38 per share pursuant to this common stock purchase agreement.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2019, the Company entered into an At the Market Offering Agreement (“2019 ATM Facility”) with A.G.P./Alliance Global Partners (“AGP”), under which the Company may issue and sell to or through A.G.P./Alliance Global Partners, acting as agent and/or principal, shares of the Company’s common stock having an aggregate offering price of up to $25 million. Under the 2019 ATM Facility, during the month of January 2019, the Company issued and sold 819,538 shares of its common stock with an aggregate market value of $273,735 at an average price of $0.33 per share and paid AGP a sales commission of approximately $8,900 related to those shares.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2018,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this grace period.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spacing w:after="0" w:line="291" w:lineRule="auto"/>
        <w:rPr>
          <w:sz w:val="20"/>
          <w:szCs w:val="20"/>
          <w:color w:val="auto"/>
        </w:rPr>
      </w:pPr>
      <w:r>
        <w:rPr>
          <w:rFonts w:ascii="Arial" w:cs="Arial" w:eastAsia="Arial" w:hAnsi="Arial"/>
          <w:sz w:val="16"/>
          <w:szCs w:val="16"/>
          <w:color w:val="auto"/>
        </w:rPr>
        <w:t>On February 11, 2019, the Company received another written notice from the Listing Qualifications department of NASDAQ notifying the Company that it had not regained compliance with the minimum bid price requirement and that the Company’s stockholders’ equity as reported in the Company’s Quarterly Report on Form 10-Q for the quarter ended October 31, 2018 does not qualify the Company for an additional 180 calendar day extension period for compliance. On February 19, 2019, the Company submitted a letter to appeal the determination to a Hearings Panel (the “Panel”), pursuant to the procedures set forth in the NASDAQ Listing Rule 5800 Series. Such hearing request will stay the suspension of the Company’s securities pending the Panel’s decision, during which time the Company’s common stock will continue to be listed on NASDAQ, and the Company’s common stock will continue to trade under the symbol “OPTT”. The Company’s receipt of the notice does not affect the Company’s business, operations or reporting requirements with the SEC.</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fair value of warrant liabilities,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31, 2019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2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6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account</w:t>
            </w:r>
          </w:p>
        </w:tc>
        <w:tc>
          <w:tcPr>
            <w:tcW w:w="2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w:t>
            </w:r>
          </w:p>
        </w:tc>
        <w:tc>
          <w:tcPr>
            <w:tcW w:w="8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20" w:type="dxa"/>
            <w:vAlign w:val="bottom"/>
            <w:vMerge w:val="restart"/>
          </w:tcPr>
          <w:p>
            <w:pPr>
              <w:jc w:val="right"/>
              <w:ind w:right="67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January 31, 2019, there was €0.3 million ($0.4 million) in letters of credit outstanding under this agreement.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other agreement is between the Company and Santander Bank. Under the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Restricted cash includes the following:</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31, 2019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20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2019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Marketable Securities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January 31, 2019, the Company did not have any marketable securities. As of April 30, 2018, all of the Company’s investments were classified as held-to-maturity.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cash accounts that are denominated in British pounds sterling, Euros and Australian dollars. These amounts are included in cash, cash equivalents and restricted cash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 January 31,</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Nine months ended January 31,</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Customer</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Enel Green Power</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Eni S.p.A.</w:t>
            </w:r>
          </w:p>
        </w:tc>
        <w:tc>
          <w:tcPr>
            <w:tcW w:w="1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3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Premier Oil UK Limited</w:t>
            </w:r>
          </w:p>
        </w:tc>
        <w:tc>
          <w:tcPr>
            <w:tcW w:w="1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3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of Naval Research</w:t>
            </w:r>
          </w:p>
        </w:tc>
        <w:tc>
          <w:tcPr>
            <w:tcW w:w="1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computing diluted net loss per share, options to purchase shares of common stock, warrants on common stock and non-vested restricted stock issued to employees and non-employee directors, totaling 1,786,494 for the three and nine months ended January 31, 2019 and 915,183 for the three and nine months ended January 31, 2018, were excluded from each of the computations as the effect would be anti-dilutive due to the Company’s losses.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Share-Based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nine months ended January 31, 2019 and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8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w w:val="89"/>
              </w:rPr>
              <w:t>(in thousands)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180" w:type="dxa"/>
            <w:vAlign w:val="bottom"/>
            <w:tcBorders>
              <w:top w:val="single" w:sz="8" w:color="auto"/>
              <w:bottom w:val="single" w:sz="8" w:color="auto"/>
            </w:tcBorders>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(k) Deferred Rent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31, 2017, the Company signed a new 7-year lease for approximately 56,000 square feet in Monroe Township, New Jersey that will be used as warehouse/production space and the Company’s principal offices and corporate headquarters. The lease was classified as an operating lease. Rent payments relating to the Monroe premises are subject to annual increases. The minimum monthly payments will vary over the 7-year term of the lease. The Company records rent expense on a straight-line basis over the 7-year term of the lease. The difference between rent expense and the monthly lease payment will go to a deferred rent/prepaid rent account. The Landlord has provided the Company a tenant improvement allowance in an amount up to, but not exceeding, $137,563 to be applied to the cost of tenant improvement work. The Company recorded lease incentive liability to deferred rent. The Company will release the lease incentive liability on a straight-line basis over the 7-year term to rent expense.</w:t>
      </w:r>
    </w:p>
    <w:p>
      <w:pPr>
        <w:spacing w:after="0" w:line="17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claims and unpriced change orders; awards and incentive fees;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following are percentages of revenues by contract type;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 January 31,</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Nine months ended October 31,</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Firm fixed price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100%</w:t>
            </w:r>
          </w:p>
        </w:tc>
        <w:tc>
          <w:tcPr>
            <w:tcW w:w="1300" w:type="dxa"/>
            <w:vAlign w:val="bottom"/>
          </w:tcPr>
          <w:p>
            <w:pPr>
              <w:spacing w:after="0"/>
              <w:rPr>
                <w:sz w:val="17"/>
                <w:szCs w:val="17"/>
                <w:color w:val="auto"/>
              </w:rPr>
            </w:pPr>
          </w:p>
        </w:tc>
        <w:tc>
          <w:tcPr>
            <w:tcW w:w="5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0%</w:t>
            </w:r>
          </w:p>
        </w:tc>
        <w:tc>
          <w:tcPr>
            <w:tcW w:w="1140" w:type="dxa"/>
            <w:vAlign w:val="bottom"/>
          </w:tcPr>
          <w:p>
            <w:pPr>
              <w:spacing w:after="0"/>
              <w:rPr>
                <w:sz w:val="17"/>
                <w:szCs w:val="17"/>
                <w:color w:val="auto"/>
              </w:rPr>
            </w:pPr>
          </w:p>
        </w:tc>
        <w:tc>
          <w:tcPr>
            <w:tcW w:w="7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100%</w:t>
            </w:r>
          </w:p>
        </w:tc>
        <w:tc>
          <w:tcPr>
            <w:tcW w:w="1200" w:type="dxa"/>
            <w:vAlign w:val="bottom"/>
          </w:tcPr>
          <w:p>
            <w:pPr>
              <w:spacing w:after="0"/>
              <w:rPr>
                <w:sz w:val="17"/>
                <w:szCs w:val="17"/>
                <w:color w:val="auto"/>
              </w:rPr>
            </w:pPr>
          </w:p>
        </w:tc>
        <w:tc>
          <w:tcPr>
            <w:tcW w:w="54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Sharing</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Plus</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2019, the Company’s total remaining performance obligations, also referred to as backlog, totaled $0.9 million. The Company expects to recognize approximately 61%, or $0.5 million, of the remaining performance obligations as revenue over the next twelve months and an additional 39% the following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Recently Issued Accounting Standards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spacing w:after="0" w:line="28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ASU 2018-11 provides companies another transition method in addition to the existing transition method by allowing entities to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apply the new leases standard at the adoption date and recognize a cumulative-effect adjustment to the opening balance of retained earnings in the period of adoption. The consideration in the contract is allocated to the lease and non-lease components on a relative standalone price basis (for lessees) or in accordance with the allocation guidance in the new revenue standard (for lessors). ASU 2018-11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In December 2018, the FASB issued ASU No. 2018-20,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Narrow-Scope Improvements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Lessors.” </w:t>
      </w:r>
      <w:r>
        <w:rPr>
          <w:rFonts w:ascii="Arial" w:cs="Arial" w:eastAsia="Arial" w:hAnsi="Arial"/>
          <w:sz w:val="16"/>
          <w:szCs w:val="16"/>
          <w:color w:val="auto"/>
        </w:rPr>
        <w:t>ASU 2018-20 provides further guidance to lessors on the following topics; sales taxes and other similar taxes collected from lessees, certain lessor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costs and recognition of variable payments for contracts with lease and non-lease components. The amendments in this Update permit lessors, as an accounting policy election, to not evaluate whether certain sales taxes and other similar taxes are lessor costs (as described in paragraph 842-10-15-30(b)) or lessee costs. Instead, those lessors will account for those costs as if they are lessee costs. The amendments in this Update related to certain lessor costs require lessors to exclude from variable payments, and therefore revenue, lessor costs paid by lessees directly to third parties. The amendments in this Update related to recognizing variable payments for contracts with lease and non-lease components require lessors to </w:t>
      </w:r>
      <w:r>
        <w:rPr>
          <w:rFonts w:ascii="Arial" w:cs="Arial" w:eastAsia="Arial" w:hAnsi="Arial"/>
          <w:sz w:val="16"/>
          <w:szCs w:val="16"/>
          <w:i w:val="1"/>
          <w:iCs w:val="1"/>
          <w:color w:val="auto"/>
        </w:rPr>
        <w:t>allocate</w:t>
      </w:r>
      <w:r>
        <w:rPr>
          <w:rFonts w:ascii="Arial" w:cs="Arial" w:eastAsia="Arial" w:hAnsi="Arial"/>
          <w:sz w:val="16"/>
          <w:szCs w:val="16"/>
          <w:color w:val="auto"/>
        </w:rPr>
        <w:t xml:space="preserve"> (rather than </w:t>
      </w:r>
      <w:r>
        <w:rPr>
          <w:rFonts w:ascii="Arial" w:cs="Arial" w:eastAsia="Arial" w:hAnsi="Arial"/>
          <w:sz w:val="16"/>
          <w:szCs w:val="16"/>
          <w:i w:val="1"/>
          <w:iCs w:val="1"/>
          <w:color w:val="auto"/>
        </w:rPr>
        <w:t>recognize</w:t>
      </w:r>
      <w:r>
        <w:rPr>
          <w:rFonts w:ascii="Arial" w:cs="Arial" w:eastAsia="Arial" w:hAnsi="Arial"/>
          <w:sz w:val="16"/>
          <w:szCs w:val="16"/>
          <w:color w:val="auto"/>
        </w:rPr>
        <w:t xml:space="preserve"> as currently required) certain variable payments to the lease and non-lease components when the changes in facts and circumstances on which the variable payment is based occur. The Company is evaluating the effect ASU 2016-02 will have on its consolidated financial statements and disclosures and has not yet determined the effect of the standard on its ongoing financial reporting at this time.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2016-15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ind w:left="40"/>
        <w:spacing w:after="0" w:line="255"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 — Stock Compensation (ASC Topic 718): Scope of Modification Accounting,”</w:t>
      </w:r>
      <w:r>
        <w:rPr>
          <w:rFonts w:ascii="Arial" w:cs="Arial" w:eastAsia="Arial" w:hAnsi="Arial"/>
          <w:sz w:val="18"/>
          <w:szCs w:val="18"/>
          <w:color w:val="auto"/>
        </w:rPr>
        <w:t xml:space="preserve"> which clarifies when changes to the terms or conditions of a share-based payment award must be accounted for as a modification. Entities should apply the modification accounting guidance if the value, vesting conditions or classification of the award changes. The amendments in the ASU are effective for fiscal years beginning after December 15, 2017, and interim periods within those fiscal years and early adoption is permitted. The Company has evaluated the effect ASU 2017-09 will have on its consolidated financial statements and disclosures and has determined the standard will have no impact on its ongoing financial reporting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The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w:t>
      </w:r>
      <w:r>
        <w:rPr>
          <w:rFonts w:ascii="Arial" w:cs="Arial" w:eastAsia="Arial" w:hAnsi="Arial"/>
          <w:sz w:val="16"/>
          <w:szCs w:val="16"/>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January 31, 2019 and April 30, 2018.</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January 31, 2019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9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Amount invoiced to customer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Collections</w:t>
            </w:r>
          </w:p>
        </w:tc>
        <w:tc>
          <w:tcPr>
            <w:tcW w:w="1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7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 assets (previously referred to as unbilled receivables). </w:t>
      </w:r>
      <w:r>
        <w:rPr>
          <w:rFonts w:ascii="Arial" w:cs="Arial" w:eastAsia="Arial" w:hAnsi="Arial"/>
          <w:sz w:val="18"/>
          <w:szCs w:val="18"/>
          <w:color w:val="auto"/>
        </w:rPr>
        <w:t>Contract assets include unbilled amounts typically resulting from arrangements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payment is conditioned on completing additional tasks or services for a performance obligation. On May 1, 2018, the day of adoption of ASC 2014-09, the Company reclassified $71,000 of unbilled receivables to contract assets.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Contract liabilities (previously referred to as unearned revenue). </w:t>
      </w:r>
      <w:r>
        <w:rPr>
          <w:rFonts w:ascii="Arial" w:cs="Arial" w:eastAsia="Arial" w:hAnsi="Arial"/>
          <w:sz w:val="17"/>
          <w:szCs w:val="17"/>
          <w:color w:val="auto"/>
        </w:rPr>
        <w:t>Contract liabilities consist of amounts invoiced to customers in excess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On May 1, 2018, the day of adoption of ASC 2014-09, the Company reclassified $18,000 of unearned revenue to contract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 summary of the contract assets and contract liabilities is as follows: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January 31, 2019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9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Contract liabilities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(liability)/assets, net</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contract assets is primarily a result of services performed but unbilled during the nine months ended January 31, 2019. The increase in contract liabilities is primarily a result of additional amounts invoiced to customers in excess of revenue recognized during the nine months ended January 31, 2019. During the nine months ended January 31, 2019, the Company recognized $18,000 of revenue that was included in contract liabilities at May 1, 2018. During the nine months ended January 31, 2019, the Company recognized revenue of $149,000 related to performance obligations that were partially satisfied in previous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greater than three months but that mature within one year from the balance sheet date are classified as current assets. For the periods ended January 31, 2019 and April 30, 2018 the Company had zero and $25,000 in certificates of deposit.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w w:val="95"/>
              </w:rPr>
              <w:t>Accrued expenses consist of the following at January 31, 2019 and April 30, 2018.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2019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Contract loss reserve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Accrued taxes payable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Credits Payable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The Company did not generate any emissions credits eligible for purchase under the agreement, and it was agreed by the investor and the Company that the Company return the option fee of $0.6 million, which was completed as of August 31, 2018. As a result, this matter is completely resolved, and no additional amounts are owed by the Company to the investor.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sets of warrants contain a feature whereby they could require the transfer of assets and therefore are classified as a liability in accordance with ASC 480. As such, the warrants had a value of $18,000 and $201,000 at January 31, 2019 and April 30, 2018, respectively, as reflected within “Warrant liabilities” in the unaudited consolidated balance sheets.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 unrealized gain of approximately $47,000 and $14,000 for the three months ended January 31, 2019 and 2018 and $183,000 and $82,000 for the nine months ended January 31, 2019 and 2018, respectively, were included within “Gain due to change in fair value of warrant liability” in the consolidated statements of operations. The Company determined the fair value using the Black-Scholes option pricing model with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January 31,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 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4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Risk-free rate</w:t>
            </w:r>
          </w:p>
        </w:tc>
        <w:tc>
          <w:tcPr>
            <w:tcW w:w="458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2"/>
              </w:rPr>
              <w:t>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2.5 - 2.8</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Expected volatility</w:t>
            </w:r>
          </w:p>
        </w:tc>
        <w:tc>
          <w:tcPr>
            <w:tcW w:w="4580" w:type="dxa"/>
            <w:vAlign w:val="bottom"/>
            <w:gridSpan w:val="3"/>
          </w:tcPr>
          <w:p>
            <w:pPr>
              <w:jc w:val="right"/>
              <w:ind w:right="200"/>
              <w:spacing w:after="0"/>
              <w:rPr>
                <w:sz w:val="20"/>
                <w:szCs w:val="20"/>
                <w:color w:val="auto"/>
              </w:rPr>
            </w:pPr>
            <w:r>
              <w:rPr>
                <w:rFonts w:ascii="Arial" w:cs="Arial" w:eastAsia="Arial" w:hAnsi="Arial"/>
                <w:sz w:val="18"/>
                <w:szCs w:val="18"/>
                <w:color w:val="auto"/>
              </w:rPr>
              <w:t>90.8% - 142.7%</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137.5% - 145.2%</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16</w:t>
            </w:r>
          </w:p>
        </w:tc>
        <w:tc>
          <w:tcPr>
            <w:tcW w:w="1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2007, the Company’s 2006 Stock Incentive Plan (the “2006 Plan”) became effective. A total of 80,321 shares were authorized for issuance under the 2006 Plan. In 2009, an amendment to the 2006 Plan was approved by the Company’s stockholders, increasing the aggregate number of shares authorized for issuance by 85,000 shares to 165,321. On October 2, 2013, a further amendment to the 2006 Plan was approved by the Company’s stockholders, increasing the aggregate number of shares authorized for issuance by an additional 80,000 shares to 245,321. The Company’s employees, officers, directors, consultants and advisors were eligible to receive awards under the 2006 Plan. The 2006 Plan was administered by the Company’s board of directors, who were authorized to delegate authority to one or more committees or subcommittees of the board of directors or to the Company’s officers. The 2006 Plan was terminated in December 2015 and unused shares in that plan were transferred to the 2015 Omnibus Incentive Plan.</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240,703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640,703. On December 7, 2018, upon approval by the Company’s stockholders, the Company increased the number of shares authorized for issuance to 2,640,703.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January 31, 2019, the Company has 1,129,490 shares available for future issuance under the 2015 Plan.</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500,000 shares of common stock for issuance under the Inducement Plan. In accordance with Rule 5635(c)</w:t>
      </w:r>
    </w:p>
    <w:p>
      <w:pPr>
        <w:jc w:val="both"/>
        <w:ind w:firstLine="8"/>
        <w:spacing w:after="0" w:line="253" w:lineRule="auto"/>
        <w:tabs>
          <w:tab w:leader="none" w:pos="267"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January 31, 2019, there were 18,859 shares outstanding and 481,141 shares available for grant under the 2018 Inducement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estimates the fair value of each stock option granted, for both service-based and performance-based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over the expected life of the stock option granted. There were 995,000 shares granted in the three and nine months ended January 31, 2019 and 170,664 shares granted in the nine months ended January 31, 2018. No shares were granted in the three months ended January 31, 2018. The following assumptions were used for the three and nine months ended January 31, 2019 and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9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Three months ended January 31,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37"/>
        </w:trPr>
        <w:tc>
          <w:tcPr>
            <w:tcW w:w="4280" w:type="dxa"/>
            <w:vAlign w:val="bottom"/>
            <w:gridSpan w:val="2"/>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9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12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126.4%</w:t>
            </w:r>
          </w:p>
        </w:tc>
        <w:tc>
          <w:tcPr>
            <w:tcW w:w="112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126.4%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19"/>
                <w:szCs w:val="19"/>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9"/>
                <w:szCs w:val="19"/>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6180" w:type="dxa"/>
            <w:vAlign w:val="bottom"/>
          </w:tcPr>
          <w:p>
            <w:pPr>
              <w:spacing w:after="0"/>
              <w:rPr>
                <w:sz w:val="20"/>
                <w:szCs w:val="20"/>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20"/>
                <w:szCs w:val="20"/>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388,529</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995,000</w:t>
            </w:r>
          </w:p>
        </w:tc>
        <w:tc>
          <w:tcPr>
            <w:tcW w:w="3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0.41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Cancelled/forfeited</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(30,459)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43.85</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2019</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1,353,070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15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Exercisable as of January 31, 2019</w:t>
            </w: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2.94</w:t>
            </w: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358,012</w:t>
            </w:r>
          </w:p>
        </w:tc>
        <w:tc>
          <w:tcPr>
            <w:tcW w:w="3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31, 2019, the total intrinsic value of both outstanding and exercisable options was approximately zero. As of January 31, 2019, approximately 995,051 additional options were unvested, which had no intrinsic value and a weighted average remaining contractual term of 9.9 years. There was approximately $151,000 and $177,000 of total recognized compensation cost related to stock options during each of the nine months ended January 31, 2019 and 2018, respectively. As of January 31, 2019, there was approximately $301,000 of total unrecognized compensation cost related to non-vested stock options granted under the plans. This cost is expected to be recognized over a weighted-average period of 0.9 years. The Company typically issues newly authorized but unissued shares to satisfy option exercises under these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nine months ended January 31, 2019, the Company granted 18,859 shares subject to service-based vesting requirements.</w:t>
      </w:r>
    </w:p>
    <w:p>
      <w:pPr>
        <w:sectPr>
          <w:pgSz w:w="11900" w:h="16838" w:orient="portrait"/>
          <w:cols w:equalWidth="0" w:num="1">
            <w:col w:w="11420"/>
          </w:cols>
          <w:pgMar w:left="240" w:top="692"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30"/>
        </w:trPr>
        <w:tc>
          <w:tcPr>
            <w:tcW w:w="19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 Price per</w:t>
            </w:r>
          </w:p>
        </w:tc>
      </w:tr>
      <w:tr>
        <w:trPr>
          <w:trHeight w:val="241"/>
        </w:trPr>
        <w:tc>
          <w:tcPr>
            <w:tcW w:w="1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of Shares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Share</w:t>
            </w:r>
          </w:p>
        </w:tc>
      </w:tr>
      <w:tr>
        <w:trPr>
          <w:trHeight w:val="418"/>
        </w:trPr>
        <w:tc>
          <w:tcPr>
            <w:tcW w:w="1740" w:type="dxa"/>
            <w:vAlign w:val="bottom"/>
          </w:tcPr>
          <w:p>
            <w:pPr>
              <w:jc w:val="right"/>
              <w:spacing w:after="0"/>
              <w:rPr>
                <w:sz w:val="20"/>
                <w:szCs w:val="20"/>
                <w:color w:val="auto"/>
              </w:rPr>
            </w:pPr>
            <w:r>
              <w:rPr>
                <w:rFonts w:ascii="Arial" w:cs="Arial" w:eastAsia="Arial" w:hAnsi="Arial"/>
                <w:sz w:val="18"/>
                <w:szCs w:val="18"/>
                <w:color w:val="auto"/>
              </w:rPr>
              <w:t>197,064</w:t>
            </w:r>
          </w:p>
        </w:tc>
        <w:tc>
          <w:tcPr>
            <w:tcW w:w="16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18,859</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(5,154)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51"/>
        </w:trPr>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(101,797)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108,972</w:t>
            </w:r>
          </w:p>
        </w:tc>
        <w:tc>
          <w:tcPr>
            <w:tcW w:w="160" w:type="dxa"/>
            <w:vAlign w:val="bottom"/>
          </w:tcPr>
          <w:p>
            <w:pPr>
              <w:spacing w:after="0"/>
              <w:rPr>
                <w:sz w:val="19"/>
                <w:szCs w:val="19"/>
                <w:color w:val="auto"/>
              </w:rPr>
            </w:pPr>
          </w:p>
        </w:tc>
        <w:tc>
          <w:tcPr>
            <w:tcW w:w="2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1.44</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160"/>
            <w:col w:w="4960"/>
          </w:cols>
          <w:pgMar w:left="240" w:top="692"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$49,000 and $73,000 of total recognized compensation cost related to restricted stock for the nine months ended January 31, 2019 and 2018, respectively. As of January 31, 2019, there was approximately $44,000 of total unrecognized compensation cost related to unvested restricted stock granted under our plans. This cost is expected to be recognized over a weighted average period of 1.1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January 31, 2019 and 2018, 1,770 and 25,947 shares, respectively, of common stock was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58" w:lineRule="exact"/>
        <w:rPr>
          <w:sz w:val="20"/>
          <w:szCs w:val="20"/>
          <w:color w:val="auto"/>
        </w:rPr>
      </w:pPr>
    </w:p>
    <w:p>
      <w:pPr>
        <w:jc w:val="both"/>
        <w:ind w:left="780" w:right="20" w:hanging="769"/>
        <w:spacing w:after="0" w:line="264" w:lineRule="auto"/>
        <w:tabs>
          <w:tab w:leader="none" w:pos="76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780" w:hanging="769"/>
        <w:spacing w:after="0" w:line="264" w:lineRule="auto"/>
        <w:tabs>
          <w:tab w:leader="none" w:pos="760" w:val="left"/>
        </w:tabs>
        <w:rPr>
          <w:sz w:val="20"/>
          <w:szCs w:val="20"/>
          <w:color w:val="auto"/>
        </w:rPr>
      </w:pPr>
      <w:r>
        <w:rPr>
          <w:rFonts w:ascii="Arial" w:cs="Arial" w:eastAsia="Arial" w:hAnsi="Arial"/>
          <w:sz w:val="18"/>
          <w:szCs w:val="18"/>
          <w:color w:val="auto"/>
        </w:rPr>
        <w:t>Level 2</w:t>
        <w:tab/>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780" w:hanging="769"/>
        <w:spacing w:after="0" w:line="264" w:lineRule="auto"/>
        <w:tabs>
          <w:tab w:leader="none" w:pos="760" w:val="left"/>
        </w:tabs>
        <w:rPr>
          <w:sz w:val="20"/>
          <w:szCs w:val="20"/>
          <w:color w:val="auto"/>
        </w:rPr>
      </w:pPr>
      <w:r>
        <w:rPr>
          <w:rFonts w:ascii="Arial" w:cs="Arial" w:eastAsia="Arial" w:hAnsi="Arial"/>
          <w:sz w:val="18"/>
          <w:szCs w:val="18"/>
          <w:color w:val="auto"/>
        </w:rPr>
        <w:t>Level 3</w:t>
        <w:tab/>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each of the three and nine months ended January 31, 2019 and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warrant liabilities (refer to Note 7)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January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Quoted prices in</w:t>
            </w:r>
          </w:p>
        </w:tc>
        <w:tc>
          <w:tcPr>
            <w:tcW w:w="440" w:type="dxa"/>
            <w:vAlign w:val="bottom"/>
          </w:tcPr>
          <w:p>
            <w:pPr>
              <w:spacing w:after="0"/>
              <w:rPr>
                <w:sz w:val="18"/>
                <w:szCs w:val="18"/>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Significant</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Total Carrying</w:t>
            </w:r>
          </w:p>
        </w:tc>
        <w:tc>
          <w:tcPr>
            <w:tcW w:w="360" w:type="dxa"/>
            <w:vAlign w:val="bottom"/>
          </w:tcPr>
          <w:p>
            <w:pPr>
              <w:spacing w:after="0"/>
              <w:rPr>
                <w:sz w:val="18"/>
                <w:szCs w:val="18"/>
                <w:color w:val="auto"/>
              </w:rPr>
            </w:pPr>
          </w:p>
        </w:tc>
        <w:tc>
          <w:tcPr>
            <w:tcW w:w="1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active markets for</w:t>
            </w:r>
          </w:p>
        </w:tc>
        <w:tc>
          <w:tcPr>
            <w:tcW w:w="440" w:type="dxa"/>
            <w:vAlign w:val="bottom"/>
          </w:tcPr>
          <w:p>
            <w:pPr>
              <w:spacing w:after="0"/>
              <w:rPr>
                <w:sz w:val="18"/>
                <w:szCs w:val="18"/>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other</w:t>
            </w:r>
          </w:p>
        </w:tc>
        <w:tc>
          <w:tcPr>
            <w:tcW w:w="3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Value in</w:t>
            </w:r>
          </w:p>
        </w:tc>
        <w:tc>
          <w:tcPr>
            <w:tcW w:w="360" w:type="dxa"/>
            <w:vAlign w:val="bottom"/>
          </w:tcPr>
          <w:p>
            <w:pPr>
              <w:spacing w:after="0"/>
              <w:rPr>
                <w:sz w:val="18"/>
                <w:szCs w:val="18"/>
                <w:color w:val="auto"/>
              </w:rPr>
            </w:pPr>
          </w:p>
        </w:tc>
        <w:tc>
          <w:tcPr>
            <w:tcW w:w="17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identical assets or</w:t>
            </w:r>
          </w:p>
        </w:tc>
        <w:tc>
          <w:tcPr>
            <w:tcW w:w="440" w:type="dxa"/>
            <w:vAlign w:val="bottom"/>
          </w:tcPr>
          <w:p>
            <w:pPr>
              <w:spacing w:after="0"/>
              <w:rPr>
                <w:sz w:val="18"/>
                <w:szCs w:val="18"/>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observable</w:t>
            </w:r>
          </w:p>
        </w:tc>
        <w:tc>
          <w:tcPr>
            <w:tcW w:w="3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Consolidated</w:t>
            </w:r>
          </w:p>
        </w:tc>
        <w:tc>
          <w:tcPr>
            <w:tcW w:w="360" w:type="dxa"/>
            <w:vAlign w:val="bottom"/>
          </w:tcPr>
          <w:p>
            <w:pPr>
              <w:spacing w:after="0"/>
              <w:rPr>
                <w:sz w:val="18"/>
                <w:szCs w:val="18"/>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18"/>
                <w:szCs w:val="18"/>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inputs</w:t>
            </w:r>
          </w:p>
        </w:tc>
        <w:tc>
          <w:tcPr>
            <w:tcW w:w="3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 Sheet</w:t>
            </w:r>
          </w:p>
        </w:tc>
        <w:tc>
          <w:tcPr>
            <w:tcW w:w="360" w:type="dxa"/>
            <w:vAlign w:val="bottom"/>
          </w:tcPr>
          <w:p>
            <w:pPr>
              <w:spacing w:after="0"/>
              <w:rPr>
                <w:sz w:val="20"/>
                <w:szCs w:val="20"/>
                <w:color w:val="auto"/>
              </w:rPr>
            </w:pPr>
          </w:p>
        </w:tc>
        <w:tc>
          <w:tcPr>
            <w:tcW w:w="17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(Level 1)</w:t>
            </w:r>
          </w:p>
        </w:tc>
        <w:tc>
          <w:tcPr>
            <w:tcW w:w="440" w:type="dxa"/>
            <w:vAlign w:val="bottom"/>
          </w:tcPr>
          <w:p>
            <w:pPr>
              <w:spacing w:after="0"/>
              <w:rPr>
                <w:sz w:val="20"/>
                <w:szCs w:val="20"/>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(in thousands)</w:t>
            </w:r>
          </w:p>
        </w:tc>
        <w:tc>
          <w:tcPr>
            <w:tcW w:w="14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Quoted prices in</w:t>
            </w:r>
          </w:p>
        </w:tc>
        <w:tc>
          <w:tcPr>
            <w:tcW w:w="440" w:type="dxa"/>
            <w:vAlign w:val="bottom"/>
          </w:tcPr>
          <w:p>
            <w:pPr>
              <w:spacing w:after="0"/>
              <w:rPr>
                <w:sz w:val="18"/>
                <w:szCs w:val="18"/>
                <w:color w:val="auto"/>
              </w:rPr>
            </w:pPr>
          </w:p>
        </w:tc>
        <w:tc>
          <w:tcPr>
            <w:tcW w:w="14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Significant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Carrying</w:t>
            </w:r>
          </w:p>
        </w:tc>
        <w:tc>
          <w:tcPr>
            <w:tcW w:w="300" w:type="dxa"/>
            <w:vAlign w:val="bottom"/>
          </w:tcPr>
          <w:p>
            <w:pPr>
              <w:spacing w:after="0"/>
              <w:rPr>
                <w:sz w:val="18"/>
                <w:szCs w:val="18"/>
                <w:color w:val="auto"/>
              </w:rPr>
            </w:pPr>
          </w:p>
        </w:tc>
        <w:tc>
          <w:tcPr>
            <w:tcW w:w="1780" w:type="dxa"/>
            <w:vAlign w:val="bottom"/>
          </w:tcPr>
          <w:p>
            <w:pPr>
              <w:ind w:left="40"/>
              <w:spacing w:after="0"/>
              <w:rPr>
                <w:sz w:val="20"/>
                <w:szCs w:val="20"/>
                <w:color w:val="auto"/>
              </w:rPr>
            </w:pPr>
            <w:r>
              <w:rPr>
                <w:rFonts w:ascii="Arial" w:cs="Arial" w:eastAsia="Arial" w:hAnsi="Arial"/>
                <w:sz w:val="18"/>
                <w:szCs w:val="18"/>
                <w:b w:val="1"/>
                <w:bCs w:val="1"/>
                <w:color w:val="auto"/>
              </w:rPr>
              <w:t>active markets for</w:t>
            </w:r>
          </w:p>
        </w:tc>
        <w:tc>
          <w:tcPr>
            <w:tcW w:w="440" w:type="dxa"/>
            <w:vAlign w:val="bottom"/>
          </w:tcPr>
          <w:p>
            <w:pPr>
              <w:spacing w:after="0"/>
              <w:rPr>
                <w:sz w:val="18"/>
                <w:szCs w:val="18"/>
                <w:color w:val="auto"/>
              </w:rPr>
            </w:pPr>
          </w:p>
        </w:tc>
        <w:tc>
          <w:tcPr>
            <w:tcW w:w="14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other</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Value in</w:t>
            </w:r>
          </w:p>
        </w:tc>
        <w:tc>
          <w:tcPr>
            <w:tcW w:w="30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b w:val="1"/>
                <w:bCs w:val="1"/>
                <w:color w:val="auto"/>
              </w:rPr>
              <w:t>identical assets or</w:t>
            </w:r>
          </w:p>
        </w:tc>
        <w:tc>
          <w:tcPr>
            <w:tcW w:w="440" w:type="dxa"/>
            <w:vAlign w:val="bottom"/>
          </w:tcPr>
          <w:p>
            <w:pPr>
              <w:spacing w:after="0"/>
              <w:rPr>
                <w:sz w:val="18"/>
                <w:szCs w:val="18"/>
                <w:color w:val="auto"/>
              </w:rPr>
            </w:pPr>
          </w:p>
        </w:tc>
        <w:tc>
          <w:tcPr>
            <w:tcW w:w="14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observable</w:t>
            </w:r>
          </w:p>
        </w:tc>
        <w:tc>
          <w:tcPr>
            <w:tcW w:w="4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Consolidated</w:t>
            </w:r>
          </w:p>
        </w:tc>
        <w:tc>
          <w:tcPr>
            <w:tcW w:w="300" w:type="dxa"/>
            <w:vAlign w:val="bottom"/>
          </w:tcPr>
          <w:p>
            <w:pPr>
              <w:spacing w:after="0"/>
              <w:rPr>
                <w:sz w:val="18"/>
                <w:szCs w:val="18"/>
                <w:color w:val="auto"/>
              </w:rPr>
            </w:pPr>
          </w:p>
        </w:tc>
        <w:tc>
          <w:tcPr>
            <w:tcW w:w="1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liabilities</w:t>
            </w:r>
          </w:p>
        </w:tc>
        <w:tc>
          <w:tcPr>
            <w:tcW w:w="440" w:type="dxa"/>
            <w:vAlign w:val="bottom"/>
          </w:tcPr>
          <w:p>
            <w:pPr>
              <w:spacing w:after="0"/>
              <w:rPr>
                <w:sz w:val="18"/>
                <w:szCs w:val="18"/>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inputs</w:t>
            </w: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center"/>
              <w:ind w:right="290"/>
              <w:spacing w:after="0"/>
              <w:rPr>
                <w:sz w:val="20"/>
                <w:szCs w:val="20"/>
                <w:color w:val="auto"/>
              </w:rPr>
            </w:pPr>
            <w:r>
              <w:rPr>
                <w:rFonts w:ascii="Arial" w:cs="Arial" w:eastAsia="Arial" w:hAnsi="Arial"/>
                <w:sz w:val="18"/>
                <w:szCs w:val="18"/>
                <w:b w:val="1"/>
                <w:bCs w:val="1"/>
                <w:color w:val="auto"/>
                <w:w w:val="86"/>
              </w:rPr>
              <w:t>Balance Sheet</w:t>
            </w:r>
          </w:p>
        </w:tc>
        <w:tc>
          <w:tcPr>
            <w:tcW w:w="300" w:type="dxa"/>
            <w:vAlign w:val="bottom"/>
          </w:tcPr>
          <w:p>
            <w:pPr>
              <w:spacing w:after="0"/>
              <w:rPr>
                <w:sz w:val="20"/>
                <w:szCs w:val="20"/>
                <w:color w:val="auto"/>
              </w:rPr>
            </w:pPr>
          </w:p>
        </w:tc>
        <w:tc>
          <w:tcPr>
            <w:tcW w:w="17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(Level 1)</w:t>
            </w:r>
          </w:p>
        </w:tc>
        <w:tc>
          <w:tcPr>
            <w:tcW w:w="440" w:type="dxa"/>
            <w:vAlign w:val="bottom"/>
          </w:tcPr>
          <w:p>
            <w:pPr>
              <w:spacing w:after="0"/>
              <w:rPr>
                <w:sz w:val="20"/>
                <w:szCs w:val="20"/>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(Level 2)</w:t>
            </w:r>
          </w:p>
        </w:tc>
        <w:tc>
          <w:tcPr>
            <w:tcW w:w="40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2"/>
          </w:tcPr>
          <w:p>
            <w:pPr>
              <w:ind w:left="1100"/>
              <w:spacing w:after="0"/>
              <w:rPr>
                <w:sz w:val="20"/>
                <w:szCs w:val="20"/>
                <w:color w:val="auto"/>
              </w:rPr>
            </w:pPr>
            <w:r>
              <w:rPr>
                <w:rFonts w:ascii="Arial" w:cs="Arial" w:eastAsia="Arial" w:hAnsi="Arial"/>
                <w:sz w:val="18"/>
                <w:szCs w:val="18"/>
                <w:color w:val="auto"/>
                <w:w w:val="96"/>
              </w:rPr>
              <w:t>(in thousands)</w:t>
            </w:r>
          </w:p>
        </w:tc>
        <w:tc>
          <w:tcPr>
            <w:tcW w:w="14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fair value of the Company’s warrant liabilities held at January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Fair Value Measurement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685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Warrant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2018</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 January 31, 2019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re-measured assets or liabilities at fair value on a non-recurring basis during the three and nine months ended January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were identified as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alleged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 xml:space="preserve">On July 10, 2015, a second derivative lawsuit, captioned </w:t>
      </w:r>
      <w:r>
        <w:rPr>
          <w:rFonts w:ascii="Arial" w:cs="Arial" w:eastAsia="Arial" w:hAnsi="Arial"/>
          <w:sz w:val="18"/>
          <w:szCs w:val="18"/>
          <w:i w:val="1"/>
          <w:iCs w:val="1"/>
          <w:color w:val="auto"/>
        </w:rPr>
        <w:t>Rywolt v. Dunleavy, et al.,</w:t>
      </w:r>
      <w:r>
        <w:rPr>
          <w:rFonts w:ascii="Arial" w:cs="Arial" w:eastAsia="Arial" w:hAnsi="Arial"/>
          <w:sz w:val="18"/>
          <w:szCs w:val="18"/>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8"/>
          <w:szCs w:val="18"/>
          <w:i w:val="1"/>
          <w:iCs w:val="1"/>
          <w:color w:val="auto"/>
        </w:rPr>
        <w:t>Rywolt</w:t>
      </w:r>
      <w:r>
        <w:rPr>
          <w:rFonts w:ascii="Arial" w:cs="Arial" w:eastAsia="Arial" w:hAnsi="Arial"/>
          <w:sz w:val="18"/>
          <w:szCs w:val="18"/>
          <w:color w:val="auto"/>
        </w:rPr>
        <w:t xml:space="preserve"> complaint also sought unspecified monetary damages and other relief.</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21, 2016, a third derivative lawsuit, captioned </w:t>
      </w:r>
      <w:r>
        <w:rPr>
          <w:rFonts w:ascii="Arial" w:cs="Arial" w:eastAsia="Arial" w:hAnsi="Arial"/>
          <w:sz w:val="18"/>
          <w:szCs w:val="18"/>
          <w:i w:val="1"/>
          <w:iCs w:val="1"/>
          <w:color w:val="auto"/>
        </w:rPr>
        <w:t>LaCalamito v. Dunleavy, et al.,</w:t>
      </w:r>
      <w:r>
        <w:rPr>
          <w:rFonts w:ascii="Arial" w:cs="Arial" w:eastAsia="Arial" w:hAnsi="Arial"/>
          <w:sz w:val="18"/>
          <w:szCs w:val="18"/>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8"/>
          <w:szCs w:val="18"/>
          <w:i w:val="1"/>
          <w:iCs w:val="1"/>
          <w:color w:val="auto"/>
        </w:rPr>
        <w:t>LaCalamito</w:t>
      </w:r>
      <w:r>
        <w:rPr>
          <w:rFonts w:ascii="Arial" w:cs="Arial" w:eastAsia="Arial" w:hAnsi="Arial"/>
          <w:sz w:val="18"/>
          <w:szCs w:val="18"/>
          <w:color w:val="auto"/>
        </w:rPr>
        <w:t xml:space="preserve"> complaint sought unspecified monetary damages and other relief.</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June 9, 2016, a fourth derivative lawsuit, captioned </w:t>
      </w:r>
      <w:r>
        <w:rPr>
          <w:rFonts w:ascii="Arial" w:cs="Arial" w:eastAsia="Arial" w:hAnsi="Arial"/>
          <w:sz w:val="18"/>
          <w:szCs w:val="18"/>
          <w:i w:val="1"/>
          <w:iCs w:val="1"/>
          <w:color w:val="auto"/>
        </w:rPr>
        <w:t>Pucillo v. Dunleavy, et al.,</w:t>
      </w:r>
      <w:r>
        <w:rPr>
          <w:rFonts w:ascii="Arial" w:cs="Arial" w:eastAsia="Arial" w:hAnsi="Arial"/>
          <w:sz w:val="18"/>
          <w:szCs w:val="18"/>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complaint sought unspecified monetary damages and other relief.</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October 25, 2016, the Court approved and entered a Stipulation and Order that, among other things, (i) consolidated the </w:t>
      </w:r>
      <w:r>
        <w:rPr>
          <w:rFonts w:ascii="Arial" w:cs="Arial" w:eastAsia="Arial" w:hAnsi="Arial"/>
          <w:sz w:val="17"/>
          <w:szCs w:val="17"/>
          <w:i w:val="1"/>
          <w:iCs w:val="1"/>
          <w:color w:val="auto"/>
        </w:rPr>
        <w:t>Labare, Rywolt, LaCamito</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derivative actions; (ii) identified plaintiff</w:t>
      </w:r>
      <w:r>
        <w:rPr>
          <w:rFonts w:ascii="Arial" w:cs="Arial" w:eastAsia="Arial" w:hAnsi="Arial"/>
          <w:sz w:val="17"/>
          <w:szCs w:val="17"/>
          <w:i w:val="1"/>
          <w:iCs w:val="1"/>
          <w:color w:val="auto"/>
        </w:rPr>
        <w:t xml:space="preserve"> Pucillo </w:t>
      </w:r>
      <w:r>
        <w:rPr>
          <w:rFonts w:ascii="Arial" w:cs="Arial" w:eastAsia="Arial" w:hAnsi="Arial"/>
          <w:sz w:val="17"/>
          <w:szCs w:val="17"/>
          <w:color w:val="auto"/>
        </w:rPr>
        <w:t>as the lead plaintiff in the consolidated actions; and (iii) stayed the consolidated actions pending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14, 2016 settlement hearing in the now-settled securities class action and further order of the Court.</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23, 2017, the parties entered into a Stipulation and Agreement of Settlement to resolve the four consolidated derivative lawsuits. The settlement provided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9, 2018. On May 14, 2018, the Court held a final hearing at the Court stated that it was approving the settlement. On June 13, 2018 the Court issued a Final Order and Judgement, approving the Stipulation and Agreement Settlement. The Company had accrued $350,000 related to this matter as a probable and reasonably estimable loss contingency during the twelve months ended April 30, 2018. The Company also had recorded a receivable of $350,000 from its insurance carrier with the offset to the statement of operations. The Company’s insurance carrier made a payment of $350,000 to the plaintiffs’ attorneys on May 3, 2018. As a result, the consolidated derivatives lawsuits are now completely resolved, the releases are operative, and the matter is closed.</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w:t>
      </w:r>
      <w:r>
        <w:rPr>
          <w:rFonts w:ascii="Arial" w:cs="Arial" w:eastAsia="Arial" w:hAnsi="Arial"/>
          <w:sz w:val="17"/>
          <w:szCs w:val="17"/>
          <w:color w:val="222222"/>
        </w:rPr>
        <w:t>On June 23, 2017, the Company responded to the Stockholder Demand, explained the procedures that were followed for the</w:t>
      </w:r>
      <w:r>
        <w:rPr>
          <w:rFonts w:ascii="Arial" w:cs="Arial" w:eastAsia="Arial" w:hAnsi="Arial"/>
          <w:sz w:val="17"/>
          <w:szCs w:val="17"/>
          <w:color w:val="auto"/>
        </w:rPr>
        <w:t xml:space="preserve"> </w:t>
      </w:r>
      <w:r>
        <w:rPr>
          <w:rFonts w:ascii="Arial" w:cs="Arial" w:eastAsia="Arial" w:hAnsi="Arial"/>
          <w:sz w:val="17"/>
          <w:szCs w:val="17"/>
          <w:color w:val="222222"/>
        </w:rPr>
        <w:t>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 xml:space="preserve">On August 28, 2018, counsel for Mr. Dunleavy filed a demand for arbitration, captioned </w:t>
      </w:r>
      <w:r>
        <w:rPr>
          <w:rFonts w:ascii="Arial" w:cs="Arial" w:eastAsia="Arial" w:hAnsi="Arial"/>
          <w:sz w:val="16"/>
          <w:szCs w:val="16"/>
          <w:i w:val="1"/>
          <w:iCs w:val="1"/>
          <w:color w:val="auto"/>
        </w:rPr>
        <w:t>Charles F. Dunleavy v. Ocean Power Technologies, Inc.,</w:t>
      </w:r>
      <w:r>
        <w:rPr>
          <w:rFonts w:ascii="Arial" w:cs="Arial" w:eastAsia="Arial" w:hAnsi="Arial"/>
          <w:sz w:val="16"/>
          <w:szCs w:val="16"/>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The parties have completed the process of selecting a 3-person arbitration panel, but the panel has not yet scheduled an initial status conference and the parties have not yet scheduled or commenced any discovery. As of January 31, 2019, the Company has not accrued any provision related to this matter since it cannot reasonably estimate the loss contingency.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 Runner Marine, Inc.</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June 13, 2018, Tide Runner Marine, Inc. (“Tide Runner”) filed a lawsuit in the United States District Court for the District of New Jersey captioned </w:t>
      </w:r>
      <w:r>
        <w:rPr>
          <w:rFonts w:ascii="Arial" w:cs="Arial" w:eastAsia="Arial" w:hAnsi="Arial"/>
          <w:sz w:val="17"/>
          <w:szCs w:val="17"/>
          <w:i w:val="1"/>
          <w:iCs w:val="1"/>
          <w:color w:val="auto"/>
        </w:rPr>
        <w:t>Tide</w:t>
      </w:r>
      <w:r>
        <w:rPr>
          <w:rFonts w:ascii="Arial" w:cs="Arial" w:eastAsia="Arial" w:hAnsi="Arial"/>
          <w:sz w:val="17"/>
          <w:szCs w:val="17"/>
          <w:color w:val="auto"/>
        </w:rPr>
        <w:t xml:space="preserve"> </w:t>
      </w:r>
      <w:r>
        <w:rPr>
          <w:rFonts w:ascii="Arial" w:cs="Arial" w:eastAsia="Arial" w:hAnsi="Arial"/>
          <w:sz w:val="17"/>
          <w:szCs w:val="17"/>
          <w:i w:val="1"/>
          <w:iCs w:val="1"/>
          <w:color w:val="auto"/>
        </w:rPr>
        <w:t>Runner Marine, Inc. v. Ocean Power Technologies, Inc.</w:t>
      </w:r>
      <w:r>
        <w:rPr>
          <w:rFonts w:ascii="Arial" w:cs="Arial" w:eastAsia="Arial" w:hAnsi="Arial"/>
          <w:sz w:val="17"/>
          <w:szCs w:val="17"/>
          <w:color w:val="auto"/>
        </w:rPr>
        <w:t>, Case No. 1:18-cv-10496. The complaint names the Company as defendant and alleges claims for</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During the initial scheduling conference held on September 13, 2018, the parties agreed to engage in mediation in an effort to resolve this matter and also agreed to include Tide Runner’s subcontractor, Wittich Bros. Marine Inc. (“Wittich”) in the mediation process. The parties participated in mediation on November 15, 2018 but were unable to reach an agreement. However, the parties agreed to continue the mediation process and on February 11, 2019 reached a settlement agreement. On February 22, 2019, the parties executed a Settlement Agreement and Release (“Settlement”). Under the Settlement, the Company will pay to Wittich (i) $50,000 within 10 days after the final execution of the Settlement and (ii) another $150,000 on or before May 1, 2019. Further, the parties will file a stipulation of dismissal of both Tide Runner’s complaint and the Company’s counterclaim with prejudice and without costs. Finally, the parties have provided mutual releases for the matters in dispute in the litigation and indemnify each other for future similar claims. As of January 31, 2019, the Company has recorded the settlement within Accrued liabilities in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years. The Company has estimated this penalty to be $177,000 which is recorded within Accrued liabilities in the Consolidated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January 31, 2019, the Company recorded an income tax benefit of $0.9 million, representing the proceeds from the sale of $9.1 million of New Jersey net operating loss carryforwards and research and development tax credits. During the three and nine months ended January 31, 2018, the Company recorded an income tax benefit of $1.1 million representing the proceeds from the sale of $11.4 million of New Jersey net operating loss carryforwards and research and development tax credits.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the sale of New Jersey net operating loss carryforwards, the Company did not recognize any consolidated income tax benefit (expense) during the three and nine months ended January 31, 2019 and 2018.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$177,000, and as such, for the period ended January 31, 2019 and April 30, 2018, we have recorded $177,000 for this penalty to Accrued expenses in the Balance Sheet. At January 31, 2019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the three and nine months ended January 31, 2019 and 2018,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Adoption of Revenue Recognition Guidance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adopted the new revenue recognition guidance effective May 1, 2018, using the modified retrospective method. The primary impact of the new guidance was a change in the timing of revenue recognition on certain long-term contracts. The new guidance does not change the total sales or operating income on the related customer contracts, only the timing of when sales and operating income are recognized. The Company uses the expected cost plus a margin approach and lease accounting literature for revenue recognition on customer contracts. The impact of the adoption for the three and nine months ended January 31, 2019 was an increase of $51,000 and $130,000 to net loss. Further, as the Company’s adoption of the guidance decelerated the timing of revenue recognition on the Company’s contracts, the adoption resulted in an $130,000 increase in the Company’s remaining performance obligations, also referred to as backlog, as of January 31, 2019.</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condensed statement of operations for the three and nine months ended January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60" w:type="dxa"/>
            <w:vAlign w:val="bottom"/>
            <w:gridSpan w:val="8"/>
          </w:tcPr>
          <w:p>
            <w:pPr>
              <w:jc w:val="right"/>
              <w:ind w:right="1800"/>
              <w:spacing w:after="0"/>
              <w:rPr>
                <w:sz w:val="20"/>
                <w:szCs w:val="20"/>
                <w:color w:val="auto"/>
              </w:rPr>
            </w:pPr>
            <w:r>
              <w:rPr>
                <w:rFonts w:ascii="Arial" w:cs="Arial" w:eastAsia="Arial" w:hAnsi="Arial"/>
                <w:sz w:val="18"/>
                <w:szCs w:val="18"/>
                <w:b w:val="1"/>
                <w:bCs w:val="1"/>
                <w:color w:val="auto"/>
                <w:w w:val="90"/>
              </w:rPr>
              <w:t>Nine months ended January 31, 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37"/>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(10,754</w:t>
            </w:r>
          </w:p>
        </w:tc>
        <w:tc>
          <w:tcPr>
            <w:tcW w:w="340" w:type="dxa"/>
            <w:vAlign w:val="bottom"/>
            <w:tcBorders>
              <w:top w:val="single" w:sz="8" w:color="CCEEFF"/>
              <w:bottom w:val="single" w:sz="8" w:color="CCEEFF"/>
            </w:tcBorders>
          </w:tcPr>
          <w:p>
            <w:pPr>
              <w:jc w:val="right"/>
              <w:ind w:right="197"/>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(10,624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340" w:type="dxa"/>
            <w:vAlign w:val="bottom"/>
            <w:tcBorders>
              <w:bottom w:val="single" w:sz="8" w:color="CCEEFF"/>
            </w:tcBorders>
          </w:tcPr>
          <w:p>
            <w:pPr>
              <w:jc w:val="right"/>
              <w:ind w:right="197"/>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Weighted average shares used to compute basic and diluted</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18,621,033</w:t>
            </w:r>
          </w:p>
        </w:tc>
        <w:tc>
          <w:tcPr>
            <w:tcW w:w="1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18,621,033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18,621,033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gridSpan w:val="9"/>
          </w:tcPr>
          <w:p>
            <w:pPr>
              <w:ind w:left="1480"/>
              <w:spacing w:after="0"/>
              <w:rPr>
                <w:sz w:val="20"/>
                <w:szCs w:val="20"/>
                <w:color w:val="auto"/>
              </w:rPr>
            </w:pPr>
            <w:r>
              <w:rPr>
                <w:rFonts w:ascii="Arial" w:cs="Arial" w:eastAsia="Arial" w:hAnsi="Arial"/>
                <w:sz w:val="18"/>
                <w:szCs w:val="18"/>
                <w:b w:val="1"/>
                <w:bCs w:val="1"/>
                <w:color w:val="auto"/>
              </w:rPr>
              <w:t>Three months ended January 31, 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(3,522</w:t>
            </w:r>
          </w:p>
        </w:tc>
        <w:tc>
          <w:tcPr>
            <w:tcW w:w="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(3,471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Weighted average shares used to compute basic and diluted</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19,185,741</w:t>
            </w:r>
          </w:p>
        </w:tc>
        <w:tc>
          <w:tcPr>
            <w:tcW w:w="1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19,185,741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19,185,741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statement of comprehensive loss for the three and nine months ended January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60" w:type="dxa"/>
            <w:vAlign w:val="bottom"/>
            <w:gridSpan w:val="8"/>
          </w:tcPr>
          <w:p>
            <w:pPr>
              <w:jc w:val="right"/>
              <w:ind w:right="1800"/>
              <w:spacing w:after="0"/>
              <w:rPr>
                <w:sz w:val="20"/>
                <w:szCs w:val="20"/>
                <w:color w:val="auto"/>
              </w:rPr>
            </w:pPr>
            <w:r>
              <w:rPr>
                <w:rFonts w:ascii="Arial" w:cs="Arial" w:eastAsia="Arial" w:hAnsi="Arial"/>
                <w:sz w:val="18"/>
                <w:szCs w:val="18"/>
                <w:b w:val="1"/>
                <w:bCs w:val="1"/>
                <w:color w:val="auto"/>
                <w:w w:val="90"/>
              </w:rPr>
              <w:t>Nine months ended January 31, 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35"/>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(9,741)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0"/>
                <w:szCs w:val="20"/>
                <w:color w:val="auto"/>
              </w:rPr>
            </w:pPr>
          </w:p>
        </w:tc>
        <w:tc>
          <w:tcPr>
            <w:tcW w:w="1840" w:type="dxa"/>
            <w:vAlign w:val="bottom"/>
            <w:gridSpan w:val="2"/>
          </w:tcPr>
          <w:p>
            <w:pPr>
              <w:jc w:val="right"/>
              <w:ind w:right="195"/>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340" w:type="dxa"/>
            <w:vAlign w:val="bottom"/>
            <w:tcBorders>
              <w:top w:val="single" w:sz="8" w:color="CCEEFF"/>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gridSpan w:val="9"/>
          </w:tcPr>
          <w:p>
            <w:pPr>
              <w:jc w:val="right"/>
              <w:ind w:right="1760"/>
              <w:spacing w:after="0"/>
              <w:rPr>
                <w:sz w:val="20"/>
                <w:szCs w:val="20"/>
                <w:color w:val="auto"/>
              </w:rPr>
            </w:pPr>
            <w:r>
              <w:rPr>
                <w:rFonts w:ascii="Arial" w:cs="Arial" w:eastAsia="Arial" w:hAnsi="Arial"/>
                <w:sz w:val="18"/>
                <w:szCs w:val="18"/>
                <w:b w:val="1"/>
                <w:bCs w:val="1"/>
                <w:color w:val="auto"/>
              </w:rPr>
              <w:t>Three months ended January 31, 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consolidated balance sheet as of January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3"/>
              </w:rPr>
              <w:t>As of January 31, 2019</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Effect of Adoption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Contract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Contract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256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(207,279)</w:t>
            </w: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1,449</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consolidated statement of cash flows for the nine months ended January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60" w:type="dxa"/>
            <w:vAlign w:val="bottom"/>
            <w:gridSpan w:val="9"/>
          </w:tcPr>
          <w:p>
            <w:pPr>
              <w:jc w:val="right"/>
              <w:ind w:right="1880"/>
              <w:spacing w:after="0"/>
              <w:rPr>
                <w:sz w:val="20"/>
                <w:szCs w:val="20"/>
                <w:color w:val="auto"/>
              </w:rPr>
            </w:pPr>
            <w:r>
              <w:rPr>
                <w:rFonts w:ascii="Arial" w:cs="Arial" w:eastAsia="Arial" w:hAnsi="Arial"/>
                <w:sz w:val="18"/>
                <w:szCs w:val="18"/>
                <w:b w:val="1"/>
                <w:bCs w:val="1"/>
                <w:color w:val="auto"/>
                <w:w w:val="90"/>
              </w:rPr>
              <w:t>Nine months ended January 31, 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Amounts Excluding</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37"/>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2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4"/>
              </w:rPr>
              <w:t>Effect of Adoption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8"/>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(9,741)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8"/>
                <w:szCs w:val="18"/>
                <w:color w:val="auto"/>
              </w:rPr>
            </w:pPr>
          </w:p>
        </w:tc>
        <w:tc>
          <w:tcPr>
            <w:tcW w:w="1840" w:type="dxa"/>
            <w:vAlign w:val="bottom"/>
            <w:gridSpan w:val="2"/>
          </w:tcPr>
          <w:p>
            <w:pPr>
              <w:jc w:val="right"/>
              <w:ind w:right="197"/>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w:t>
            </w:r>
          </w:p>
        </w:tc>
        <w:tc>
          <w:tcPr>
            <w:tcW w:w="2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(9,850</w:t>
            </w:r>
          </w:p>
        </w:tc>
        <w:tc>
          <w:tcPr>
            <w:tcW w:w="340" w:type="dxa"/>
            <w:vAlign w:val="bottom"/>
            <w:tcBorders>
              <w:top w:val="single" w:sz="8" w:color="CCEEFF"/>
              <w:bottom w:val="single" w:sz="8" w:color="CCEEFF"/>
            </w:tcBorders>
          </w:tcPr>
          <w:p>
            <w:pPr>
              <w:jc w:val="right"/>
              <w:ind w:right="197"/>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(9,850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special meeting of stockholders of Ocean Power Technologies, Inc. on March 8, 2019, our stockholders approved a proposal to amend our Certificate of Incorporation to effect a reverse split of our common stock, par value $0.001 (“common stock”), at a ratio to be determined by the Company’s Board of Directors within a specific range and a reduction in the authorized number of shares of our common stock. After the special meeting of stockholders, the Company’s Board of Directors convened and decided to initiate the reverse split, chose a ratio, and direct the Company’s management to take the necessary steps to effectuate the reverse split as soon as possible. The Company plans to file a Certificate of Amendment to our Certificate of Incorporation to affect a one-for-twenty reverse stock split of our common stock (the “Reverse Stock Split”). As of the effective date of the Reverse Stock Split, every twenty shares of issued and outstanding common stock will be combined into one issued and outstanding share of common stock, without any change in the par value per share. Any fractional shares in connection with the Reverse Stock Split will be rounded up to the nearest whole share and no cash payments will be made by the Company to stockholders in lieu of fractional shares.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2018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2018 refers to the year ended April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security and defense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Equally important are increases in available power may allow for better sensors, faster data sampling and higher frequency communication intervals up to real-time which could as a result improve scientific, safety, security and economic returns.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1984 and headquartered in Monroe Township,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PowerBuoy®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our market research and publicly available data, we believe that numerous markets have a direct need for our PowerBuoys® including oil and gas, security and defense, science and research,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2018 and the first nine months of fiscal year 2019, we continued work on projects with the Premier Oil (“PMO”) and Eni S.p.A. (“Eni”).</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development of our technology has been funded by capital we raised, by development engineering contracts we received starting in fiscal 1995 with agencies like the DOE, the U.S. Navy, the Department of Homeland Security, and revenue generating projects with MES, Premier Oil and Eni.</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first nine months of fiscal 2019, we continued to focus on the commercialization of our PowerBuoy® technology, while expanding the application of our PB3 product in autonomous application markets. </w:t>
      </w:r>
      <w:r>
        <w:rPr>
          <w:rFonts w:ascii="Arial" w:cs="Arial" w:eastAsia="Arial" w:hAnsi="Arial"/>
          <w:sz w:val="18"/>
          <w:szCs w:val="18"/>
          <w:color w:val="333333"/>
        </w:rPr>
        <w:t>In March 2018, we entered into an agreement with Eni that provides for a minimum 24-month</w:t>
      </w:r>
      <w:r>
        <w:rPr>
          <w:rFonts w:ascii="Arial" w:cs="Arial" w:eastAsia="Arial" w:hAnsi="Arial"/>
          <w:sz w:val="18"/>
          <w:szCs w:val="18"/>
          <w:color w:val="auto"/>
        </w:rPr>
        <w:t xml:space="preserve"> </w:t>
      </w:r>
      <w:r>
        <w:rPr>
          <w:rFonts w:ascii="Arial" w:cs="Arial" w:eastAsia="Arial" w:hAnsi="Arial"/>
          <w:sz w:val="18"/>
          <w:szCs w:val="18"/>
          <w:color w:val="333333"/>
        </w:rPr>
        <w:t xml:space="preserve">contract that includes a lease and associated project management. </w:t>
      </w:r>
      <w:r>
        <w:rPr>
          <w:rFonts w:ascii="Arial" w:cs="Arial" w:eastAsia="Arial" w:hAnsi="Arial"/>
          <w:sz w:val="18"/>
          <w:szCs w:val="18"/>
          <w:color w:val="000000"/>
        </w:rPr>
        <w:t>In June 2018, we entered into a contract with PMO for the lease of a PB3 PowerBuoy® to</w:t>
      </w:r>
      <w:r>
        <w:rPr>
          <w:rFonts w:ascii="Arial" w:cs="Arial" w:eastAsia="Arial" w:hAnsi="Arial"/>
          <w:sz w:val="18"/>
          <w:szCs w:val="18"/>
          <w:color w:val="333333"/>
        </w:rPr>
        <w:t xml:space="preserve"> </w:t>
      </w:r>
      <w:r>
        <w:rPr>
          <w:rFonts w:ascii="Arial" w:cs="Arial" w:eastAsia="Arial" w:hAnsi="Arial"/>
          <w:sz w:val="18"/>
          <w:szCs w:val="18"/>
          <w:color w:val="000000"/>
        </w:rPr>
        <w:t>be deployed in one of PMO’s offshore fields in the North Sea. In August 2018, we entered into an agreement with Enel Green Power S.p.A.to evaluate a PB3 PowerBuoy® deployment along the coast of Chile through a detailed feasibility study as an offshore autonomous platform hosting oceanographic sensor systems.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2017 we completed the Phase I work under the contract with the U.S. Department of Defense Office of Naval Research (“ONR”), which focused on the initial concept design and development of a mass-on-spring PTO-based PowerBuoy®. We are currently waiting for ONR funding to be approved for the next phase. Working closely with potential customers, we also continued to analyze and further develop new applications for the PowerBuoy® including subsea well monitoring for oil and gas, Autonomous Underwater Vehicle (“AUV”) charging, and independent telecommunications platforms.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PB3 commercial product validation activities, a concerted effort has been underway which focuses on proactively implementing additional features driven by extensive and direct discussions with potential users, customers, marketing partners, and end users in our target markets. Such features include:</w:t>
      </w:r>
    </w:p>
    <w:p>
      <w:pPr>
        <w:spacing w:after="0" w:line="181" w:lineRule="exact"/>
        <w:rPr>
          <w:sz w:val="20"/>
          <w:szCs w:val="20"/>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and development of a single point mooring solution that allows for quick deployment of the PowerBuoy®.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PB3, we further enhanced this feature in order to achieve faster and more cost effective PB3 deployments and retrievals.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We believe that by demonstrating the capability of our PowerBuoy® in oil &amp; gas and telecommunications applications, we can advance our technology and gain further adoption from our target markets. We continue to improve design and manufacturing to enhance our ability to improve customer value, displace incumbent solutions, and become the preferred power source for new and existing applications in our target markets.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utilizing our experience with multiple commercial PB3 deployments globally to continually improve our product so that we have higher energy efficiency, additional mooring capability, platform flexibility and high reliability. For example, the redesigned PB3 leverages our knowledge base from past designs to incorporate new design features which we believe will improve its reliability and efficiency.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In November 2018, the Company announced several new product offerings including subsea battery systems, hybrid PowerBuoy® and support services.</w:t>
      </w:r>
    </w:p>
    <w:p>
      <w:pPr>
        <w:spacing w:after="0" w:line="248" w:lineRule="exact"/>
        <w:rPr>
          <w:sz w:val="20"/>
          <w:szCs w:val="20"/>
          <w:color w:val="auto"/>
        </w:rPr>
      </w:pPr>
    </w:p>
    <w:p>
      <w:pPr>
        <w:jc w:val="both"/>
        <w:ind w:left="980" w:hanging="324"/>
        <w:spacing w:after="0" w:line="271" w:lineRule="auto"/>
        <w:tabs>
          <w:tab w:leader="none" w:pos="9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Subsea battery systems </w:t>
      </w:r>
      <w:r>
        <w:rPr>
          <w:rFonts w:ascii="Arial" w:cs="Arial" w:eastAsia="Arial" w:hAnsi="Arial"/>
          <w:sz w:val="17"/>
          <w:szCs w:val="17"/>
          <w:color w:val="auto"/>
        </w:rPr>
        <w:t>– The Company is in the process of creating a sea floor energy storage solution for remote offshore operations. These</w:t>
      </w:r>
      <w:r>
        <w:rPr>
          <w:rFonts w:ascii="Arial" w:cs="Arial" w:eastAsia="Arial" w:hAnsi="Arial"/>
          <w:sz w:val="17"/>
          <w:szCs w:val="17"/>
          <w:i w:val="1"/>
          <w:iCs w:val="1"/>
          <w:color w:val="auto"/>
        </w:rPr>
        <w:t xml:space="preserve"> </w:t>
      </w:r>
      <w:r>
        <w:rPr>
          <w:rFonts w:ascii="Arial" w:cs="Arial" w:eastAsia="Arial" w:hAnsi="Arial"/>
          <w:sz w:val="17"/>
          <w:szCs w:val="17"/>
          <w:color w:val="auto"/>
        </w:rPr>
        <w:t>subsea battery systems will contain lithium ion batteries, which provide higher power density, to supply power that can enable subsea equipment, sensors, communications and autonomous underwater vehicles (AUV) and electric remotely operated vehicles (eROV) recharge. The Company’s PB3 PowerBuoy® is complimentary to subsea battery systems by providing a means for recharging during longer term deployments, or the subsea battery systems can be used independently for shorter term deployments. Ideal for many remote offshore customer applications, these subsea battery systems are anticipated to be high performance, cost-efficient, and quickly deployable. Given the Company’s expertise in offshore energy storage systems from existing PB3 PowerBuoy® technology, the subsea battery solutions will provide an opportunity for the Company to differentiate through technical, cost and delivery leadership.</w:t>
      </w:r>
    </w:p>
    <w:p>
      <w:pPr>
        <w:spacing w:after="0" w:line="178" w:lineRule="exact"/>
        <w:rPr>
          <w:rFonts w:ascii="Arial" w:cs="Arial" w:eastAsia="Arial" w:hAnsi="Arial"/>
          <w:sz w:val="17"/>
          <w:szCs w:val="17"/>
          <w:i w:val="1"/>
          <w:iCs w:val="1"/>
          <w:color w:val="auto"/>
        </w:rPr>
      </w:pPr>
    </w:p>
    <w:p>
      <w:pPr>
        <w:jc w:val="both"/>
        <w:ind w:left="980" w:hanging="324"/>
        <w:spacing w:after="0" w:line="287" w:lineRule="auto"/>
        <w:tabs>
          <w:tab w:leader="none" w:pos="9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Hybrid PowerBuoy® - </w:t>
      </w:r>
      <w:r>
        <w:rPr>
          <w:rFonts w:ascii="Arial" w:cs="Arial" w:eastAsia="Arial" w:hAnsi="Arial"/>
          <w:sz w:val="16"/>
          <w:szCs w:val="16"/>
          <w:color w:val="auto"/>
        </w:rPr>
        <w:t>The Company is in the process of creating a hybrid PowerBuoy® that will be a smaller liquid-fueled surface buoy,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wave power generating PB3 PowerBuoy®, with significant energy storage and capable of providing reliable power in remote offshore locations. This product is to be highly complementary to the PB3 PowerBuoy® by providing the Company the opportunity to address a broader spectrum of customer deployment needs, with the potential for greater Company integration within each customer project. It is primarily intended for shorter term deployment applications such as eROV and AUV inspections and short-term maintenance, topside surveillance and communications, and subsea equipment power purposes. The hybrid PowerBuoy® is anticipated to be a light weight and quickly deployable option specially designed as a cost-effective solution. The design is also anticipated to have a high payload capacity for communications and surveillance, with the capability of being tethered to subsea payloads and battery packs, and/or PB3 PowerBuoys®, or with a conventional anchor mooring system. The Company intends to design the hybrid PowerBuoy® to outperform traditional diesel buoys, which we believe have more frequent service and refueling intervals. We believe the hybrid PowerBuoy® will be able to operate for years without service using environmentally safer and more robust fuels, while operating in a wider temperature range than diesel buoys.</w:t>
      </w:r>
    </w:p>
    <w:p>
      <w:pPr>
        <w:spacing w:after="0" w:line="168" w:lineRule="exact"/>
        <w:rPr>
          <w:rFonts w:ascii="Arial" w:cs="Arial" w:eastAsia="Arial" w:hAnsi="Arial"/>
          <w:sz w:val="16"/>
          <w:szCs w:val="16"/>
          <w:i w:val="1"/>
          <w:iCs w:val="1"/>
          <w:color w:val="auto"/>
        </w:rPr>
      </w:pPr>
    </w:p>
    <w:p>
      <w:pPr>
        <w:jc w:val="both"/>
        <w:ind w:left="980" w:hanging="324"/>
        <w:spacing w:after="0" w:line="261"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Support services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offers customers a comprehensive range of support services that meet their specific needs. These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innovation services, remote monitoring, extended service agreements, customization and pre-packaged payload options, engineering-design-testing services, mooring design, and marine services. These same support services will be extended to the new subsea battery solution and hybrid PowerBuoy®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81"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2019, we entered into contract with the U.S. Navy to carry out the first phase of a project to design and develop a buoy mooring system which incorporates fiber optics for the transmission of subsea sensor data to airplanes, ships, and satellites.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333333"/>
        </w:rPr>
        <w:t>In January 2019 we entered into a J</w:t>
      </w:r>
      <w:r>
        <w:rPr>
          <w:rFonts w:ascii="Arial" w:cs="Arial" w:eastAsia="Arial" w:hAnsi="Arial"/>
          <w:sz w:val="18"/>
          <w:szCs w:val="18"/>
          <w:color w:val="000000"/>
        </w:rPr>
        <w:t>oint System Solution Development and Marketing</w:t>
      </w:r>
      <w:r>
        <w:rPr>
          <w:rFonts w:ascii="Arial" w:cs="Arial" w:eastAsia="Arial" w:hAnsi="Arial"/>
          <w:sz w:val="18"/>
          <w:szCs w:val="18"/>
          <w:color w:val="333333"/>
        </w:rPr>
        <w:t xml:space="preserve"> Agreement with Saab Seaeye Ltd, the world’s largest manufacturer of electric underwater robotic systems. The agreement anticipates a preliminary focus on AUV and eROV charging and communications systems.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333333"/>
        </w:rPr>
        <w:t>In December 2018 we signed a letter of intent to enter into a non-exclusive long-term supply agreement with NEC Energy Solutions (“NEC ES”), a pioneer and global leader in utility scale energy storage. Under the terms of the supply agreement, NEC ES will be a supplier of lithium ion batteries for our subsea battery systems.</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333333"/>
        </w:rPr>
        <w:t>In August 2018 we entered into an agreement with Enel Green Power S.p.A. to evaluate a PB3 PowerBuoy® deployment along the coast of Chile through a detailed feasibility study of the PowerBuoy® as an offshore autonomous platform hosting oceanographic sensor systems.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 June 2018, we entered into a contract with </w:t>
      </w:r>
      <w:r>
        <w:rPr>
          <w:rFonts w:ascii="Arial" w:cs="Arial" w:eastAsia="Arial" w:hAnsi="Arial"/>
          <w:sz w:val="17"/>
          <w:szCs w:val="17"/>
          <w:color w:val="333333"/>
        </w:rPr>
        <w:t>Premier Oil (“PMO”), an international oil and gas company,</w:t>
      </w:r>
      <w:r>
        <w:rPr>
          <w:rFonts w:ascii="Arial" w:cs="Arial" w:eastAsia="Arial" w:hAnsi="Arial"/>
          <w:sz w:val="17"/>
          <w:szCs w:val="17"/>
          <w:color w:val="auto"/>
        </w:rPr>
        <w:t xml:space="preserve"> for the lease (for at least three months and a maximum of twelve months) of a PB3 PowerBuoy® to be deployed in one of PMO’s offshore fields in the North Sea.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2018, we entered into an agreement with Eni that provides for a minimum 24-month contract that includes an 18-month PB3 PowerBuoy® lease and associated project management.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w:t>
      </w:r>
    </w:p>
    <w:p>
      <w:pPr>
        <w:spacing w:after="0" w:line="181" w:lineRule="exact"/>
        <w:rPr>
          <w:rFonts w:ascii="Arial" w:cs="Arial" w:eastAsia="Arial" w:hAnsi="Arial"/>
          <w:sz w:val="18"/>
          <w:szCs w:val="18"/>
          <w:color w:val="auto"/>
        </w:rPr>
      </w:pPr>
    </w:p>
    <w:p>
      <w:pPr>
        <w:jc w:val="both"/>
        <w:ind w:left="980" w:hanging="324"/>
        <w:spacing w:after="0" w:line="297"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September 2016, we entered into a contract with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 The Company is waiting for ONR funding of Phase 2, Option 1 to be approved.</w:t>
      </w:r>
    </w:p>
    <w:p>
      <w:pPr>
        <w:spacing w:after="0" w:line="158"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worked with MES (from 2010 to present)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PowerBuoy®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PowerBuoy®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69" w:lineRule="exact"/>
        <w:rPr>
          <w:rFonts w:ascii="Arial" w:cs="Arial" w:eastAsia="Arial" w:hAnsi="Arial"/>
          <w:sz w:val="16"/>
          <w:szCs w:val="16"/>
          <w:color w:val="auto"/>
        </w:rPr>
      </w:pPr>
    </w:p>
    <w:p>
      <w:pPr>
        <w:jc w:val="both"/>
        <w:ind w:left="980" w:hanging="324"/>
        <w:spacing w:after="0" w:line="297"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May 2016, we entered into a Memorandum of Agreement (“MOA”) with Wildlife Conservation Society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 was deployed off the coast of New Jersey which sought to establish a baseline acoustic survey. The deployment proceeded for approximately three months and met all project objectives.</w:t>
      </w:r>
    </w:p>
    <w:p>
      <w:pPr>
        <w:spacing w:after="0" w:line="158"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2016, we entered into a Cooperative Research and Development Agreement (“CRADA”) with the National Data Buoy Center (“NDBC”) to conduct ocean demonstrations of its innovative Self-Contained Ocean Observing Payload (“SCOOP”) monitoring system integrated into our PB3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In consideration for entering into the agreement, the Company issued to Aspire Capital 428,571 shares of our common stock as a commitment fee. As of January 31, 2019, the Company has sold 800,000 shares of common stock with an aggregate market value of $301,000 at an average price of $0.38 per share pursuant to this common stock purchase agreement.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2019, the Company entered into an At the Market Offering Agreement (“2019 ATM Facility”) with A.G.P./Alliance Global Partners (“AGP”), under which the Company may issue and sell to or through A.G.P./Alliance Global Partners, acting as agent and/or principal, shares of the Company’s common stock having an aggregate offering price of up to $25 million. Under the 2019 ATM Facility, during the month of January 2019, the Company issued and sold 819,538 shares of its Common Stock with an aggregate market value of $273,735 at an average price of $0.33 per share and paid AGP a sales commission of approximately $8,900 related to those shares.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2019, the Company’s negotiated backlog was $0.9 million. As of April 30, 2018, negotiated backlog was $0.7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6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Sell and/or lease PB3 PowerBuoy®. </w:t>
      </w:r>
      <w:r>
        <w:rPr>
          <w:rFonts w:ascii="Arial" w:cs="Arial" w:eastAsia="Arial" w:hAnsi="Arial"/>
          <w:sz w:val="17"/>
          <w:szCs w:val="17"/>
          <w:color w:val="auto"/>
        </w:rPr>
        <w:t>We believe our PB3 PowerBuoy® is well suited for many autonomous (non-grid connected) offshore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We have observed potential market demand for both PowerBuoy® sales and leases within our selected markets, and we intend to sell and lease PB3 PowerBuoy® to these markets. We believe customer inquiries regarding applications of the PowerBuoy® have increased as a result of our deployments, recent contract awards and increased end user awareness of our PowerBuoy® solutions. Additionally, we intend to provide services associated with product sales and leases such as extended maintenance agreements, remote monitoring and diagnostics, data services and storage, application engineering, planning, training, logistics and security support required throughout the PB3 PowerBuoy® life-cycle. We continue to increase our commercial capabilities through new hires in marketing, sales, and application support, and through engagement of expert market consultants in geographies, markets and applications.</w:t>
      </w:r>
    </w:p>
    <w:p>
      <w:pPr>
        <w:spacing w:after="0" w:line="178"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Concentrate sales and marketing efforts in specific geographic markets. </w:t>
      </w:r>
      <w:r>
        <w:rPr>
          <w:rFonts w:ascii="Arial" w:cs="Arial" w:eastAsia="Arial" w:hAnsi="Arial"/>
          <w:sz w:val="17"/>
          <w:szCs w:val="17"/>
          <w:color w:val="auto"/>
        </w:rPr>
        <w:t>We are currently focusing our marketing efforts in North America and</w:t>
      </w:r>
      <w:r>
        <w:rPr>
          <w:rFonts w:ascii="Arial" w:cs="Arial" w:eastAsia="Arial" w:hAnsi="Arial"/>
          <w:sz w:val="17"/>
          <w:szCs w:val="17"/>
          <w:i w:val="1"/>
          <w:iCs w:val="1"/>
          <w:color w:val="auto"/>
        </w:rPr>
        <w:t xml:space="preserve"> </w:t>
      </w:r>
      <w:r>
        <w:rPr>
          <w:rFonts w:ascii="Arial" w:cs="Arial" w:eastAsia="Arial" w:hAnsi="Arial"/>
          <w:sz w:val="17"/>
          <w:szCs w:val="17"/>
          <w:color w:val="auto"/>
        </w:rPr>
        <w:t>Europe and a more focused effort on selected parts of Asia, Africa and South America. We believe that each of these areas has sizable end market opportunities, political and economic stability, and high levels of industrialization and economic development.</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Expand our relationships in key market areas through strategic partnerships and collaborations. </w:t>
      </w:r>
      <w:r>
        <w:rPr>
          <w:rFonts w:ascii="Arial" w:cs="Arial" w:eastAsia="Arial" w:hAnsi="Arial"/>
          <w:sz w:val="17"/>
          <w:szCs w:val="17"/>
          <w:color w:val="auto"/>
        </w:rPr>
        <w:t>We believe that strategic partners are an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commercializing a new product. Partnerships and collaborations can be used to improve the development of overall integrated solutions, create new market channels, expand commercial know-how and geographic footprint, and bolster our product delivery capabilities.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jc w:val="both"/>
        <w:ind w:left="980" w:hanging="324"/>
        <w:spacing w:after="0" w:line="259" w:lineRule="auto"/>
        <w:tabs>
          <w:tab w:leader="none" w:pos="98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collaborations. </w:t>
      </w:r>
      <w:r>
        <w:rPr>
          <w:rFonts w:ascii="Arial" w:cs="Arial" w:eastAsia="Arial" w:hAnsi="Arial"/>
          <w:sz w:val="18"/>
          <w:szCs w:val="18"/>
          <w:color w:val="auto"/>
        </w:rPr>
        <w:t>We believe that an important element of our business strategy is to collaborate with other organizations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combined expertise, market presence and access, and core competences across key markets. We have formed such a relationship with several well-known groups, and we continue to seek other opportunities to collaborate with application experts from within our selected markets.</w:t>
      </w:r>
    </w:p>
    <w:p>
      <w:pPr>
        <w:spacing w:after="0" w:line="186" w:lineRule="exact"/>
        <w:rPr>
          <w:rFonts w:ascii="Arial" w:cs="Arial" w:eastAsia="Arial" w:hAnsi="Arial"/>
          <w:sz w:val="18"/>
          <w:szCs w:val="18"/>
          <w:i w:val="1"/>
          <w:iCs w:val="1"/>
          <w:color w:val="auto"/>
        </w:rPr>
      </w:pPr>
    </w:p>
    <w:p>
      <w:pPr>
        <w:jc w:val="both"/>
        <w:ind w:left="980" w:hanging="324"/>
        <w:spacing w:after="0" w:line="297" w:lineRule="auto"/>
        <w:tabs>
          <w:tab w:leader="none" w:pos="980" w:val="left"/>
        </w:tabs>
        <w:numPr>
          <w:ilvl w:val="1"/>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Outsourcing of fabrication, deployment and service support</w:t>
      </w:r>
      <w:r>
        <w:rPr>
          <w:rFonts w:ascii="Arial" w:cs="Arial" w:eastAsia="Arial" w:hAnsi="Arial"/>
          <w:sz w:val="16"/>
          <w:szCs w:val="16"/>
          <w:color w:val="auto"/>
        </w:rPr>
        <w:t>. We outsource all fabrication, anchoring, mooring, cabling supply, and in most cases</w:t>
      </w:r>
      <w:r>
        <w:rPr>
          <w:rFonts w:ascii="Arial" w:cs="Arial" w:eastAsia="Arial" w:hAnsi="Arial"/>
          <w:sz w:val="16"/>
          <w:szCs w:val="16"/>
          <w:i w:val="1"/>
          <w:iCs w:val="1"/>
          <w:color w:val="auto"/>
        </w:rPr>
        <w:t xml:space="preserve"> </w:t>
      </w:r>
      <w:r>
        <w:rPr>
          <w:rFonts w:ascii="Arial" w:cs="Arial" w:eastAsia="Arial" w:hAnsi="Arial"/>
          <w:sz w:val="16"/>
          <w:szCs w:val="16"/>
          <w:color w:val="auto"/>
        </w:rPr>
        <w:t>deployment of our PowerBuoy® in order to minimize our capital requirements as we scale our business and focus on commercialization. Our PTO is a proprietary subsystem and is assembled and tested at our facility. We believe this distributed manufacturing and assembly approach enables us to focus on our core competencies ensure a cost-effective product by leveraging a larger more established supply base. We also continue to seek strategic partnerships with regards to servicing of our PB3 PowerBuoy®, which complements our commercialization strategy.</w:t>
      </w:r>
    </w:p>
    <w:p>
      <w:pPr>
        <w:spacing w:after="0" w:line="158"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PB3 cost reduction and PowerBuoy® product development. </w:t>
      </w:r>
      <w:r>
        <w:rPr>
          <w:rFonts w:ascii="Arial" w:cs="Arial" w:eastAsia="Arial" w:hAnsi="Arial"/>
          <w:sz w:val="18"/>
          <w:szCs w:val="18"/>
          <w:color w:val="auto"/>
        </w:rPr>
        <w:t>Our engineering efforts are focused on customer application development for PB3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leases, cost reduction of our PB3 PowerBuoy® and improving the energy output, reliability, extending maintenance intervals and expected operating life of our PowerBuoys®. We continue to optimize manufacturability of our designs with a focus on cost competitiveness and reduction, and we believe that we will be able to address new and different applications by developing new products that increase energy output and demonstrate a high reliability our customers expect.</w:t>
      </w:r>
    </w:p>
    <w:p>
      <w:pPr>
        <w:spacing w:after="0" w:line="188"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New product offerings. </w:t>
      </w:r>
      <w:r>
        <w:rPr>
          <w:rFonts w:ascii="Arial" w:cs="Arial" w:eastAsia="Arial" w:hAnsi="Arial"/>
          <w:sz w:val="17"/>
          <w:szCs w:val="17"/>
          <w:color w:val="auto"/>
        </w:rPr>
        <w:t>We are currently in the process of developing subsea battery solutions and a hybrid PowerBuoy®. The subsea battery</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 will use commercially proven lithium ion batteries to supply power to subsea equipment, sensors, communications and autonomous underwater vehicles (AUV) and electric remotely operated vehicles (eROV) recharge. The hybrid PowerBuoy® will be a smaller liquid-fueled surface buoy, with significant energy storage and capable of providing reliable power in remote offshore locations. The Company anticipates marketing and quoting to potential customers around the world as early as the first half of calendar year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consolidated financial statements have been prepared assuming the Company will continue as a going concern. The Company has experienced substantial and recurring losses from operations, which losses have caused an accumulated deficit of $207.3 million at January 31, 2019. Based on the Company’s cash, cash equivalents and restricted cash balances as of January 31, 2019, the Company believes that it will be able to finance its capital requirements and operations into the quarter ending April 30, 2019. In August 2018, the Company entered into a common stock purchase agreement with Aspire Capital Fund, LLC. As of January 31, 2019, the Company has sold 800,000 shares of common stock with an aggregate market value of $301,000 at an average price of $0.38 per share pursuant to this common stock purchase agreement. In January 2019, the Company entered into an At the Market Offering Agreement with A.G.P./Alliance Global Partners. Under the 2019 ATM Facility, during the month of January 2019, the Company issued and sold 819,538 shares of its common stock with an aggregate market value of $273,735 at an average price of $0.33 per share and paid AGP a sales commission of approximately $8,900 related to those shares. Among other things, the Company is currently evaluating a variety of different financing alternatives and we expect to continue to fund our business with sales of our securities and through generating revenue with customers.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2018,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generally accepted accounting principles, or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2018. There were no material changes in our critical accounting estimates or accounting policies during the nine months ended January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ASU 2018-11 provides companies another transition method in addition to the existing transition method by allowing entities to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apply the new leases standard at the adoption date and recognize a cumulative-effect adjustment to the opening balance of retained earnings in the period of adoption. The consideration in the contract is allocated to the lease and non-lease components on a relative standalone price basis (for lessees) or in accordance with the allocation guidance in the new revenue standard (for lessors). ASU 2018-11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In December 2018, the FASB issued ASU No. 2018-20,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Narrow-Scope Improvements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Lessors.” </w:t>
      </w:r>
      <w:r>
        <w:rPr>
          <w:rFonts w:ascii="Arial" w:cs="Arial" w:eastAsia="Arial" w:hAnsi="Arial"/>
          <w:sz w:val="16"/>
          <w:szCs w:val="16"/>
          <w:color w:val="auto"/>
        </w:rPr>
        <w:t>ASU 2018-20 provides further guidance to lessors on the following topics; sales taxes and other similar taxes collected from lessees, certain lessor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costs and recognition of variable payments for contracts with lease and non-lease components. The amendments in this Update permit lessors, as an accounting policy election, to not evaluate whether certain sales taxes and other similar taxes are lessor costs (as described in paragraph 842-10-15-30(b)) or lessee costs. Instead, those lessors will account for those costs as if they are lessee costs. The amendments in this Update related to certain lessor costs require lessors to exclude from variable payments, and therefore revenue, lessor costs paid by lessees directly to third parties. The amendments in this Update related to recognizing variable payments for contracts with lease and non-lease components require lessors to </w:t>
      </w:r>
      <w:r>
        <w:rPr>
          <w:rFonts w:ascii="Arial" w:cs="Arial" w:eastAsia="Arial" w:hAnsi="Arial"/>
          <w:sz w:val="16"/>
          <w:szCs w:val="16"/>
          <w:i w:val="1"/>
          <w:iCs w:val="1"/>
          <w:color w:val="auto"/>
        </w:rPr>
        <w:t>allocate</w:t>
      </w:r>
      <w:r>
        <w:rPr>
          <w:rFonts w:ascii="Arial" w:cs="Arial" w:eastAsia="Arial" w:hAnsi="Arial"/>
          <w:sz w:val="16"/>
          <w:szCs w:val="16"/>
          <w:color w:val="auto"/>
        </w:rPr>
        <w:t xml:space="preserve"> (rather than </w:t>
      </w:r>
      <w:r>
        <w:rPr>
          <w:rFonts w:ascii="Arial" w:cs="Arial" w:eastAsia="Arial" w:hAnsi="Arial"/>
          <w:sz w:val="16"/>
          <w:szCs w:val="16"/>
          <w:i w:val="1"/>
          <w:iCs w:val="1"/>
          <w:color w:val="auto"/>
        </w:rPr>
        <w:t>recognize</w:t>
      </w:r>
      <w:r>
        <w:rPr>
          <w:rFonts w:ascii="Arial" w:cs="Arial" w:eastAsia="Arial" w:hAnsi="Arial"/>
          <w:sz w:val="16"/>
          <w:szCs w:val="16"/>
          <w:color w:val="auto"/>
        </w:rPr>
        <w:t xml:space="preserve"> as currently required) certain variable payments to the lease and non-lease components when the changes in facts and circumstances on which the variable payment is based occur. The Company is evaluating the effect ASU 2016-02 will have on its consolidated financial statements and disclosures and has not yet determined the effect of the standard on its ongoing financial reporting at this time.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2016-15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ind w:left="40"/>
        <w:spacing w:after="0" w:line="255"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 — Stock Compensation (ASC Topic 718): Scope of Modification Accounting,”</w:t>
      </w:r>
      <w:r>
        <w:rPr>
          <w:rFonts w:ascii="Arial" w:cs="Arial" w:eastAsia="Arial" w:hAnsi="Arial"/>
          <w:sz w:val="18"/>
          <w:szCs w:val="18"/>
          <w:color w:val="auto"/>
        </w:rPr>
        <w:t xml:space="preserve"> which clarifies when changes to the terms or conditions of a share-based payment award must be accounted for as a modification. Entities should apply the modification accounting guidance if the value, vesting conditions or classification of the award changes. The amendments in the ASU are effective for fiscal years beginning after December 15, 2017, and interim periods within those fiscal years and early adoption is permitted. The Company has evaluated the effect ASU 2017-09 will have on its consolidated financial statements and disclosures and has determined the standard will have no impact on its ongoing financial reporting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The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w:t>
      </w:r>
      <w:r>
        <w:rPr>
          <w:rFonts w:ascii="Arial" w:cs="Arial" w:eastAsia="Arial" w:hAnsi="Arial"/>
          <w:sz w:val="16"/>
          <w:szCs w:val="16"/>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claims and unpriced change orders; awards and incentive fees;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9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7"/>
          </w:tcPr>
          <w:p>
            <w:pPr>
              <w:ind w:left="6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89"/>
              </w:rPr>
              <w:t>(in thousands)</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Enel Green Power</w:t>
            </w: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Eni S.p.A.</w:t>
            </w:r>
          </w:p>
        </w:tc>
        <w:tc>
          <w:tcPr>
            <w:tcW w:w="10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0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of Naval Research</w:t>
            </w: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Asia and South America. The following table shows the percentage of our revenues by geographical location of our customers for the nine months ended January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 January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1140"/>
              <w:spacing w:after="0"/>
              <w:rPr>
                <w:sz w:val="20"/>
                <w:szCs w:val="20"/>
                <w:color w:val="auto"/>
              </w:rPr>
            </w:pPr>
            <w:r>
              <w:rPr>
                <w:rFonts w:ascii="Arial" w:cs="Arial" w:eastAsia="Arial" w:hAnsi="Arial"/>
                <w:sz w:val="18"/>
                <w:szCs w:val="18"/>
                <w:b w:val="1"/>
                <w:bCs w:val="1"/>
                <w:color w:val="auto"/>
              </w:rPr>
              <w:t>Customer Location</w:t>
            </w:r>
          </w:p>
        </w:tc>
        <w:tc>
          <w:tcPr>
            <w:tcW w:w="2760" w:type="dxa"/>
            <w:vAlign w:val="bottom"/>
            <w:gridSpan w:val="2"/>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4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4540" w:type="dxa"/>
            <w:vAlign w:val="bottom"/>
            <w:gridSpan w:val="4"/>
          </w:tcPr>
          <w:p>
            <w:pPr>
              <w:jc w:val="right"/>
              <w:ind w:right="110"/>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0" w:type="dxa"/>
            <w:vAlign w:val="bottom"/>
            <w:vMerge w:val="restart"/>
          </w:tcPr>
          <w:p>
            <w:pPr>
              <w:jc w:val="right"/>
              <w:ind w:right="83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and cash equivalents, investments in commercial bank-issued certificates of deposit and US Treasury bills and notes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accounts had a balance of $0.8 million as of January 31, 2019 and $1.1 million as of January 31, 2018, compared to our total cash, cash equivalents and restricted cash balances of $2.7 million as of January 31, 2019 and $14.9 million as of January 31, 2018. These foreign currency balances are translated at each month and to our functional currency, the US dollar, and any resulting gain or loss is recognized in our results of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2019 compared to the three months ended January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600" w:type="dxa"/>
            <w:vAlign w:val="bottom"/>
            <w:gridSpan w:val="7"/>
            <w:vMerge w:val="restart"/>
          </w:tcPr>
          <w:p>
            <w:pPr>
              <w:jc w:val="right"/>
              <w:ind w:right="620"/>
              <w:spacing w:after="0"/>
              <w:rPr>
                <w:sz w:val="20"/>
                <w:szCs w:val="20"/>
                <w:color w:val="auto"/>
              </w:rPr>
            </w:pPr>
            <w:r>
              <w:rPr>
                <w:rFonts w:ascii="Arial" w:cs="Arial" w:eastAsia="Arial" w:hAnsi="Arial"/>
                <w:sz w:val="18"/>
                <w:szCs w:val="18"/>
                <w:b w:val="1"/>
                <w:bCs w:val="1"/>
                <w:color w:val="auto"/>
              </w:rPr>
              <w:t>Three months ended January 31,</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600" w:type="dxa"/>
            <w:vAlign w:val="bottom"/>
            <w:gridSpan w:val="7"/>
            <w:vMerge w:val="continue"/>
          </w:tcPr>
          <w:p>
            <w:pPr>
              <w:spacing w:after="0"/>
              <w:rPr>
                <w:sz w:val="20"/>
                <w:szCs w:val="20"/>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2019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2018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(in thousands)</w:t>
            </w:r>
          </w:p>
        </w:tc>
        <w:tc>
          <w:tcPr>
            <w:tcW w:w="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Engineering and product development costs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9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1,576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(3,522)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(2,894)</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income, net</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9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(2,782)</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9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1,119</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(2,611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(1,663</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6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Revenues were $0.3 million in the three months ended January 31, 2019 an increase $0.3 million as compared to the three months ended January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 was the result of the contracts with Eni and PMO.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revenues increased $0.4 million compared to the three months ended January 31, 2018. The increase in cost of r</w:t>
      </w:r>
      <w:r>
        <w:rPr>
          <w:rFonts w:ascii="Arial" w:cs="Arial" w:eastAsia="Arial" w:hAnsi="Arial"/>
          <w:sz w:val="18"/>
          <w:szCs w:val="18"/>
          <w:color w:val="333333"/>
        </w:rPr>
        <w:t>evenues is due to higher spending and</w:t>
      </w:r>
      <w:r>
        <w:rPr>
          <w:rFonts w:ascii="Arial" w:cs="Arial" w:eastAsia="Arial" w:hAnsi="Arial"/>
          <w:sz w:val="18"/>
          <w:szCs w:val="18"/>
          <w:color w:val="auto"/>
        </w:rPr>
        <w:t xml:space="preserve"> </w:t>
      </w:r>
      <w:r>
        <w:rPr>
          <w:rFonts w:ascii="Arial" w:cs="Arial" w:eastAsia="Arial" w:hAnsi="Arial"/>
          <w:sz w:val="18"/>
          <w:szCs w:val="18"/>
          <w:color w:val="333333"/>
        </w:rPr>
        <w:t>material costs on new customer revenue generating projects compared to the same period in fiscal 2018. During fiscal 2018, all of the projects were completed in the first half of the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Product development costs for the three months ended January 31, 2019 and 2018 were $1.4 million and $1.3 million, respectively. The increase of $0.1 million </w:t>
      </w:r>
      <w:r>
        <w:rPr>
          <w:rFonts w:ascii="Arial" w:cs="Arial" w:eastAsia="Arial" w:hAnsi="Arial"/>
          <w:sz w:val="18"/>
          <w:szCs w:val="18"/>
          <w:color w:val="333333"/>
        </w:rPr>
        <w:t>is due to higher spending on new product development as compared to the same period in fiscal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Selling, general and administrative costs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costs for the three months ended January 31, 2019 and 2018 were $2.0 million and $1.6 million, respectively. The increase $0.4 million was mostly due to higher personnel costs, investor relations, and professional fees as compared to the same period in fiscal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three months ended January 31, 2019 was an unrealized gain of $47,000 versus an unrealized gain of $14,000 for the three months ended January 31, 2018. The change between periods is due primarily to a lower stock price during the three months ended January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income, net during the three months ended January 31, 2019 was $2,000, compares to $42,000 during the three months ended January 31, 2018. The decrease of $40,000 is due to lower cash balances in the three months ended January 31, 2019 as compared to the three months ended January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gain during the three months ended January 31, 2019 was $12,000 compared to a gain of $52,000 during the three months ended January 31, 2018.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2019, the Company recorded an income tax benefit of $0.9 million representing the proceeds from the sale of $9.1 million of New Jersey net operating loss carryforwards and research and development tax credits. During the three months ended January 31, 2018, the Company recorded an income tax benefit of $1.1 million representing the proceeds from the sale of $11.4 million of New Jersey net operating loss carryforwards and research and development tax credits.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Nine months ended January 31, 2019 compared to the nine months ended January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2019 and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Nine months ended January 31,</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change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20" w:type="dxa"/>
            <w:vAlign w:val="bottom"/>
            <w:tcBorders>
              <w:bottom w:val="single" w:sz="8" w:color="auto"/>
            </w:tcBorders>
            <w:gridSpan w:val="4"/>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2019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0"/>
              <w:spacing w:after="0" w:line="189" w:lineRule="exact"/>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w w:val="90"/>
              </w:rPr>
              <w:t>to 2018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3"/>
          </w:tcPr>
          <w:p>
            <w:pPr>
              <w:jc w:val="right"/>
              <w:ind w:right="660"/>
              <w:spacing w:after="0"/>
              <w:rPr>
                <w:sz w:val="20"/>
                <w:szCs w:val="20"/>
                <w:color w:val="auto"/>
              </w:rPr>
            </w:pPr>
            <w:r>
              <w:rPr>
                <w:rFonts w:ascii="Arial" w:cs="Arial" w:eastAsia="Arial" w:hAnsi="Arial"/>
                <w:sz w:val="18"/>
                <w:szCs w:val="18"/>
                <w:color w:val="auto"/>
              </w:rPr>
              <w:t>(in thousands)</w:t>
            </w:r>
          </w:p>
        </w:tc>
        <w:tc>
          <w:tcPr>
            <w:tcW w:w="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Revenues</w:t>
            </w:r>
          </w:p>
        </w:tc>
        <w:tc>
          <w:tcPr>
            <w:tcW w:w="1900" w:type="dxa"/>
            <w:vAlign w:val="bottom"/>
            <w:gridSpan w:val="2"/>
            <w:shd w:val="clear" w:color="auto" w:fill="CCEEFF"/>
          </w:tcPr>
          <w:p>
            <w:pPr>
              <w:jc w:val="right"/>
              <w:ind w:right="83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440</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289</w:t>
            </w:r>
          </w:p>
        </w:tc>
        <w:tc>
          <w:tcPr>
            <w:tcW w:w="1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line="189" w:lineRule="exact"/>
              <w:rPr>
                <w:sz w:val="20"/>
                <w:szCs w:val="20"/>
                <w:color w:val="auto"/>
              </w:rPr>
            </w:pPr>
            <w:r>
              <w:rPr>
                <w:rFonts w:ascii="Arial" w:cs="Arial" w:eastAsia="Arial" w:hAnsi="Arial"/>
                <w:sz w:val="18"/>
                <w:szCs w:val="18"/>
                <w:color w:val="auto"/>
              </w:rPr>
              <w:t>Cost of revenues</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1,180</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193</w:t>
            </w:r>
          </w:p>
        </w:tc>
        <w:tc>
          <w:tcPr>
            <w:tcW w:w="17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Gross profit/(loss)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(740</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Engineering and product development costs</w:t>
            </w: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4,105</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3,398</w:t>
            </w:r>
          </w:p>
        </w:tc>
        <w:tc>
          <w:tcPr>
            <w:tcW w:w="1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ind w:left="160"/>
              <w:spacing w:after="0" w:line="189" w:lineRule="exact"/>
              <w:rPr>
                <w:sz w:val="20"/>
                <w:szCs w:val="20"/>
                <w:color w:val="auto"/>
              </w:rPr>
            </w:pPr>
            <w:r>
              <w:rPr>
                <w:rFonts w:ascii="Arial" w:cs="Arial" w:eastAsia="Arial" w:hAnsi="Arial"/>
                <w:sz w:val="18"/>
                <w:szCs w:val="18"/>
                <w:color w:val="auto"/>
              </w:rPr>
              <w:t>Selling, general and administrative costs</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5,909</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4,964</w:t>
            </w:r>
          </w:p>
        </w:tc>
        <w:tc>
          <w:tcPr>
            <w:tcW w:w="17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10,014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8,362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tcPr>
          <w:p>
            <w:pPr>
              <w:spacing w:after="0" w:line="176" w:lineRule="exact"/>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83"/>
              </w:rPr>
              <w:t>(10,754)</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84"/>
              </w:rPr>
              <w:t>(8,266)</w:t>
            </w: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Gain due to the change in fair value of warrant liabilities</w:t>
            </w: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183</w:t>
            </w: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spacing w:after="0" w:line="189" w:lineRule="exact"/>
              <w:rPr>
                <w:sz w:val="20"/>
                <w:szCs w:val="20"/>
                <w:color w:val="auto"/>
              </w:rPr>
            </w:pPr>
            <w:r>
              <w:rPr>
                <w:rFonts w:ascii="Arial" w:cs="Arial" w:eastAsia="Arial" w:hAnsi="Arial"/>
                <w:sz w:val="18"/>
                <w:szCs w:val="18"/>
                <w:color w:val="auto"/>
              </w:rPr>
              <w:t>Interest income, net</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51</w:t>
            </w:r>
          </w:p>
        </w:tc>
        <w:tc>
          <w:tcPr>
            <w:tcW w:w="320" w:type="dxa"/>
            <w:vAlign w:val="bottom"/>
          </w:tcPr>
          <w:p>
            <w:pPr>
              <w:spacing w:after="0"/>
              <w:rPr>
                <w:sz w:val="16"/>
                <w:szCs w:val="16"/>
                <w:color w:val="auto"/>
              </w:rPr>
            </w:pPr>
          </w:p>
        </w:tc>
        <w:tc>
          <w:tcPr>
            <w:tcW w:w="17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4</w:t>
            </w:r>
          </w:p>
        </w:tc>
        <w:tc>
          <w:tcPr>
            <w:tcW w:w="1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line="189" w:lineRule="exact"/>
              <w:rPr>
                <w:sz w:val="20"/>
                <w:szCs w:val="20"/>
                <w:color w:val="auto"/>
              </w:rPr>
            </w:pPr>
            <w:r>
              <w:rPr>
                <w:rFonts w:ascii="Arial" w:cs="Arial" w:eastAsia="Arial" w:hAnsi="Arial"/>
                <w:sz w:val="18"/>
                <w:szCs w:val="18"/>
                <w:color w:val="auto"/>
              </w:rPr>
              <w:t>Foreign exchange gain/(loss)</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(43)</w:t>
            </w:r>
          </w:p>
        </w:tc>
        <w:tc>
          <w:tcPr>
            <w:tcW w:w="1080" w:type="dxa"/>
            <w:vAlign w:val="bottom"/>
          </w:tcPr>
          <w:p>
            <w:pPr>
              <w:spacing w:after="0"/>
              <w:rPr>
                <w:sz w:val="17"/>
                <w:szCs w:val="17"/>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107</w:t>
            </w:r>
          </w:p>
        </w:tc>
        <w:tc>
          <w:tcPr>
            <w:tcW w:w="17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Loss before income taxes</w:t>
            </w:r>
          </w:p>
        </w:tc>
        <w:tc>
          <w:tcPr>
            <w:tcW w:w="8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3"/>
              </w:rPr>
              <w:t>(10,591)</w:t>
            </w:r>
          </w:p>
        </w:tc>
        <w:tc>
          <w:tcPr>
            <w:tcW w:w="3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(8,022)</w:t>
            </w:r>
          </w:p>
        </w:tc>
        <w:tc>
          <w:tcPr>
            <w:tcW w:w="3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ind w:left="340"/>
              <w:spacing w:after="0" w:line="189" w:lineRule="exact"/>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850</w:t>
            </w:r>
          </w:p>
        </w:tc>
        <w:tc>
          <w:tcPr>
            <w:tcW w:w="1080" w:type="dxa"/>
            <w:vAlign w:val="bottom"/>
          </w:tcPr>
          <w:p>
            <w:pPr>
              <w:spacing w:after="0"/>
              <w:rPr>
                <w:sz w:val="17"/>
                <w:szCs w:val="17"/>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1,119</w:t>
            </w:r>
          </w:p>
        </w:tc>
        <w:tc>
          <w:tcPr>
            <w:tcW w:w="17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30"/>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(9,741</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(6,903</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740" w:type="dxa"/>
            <w:vAlign w:val="bottom"/>
            <w:tcBorders>
              <w:top w:val="single" w:sz="8" w:color="CCEEFF"/>
              <w:bottom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were $0.4 million in the nine months ended January 31, 2019 as compared to $0.3 million in the nine months ended January 31, 2018. The increase in revenue is due primarily to the mix in customer contracts. During the nine months ended January 31, 2019 revenues were derived from new projects with Eni, PMO and Enel whereas projects with MES and ONR were completed during the nine months ended January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revenues of $1.2 million for the nine months ended January 31, 2019 as compared to $0.2 million in the nine months ended January 31, 2018. The increase of $1.0 million in cost of revenues is mostly due to higher spending and material costs on new projects in fiscal 2019 as compared to the same period in the fiscal 2018. During fiscal 2018, all of projects were completed in the first half of the year and spending on new projects did not start until fourth quarter,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costs for the nine months ended January 31, 2019 and 2018 were $4.1 million and $3.4 million, respectively. The increase of $0.7 million is due to higher spending on new product development, buoy builds for future customer contracts and personnel costs as compared to the same period in the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for the nine months ended January 31, 2019 and 2018 were $5.9 million and $5.0 million, respectively. The increase of $0.9 million was mostly due to higher personnel costs of $0.2 million, higher investor relations costs of $0.4 million, higher professional fees of $0.2 million and higher marketing expense of $0.1 million as compared to the same period in the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nine months ended January 31, 2019 was an unrealized gain of $183,000 versus an unrealized gain of $82,000 for the nine months ended January 31, 2018. The change between periods is due to a lower stock price during the nine months ended January 31,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during the nine months ended January 31, 2019 was $23,000, as compared to $51,000 during the nine months ended January 31,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decrease of $28,000 is due to lower cash balances in the nine months ended January 31, 2019 as compared to the nine months ended January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during the nine months ended January 31, 2019 was $43,000 compared to a gain of $107,000 during the nine months ended January 31, 2018.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January 31, 2019, the Company recorded an income tax benefit of $0.9 million representing the proceeds from the sale of $9.1 million of New Jersey net operating loss carryforwards and research and development tax credits. During the nine months ended January 31, 2018, the Company recorded an income tax benefit of $1.1 million representing the proceeds from the sale of $11.4 million of New Jersey net operating loss carryforwards and research and development tax credits.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two years ended April 30, 2018, our aggregate revenues were $1.4 million, our aggregate net losses were $19.6 million and our aggregate net cash used in operating activities was $20.7 million. Refer to “Liquidity Outlook” below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flows used in operating activities during the nine months ended January 31, 2019 were $9.9 million, an increase of $1.7 million compared to $8.2 million during the nine months ended January 31, 2018. The increase was primarily due to higher net loss of $2.8 million and payment of deferred credits of $0.6 million partly offset by other changes in operating assets and liabilities of $1.7 million as compared to the same period in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during the nine months ended January 31, 2019 was $29,000, a decrease of $0.5 million compared to net cash used by investing activities during the nine months ended January 31, 2018. The decrease in net cash used in investing activities was due to lower spending on the purchase of equipment and leasehold improvements.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used/provided by financing activities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provided by financing activities during the nine months ended January 31, 2019 was $0.4 million compared to net cash provided by financing activities during the nine months ended January 31, 2018 of $14.6 million. The nine months ended January 31, 2018 included proceeds from the issuance of common stock of $14.6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$58,000 in the nine months ended January 31, 2019 and an increase of $143,000 in the nine months ended for January 31, 2018. The effect of exchange rates on cash and cash equivalents results primarily from gains or losses on consolidation of foreign subsidiaries and foreign denominated cash and cash equivalents.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financial statements have been prepared assuming we will continue as a going concern. We have experienced substantial and recurring losses from operations, which have contributed to an accumulated deficit of $207.3 million at January 31, 2019. As of January 31, 2019, we had approximately $2.7 million in cash, cash equivalents and restricted cash on hand. The Company generated revenues of $0.4 and $0.3 million during the nine months ended January 31, 2019 and 2018, respectively. Based on the Company’s cash, cash equivalents and restricted cash balances as of January 31, 2019, the Company believes that it will be able to finance its capital requirements and operations into the quarter April 30, 2019. In August 2018, the Company entered into a common stock purchase agreement with Aspire Capital Fund, LLC. As of January 31, 2019, the Company has sold 800,000 shares of common stock with an aggregate market value of $301,000 at an average price of $0.38 per share pursuant to this common stock purchase agreement. In January 2019, the Company entered into an At the Market Offering Agreement with A.G.P./Alliance Global Partners. Under the 2019 ATM Facility, during the month of January 2019, the Company issued and sold 819,538 shares of its common stock with an aggregate market value of $273,735 at an average price of $0.33 per share and paid AGP a sales commission of approximately $8,900 related to those shares. Among other things, the Company is currently evaluating a variety of different financing alternatives and we expect to continue to fund our business with sales of our securities and through generating revenue with customers. These conditions raise substantial doubt about our ability to continue as a going concern.</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successfully develop and market and develop new products, such as a hybrid PowerBuoy® or subsea battery solutions;</w:t>
      </w:r>
    </w:p>
    <w:p>
      <w:pPr>
        <w:spacing w:after="0" w:line="248" w:lineRule="exact"/>
        <w:rPr>
          <w:rFonts w:ascii="Arial" w:cs="Arial" w:eastAsia="Arial" w:hAnsi="Arial"/>
          <w:sz w:val="16"/>
          <w:szCs w:val="16"/>
          <w:color w:val="auto"/>
        </w:rPr>
      </w:pPr>
    </w:p>
    <w:p>
      <w:pPr>
        <w:ind w:left="1620" w:hanging="315"/>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power output, survivability and reliability of our PowerBuoys®;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620" w:right="20" w:hanging="315"/>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our strategic partners may not be successful and we may not be successful in establishing additional relationships;</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$14.5 million in fiscal 2019 including product development spending of more than $6.3 million. We may choose to reduce our operating expenses through personnel reductions, and reductions in our research and development and other operating costs during the remainder of fiscal year 2019,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2018,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this grace period.</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11, 2019, the Company received another written notice from the Listing Qualifications department of NASDAQ notifying the Company that it had not regained compliance with the minimum bid price requirement and that the Company’s stockholders’ equity as reported in the Company’s Quarterly Report on Form 10-Q for the quarter ended October 31, 2018 does not qualify the Company for an additional 180 calendar day extension period for compliance. On February 19, 2019, the Company submitted a letter to appeal the determination to a Hearings Panel (the “Panel”), pursuant to the procedures set forth in the NASDAQ Listing Rule 5800 Series. Such hearing request will stay the suspension of the Company’s securities pending the Panel’s decision, during which time the Company’s common stock will continue to be listed on NASDAQ, and the Company’s common stock will continue to trade under the symbol “OPTT”. The Company’s receipt of the notice does not affect the Company’s business, operations or reporting requirements with the SEC.</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special meeting of stockholders of Ocean Power Technologies, Inc. on March 8, 2019, our stockholders approved a proposal to amend our Certificate of Incorporation to effect a reverse split of our common stock, par value $0.001 (“common stock”), at a ratio to be determined by the Company’s Board of Directors within a specific range and a reduction in the authorized number of shares of our common stock. After the special meeting of stockholders, the Company’s Board of Directors convened and decided to initiate the reverse split, chose a ratio, and direct the Company’s management to take the necessary steps to effectuate the reverse split as soon as possible. The Company plans to file a Certificate of Amendment to our Certificate of Incorporation to affect a one-for-twenty reverse stock split of our common stock (the “Reverse Stock Split”). As of the effective date of the Reverse Stock Split, every twenty shares of issued and outstanding common stock will be combined into one issued and outstanding share of common stock, without any change in the par value per share. Any fractional shares in connection with the Reverse Stock Split will be rounded up to the nearest whole share and no cash payments will be made by the Company to stockholders in lieu of fractional shares.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January 31, 2019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2019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January 31, 2019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were identified as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alleged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July 10, 2015, a second derivative lawsuit, captioned </w:t>
      </w:r>
      <w:r>
        <w:rPr>
          <w:rFonts w:ascii="Arial" w:cs="Arial" w:eastAsia="Arial" w:hAnsi="Arial"/>
          <w:sz w:val="18"/>
          <w:szCs w:val="18"/>
          <w:i w:val="1"/>
          <w:iCs w:val="1"/>
          <w:color w:val="auto"/>
        </w:rPr>
        <w:t>Rywolt v. Dunleavy, et al.,</w:t>
      </w:r>
      <w:r>
        <w:rPr>
          <w:rFonts w:ascii="Arial" w:cs="Arial" w:eastAsia="Arial" w:hAnsi="Arial"/>
          <w:sz w:val="18"/>
          <w:szCs w:val="18"/>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8"/>
          <w:szCs w:val="18"/>
          <w:i w:val="1"/>
          <w:iCs w:val="1"/>
          <w:color w:val="auto"/>
        </w:rPr>
        <w:t>Rywolt</w:t>
      </w:r>
      <w:r>
        <w:rPr>
          <w:rFonts w:ascii="Arial" w:cs="Arial" w:eastAsia="Arial" w:hAnsi="Arial"/>
          <w:sz w:val="18"/>
          <w:szCs w:val="18"/>
          <w:color w:val="auto"/>
        </w:rPr>
        <w:t xml:space="preserve"> complaint also sought unspecified monetary damages and other relief.</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21, 2016, a third derivative lawsuit, captioned </w:t>
      </w:r>
      <w:r>
        <w:rPr>
          <w:rFonts w:ascii="Arial" w:cs="Arial" w:eastAsia="Arial" w:hAnsi="Arial"/>
          <w:sz w:val="18"/>
          <w:szCs w:val="18"/>
          <w:i w:val="1"/>
          <w:iCs w:val="1"/>
          <w:color w:val="auto"/>
        </w:rPr>
        <w:t>LaCalamito v. Dunleavy, et al.,</w:t>
      </w:r>
      <w:r>
        <w:rPr>
          <w:rFonts w:ascii="Arial" w:cs="Arial" w:eastAsia="Arial" w:hAnsi="Arial"/>
          <w:sz w:val="18"/>
          <w:szCs w:val="18"/>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8"/>
          <w:szCs w:val="18"/>
          <w:i w:val="1"/>
          <w:iCs w:val="1"/>
          <w:color w:val="auto"/>
        </w:rPr>
        <w:t>LaCalamito</w:t>
      </w:r>
      <w:r>
        <w:rPr>
          <w:rFonts w:ascii="Arial" w:cs="Arial" w:eastAsia="Arial" w:hAnsi="Arial"/>
          <w:sz w:val="18"/>
          <w:szCs w:val="18"/>
          <w:color w:val="auto"/>
        </w:rPr>
        <w:t xml:space="preserve"> complaint sought unspecified monetary damages and other relief.</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June 9, 2016, a fourth derivative lawsuit, captioned </w:t>
      </w:r>
      <w:r>
        <w:rPr>
          <w:rFonts w:ascii="Arial" w:cs="Arial" w:eastAsia="Arial" w:hAnsi="Arial"/>
          <w:sz w:val="18"/>
          <w:szCs w:val="18"/>
          <w:i w:val="1"/>
          <w:iCs w:val="1"/>
          <w:color w:val="auto"/>
        </w:rPr>
        <w:t>Pucillo v. Dunleavy, et al.,</w:t>
      </w:r>
      <w:r>
        <w:rPr>
          <w:rFonts w:ascii="Arial" w:cs="Arial" w:eastAsia="Arial" w:hAnsi="Arial"/>
          <w:sz w:val="18"/>
          <w:szCs w:val="18"/>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complaint sought unspecified monetary damages and other relief.</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October 25, 2016, the Court approved and entered a Stipulation and Order that, among other things, (i) consolidated the </w:t>
      </w:r>
      <w:r>
        <w:rPr>
          <w:rFonts w:ascii="Arial" w:cs="Arial" w:eastAsia="Arial" w:hAnsi="Arial"/>
          <w:sz w:val="17"/>
          <w:szCs w:val="17"/>
          <w:i w:val="1"/>
          <w:iCs w:val="1"/>
          <w:color w:val="auto"/>
        </w:rPr>
        <w:t>Labare, Rywolt, LaCamito</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derivative actions; (ii) identified plaintiff</w:t>
      </w:r>
      <w:r>
        <w:rPr>
          <w:rFonts w:ascii="Arial" w:cs="Arial" w:eastAsia="Arial" w:hAnsi="Arial"/>
          <w:sz w:val="17"/>
          <w:szCs w:val="17"/>
          <w:i w:val="1"/>
          <w:iCs w:val="1"/>
          <w:color w:val="auto"/>
        </w:rPr>
        <w:t xml:space="preserve"> Pucillo </w:t>
      </w:r>
      <w:r>
        <w:rPr>
          <w:rFonts w:ascii="Arial" w:cs="Arial" w:eastAsia="Arial" w:hAnsi="Arial"/>
          <w:sz w:val="17"/>
          <w:szCs w:val="17"/>
          <w:color w:val="auto"/>
        </w:rPr>
        <w:t>as the lead plaintiff in the consolidated actions; and (iii) stayed the consolidated actions pending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14, 2016 settlement hearing in the now-settled securities class action and further order of the Court.</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23, 2017, the parties entered into a Stipulation and Agreement of Settlement to resolve the four consolidated derivative lawsuits. The settlement provided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On May 14, 2018, the Court held a final settlement approval hearing at which the Court stated that it was approving the settlement. On June 13, 2018, the Court issued a Final Order and Judgement, approving the Stipulation and Agreement Settlement. The Company had accrued $350,000 related to this matter as a probable and reasonably estimable loss contingency during the twelve months ended April 30, 2018. The Company also had recorded a receivable of $350,000 from its insurance carrier with the offset to the statement of operations. The Company’s insurance carrier made payment of $350,000 to the plaintiffs’ attorneys on May 3, 2018. As a result, the consolidated derivatives lawsuits are now completely resolved, the releases are operative, and the matter is closed.</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August 28, 2018, counsel for Mr. Dunleavy filed a demand for arbitration, captioned </w:t>
      </w:r>
      <w:r>
        <w:rPr>
          <w:rFonts w:ascii="Arial" w:cs="Arial" w:eastAsia="Arial" w:hAnsi="Arial"/>
          <w:sz w:val="16"/>
          <w:szCs w:val="16"/>
          <w:i w:val="1"/>
          <w:iCs w:val="1"/>
          <w:color w:val="auto"/>
        </w:rPr>
        <w:t>Charles F. Dunleavy v. Ocean Power Technologies, Inc.,</w:t>
      </w:r>
      <w:r>
        <w:rPr>
          <w:rFonts w:ascii="Arial" w:cs="Arial" w:eastAsia="Arial" w:hAnsi="Arial"/>
          <w:sz w:val="16"/>
          <w:szCs w:val="16"/>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The parties have completed the process of selecting a 3-person arbitration panel, but the panel has not yet scheduled an initial status conference and the parties have not yet scheduled or commenced any discovery. As of January 31, 2019, the Company has not accrued any provision related to this matter since it cannot reasonably estimate the loss contingency.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 Runner Marine, Inc.</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June 13, 2018, Tide Runner Marine, Inc. (“Tide Runner”) filed a lawsuit in the United States District Court for the District of New Jersey captioned </w:t>
      </w:r>
      <w:r>
        <w:rPr>
          <w:rFonts w:ascii="Arial" w:cs="Arial" w:eastAsia="Arial" w:hAnsi="Arial"/>
          <w:sz w:val="17"/>
          <w:szCs w:val="17"/>
          <w:i w:val="1"/>
          <w:iCs w:val="1"/>
          <w:color w:val="auto"/>
        </w:rPr>
        <w:t>Tide</w:t>
      </w:r>
      <w:r>
        <w:rPr>
          <w:rFonts w:ascii="Arial" w:cs="Arial" w:eastAsia="Arial" w:hAnsi="Arial"/>
          <w:sz w:val="17"/>
          <w:szCs w:val="17"/>
          <w:color w:val="auto"/>
        </w:rPr>
        <w:t xml:space="preserve"> </w:t>
      </w:r>
      <w:r>
        <w:rPr>
          <w:rFonts w:ascii="Arial" w:cs="Arial" w:eastAsia="Arial" w:hAnsi="Arial"/>
          <w:sz w:val="17"/>
          <w:szCs w:val="17"/>
          <w:i w:val="1"/>
          <w:iCs w:val="1"/>
          <w:color w:val="auto"/>
        </w:rPr>
        <w:t>Runner Marine, Inc. v. Ocean Power Technologies, Inc.</w:t>
      </w:r>
      <w:r>
        <w:rPr>
          <w:rFonts w:ascii="Arial" w:cs="Arial" w:eastAsia="Arial" w:hAnsi="Arial"/>
          <w:sz w:val="17"/>
          <w:szCs w:val="17"/>
          <w:color w:val="auto"/>
        </w:rPr>
        <w:t>, Case No. 1:18-cv-10496. The complaint names the Company as defendant and alleges claims for</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During the initial scheduling conference held on September 13, 2018, the parties agreed to engage in mediation in an effort to resolve this matter and also agreed to include Tide Runner’s subcontractor, Wittich Bros. Marine Inc. (“Wittich”) in the mediation process. The parties participated in mediation on November 15, 2018 but were unable to reach an agreement. However, the parties agreed to continue the mediation process and on February 11, 2019 reached a settlement agreement. On February 22, 2019, the parties executed a Settlement Agreement and Release (“Settlement”). Under the Settlement, the Company will pay to Wittich (i) $50,000 within 10 days after the final execution of the Settlement and (ii) another $150,000 on or before May 1, 2019. Further, the parties will file a stipulation of dismissal of both Tide Runner’s complaint and the Company’s counterclaim with prejudice and without costs. Finally, the parties have provided mutual releases for the matters in dispute in the litigation and indemnify each other for future similar claims. As of January 31, 2019, the Company has recorded the settlement within Accrued liabilities in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years. The Company has estimated this penalty to be $177,000 which is recorded within Accrued liabilities in the Consolidated Balance Sheets.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2018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17,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$207.3 million as of January 31, 2019. As of January 31, 2019, the Company had approximately $2.7 million in cash, cash equivalents and restricted cash on hand. The Company generated revenues of $0.4 and $0.3 million during the nine months ended January 31, 2019 and 2018, respectively. Based on the Company’s cash, cash equivalents and restricted cash balances as of January 31, 2019, the Company believes that it will be able to finance its capital requirements and operations into the quarter ending April 30, 2019.</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experience operating losses and currently have only two revenue producing contracts, one with Premier Oil for the lease of a PB3 PowerBuoy® to be deployed in one of PMO’s offshore fields in the North Sea, and another contract with Eni that provides for a minimum 24-month contract that includes an 18-month PB3 PowerBuoy® lease and associated project management. During fiscal 2018, our net burn rate (cash used in operations less cash generated by operations) including product development spending was approximately $900,000 per month.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$14.5 million in fiscal 2019 including product development spending of more than $6.3 million. However, we may choose to reduce our operating expenses through personnel reductions, and reductions in our research and development and other operating costs during fiscal year 2019,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$9.7 million during the nine months ended January 31, 2019 and $10.2 million in fiscal 2018. As of January 31, 2019, we had an accumulated deficit of $207.3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Examples of this include our subsea battery solution and our hybrid PowerBuoy®.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7" w:name="page48"/>
    <w:bookmarkEnd w:id="47"/>
    <w:p>
      <w:pPr>
        <w:jc w:val="both"/>
        <w:spacing w:after="0" w:line="312" w:lineRule="auto"/>
        <w:rPr>
          <w:sz w:val="20"/>
          <w:szCs w:val="20"/>
          <w:color w:val="auto"/>
        </w:rPr>
      </w:pPr>
      <w:r>
        <w:rPr>
          <w:rFonts w:ascii="Arial" w:cs="Arial" w:eastAsia="Arial" w:hAnsi="Arial"/>
          <w:sz w:val="16"/>
          <w:szCs w:val="16"/>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4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budget overruns or delays in R&amp;D efforts;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at risk of being de-listed from The NASDAQ Stock Market if we do not regain compliance with the minimum $1 bid price per share required by NASDAQ rules.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9, 2018, we received a letter from The NASDAQ Stock Market informing us that the closing bid price of our common stock has been below $1.00 per share for a period of 30 consecutive trading days, and as a result, we are not in compliance with the minimum bid price requirement for continued listing. Under the NASDAQ Listing Rules), we have a grace period of 180 calendar days, or until February 5, 2019, in which to regain compliance with the minimum bid price rule. To regain compliance, the closing bid price of our common stock must meet or exceed $1.00 per share for a minimum of ten consecutive business days during this grace period. If we do not regain compliance before February 5, 2019, the NASDAQ stated that it will provide us with written notice that our securities are subject to delisting. At that time, we may appeal the NASDAQ’s determination to a NASDAQ Listing Qualifications Panel, which would stay any further delisting action by the NASDAQ pending a final decision by the panel. Alternatively, we may be eligible for an additional 180 calendar day grace period if we meet the continued listing standards, with the exception of bid price, for the NASDAQ Capital Market, and we state our intent to affect a reverse split, if necessary, to cure such deficiency.</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11, 2019, the Company received another written notice from the Listing Qualifications department of NASDAQ notifying the Company that it had not regained compliance with the minimum bid price requirement and that the Company’s stockholders’ equity as reported in the Company’s Quarterly Report on Form 10-Q for the quarter ended October 31, 2018 does not qualify the Company for an additional 180 calendar day extension period for compliance. On February 19, 2019 the Company submitted a letter to appeal the determination to a Hearings Panel (the “Panel”), pursuant to the procedures set forth in the NASDAQ Listing Rule 5800 Series. The appeal stayed the suspension of the Company’s securities pending the Panel’s decision, during which time the Company’s common stock will continue to be listed on NASDAQ, and the Company’s common stock will continue to trade under the symbol “OPTT”. The Company currently has an appeal scheduled before the Panel. We believe our one-for-twenty reverse split of our common stock, effective March 12, 2019, will enable the Company to regain compliance with NASDAQ minimum bid price requirement.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expect to receive a notification soon that the Company is not in compliance with the minimum stockholders’ equity requirement based on the information reported in the Company’s Quarterly Report on Form 10-Q for the quarter ended January 31, 2019, because of our failure to maintain stockholders’ equity of at least $2.5 million as of such date in accordance with the applicable NASDAQ Listing Rules. If we are unable to raise sufficient proceeds in this offering, we believe there is a risk we will not be able to meet this listing requirement on NASDAQ.</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through public offerings of our securities and to finance our operations could be adversely affected.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In consideration for entering into the agreement, the Company issued to Aspire Capital 428,571 shares of our common stock as a commitment fee. Any proceeds that the Company will receive under said common stock purchase agreement are expected be used for expanding our sales and marketing through new hires and target market experts, increasing product manufacturing capabilities, and building additional PowerBuoys® to meet potential market demand, and for other general corporate purposes. As of January 31, 2019, the Company has sold 800,000 shares of common stock with an aggregate market value of $301,000 at an average price of $0.38 per share pursuant to this common stock purchase agreement. This transaction was deemed exempt from registration under the Securities Act in reliance on Section 4(a)(2).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2"/>
              </w:rPr>
              <w:t>Total Number of</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4"/>
              </w:rPr>
              <w:t>Shares Purchased as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Total Number of Shares</w:t>
            </w:r>
          </w:p>
        </w:tc>
        <w:tc>
          <w:tcPr>
            <w:tcW w:w="2060" w:type="dxa"/>
            <w:vAlign w:val="bottom"/>
            <w:gridSpan w:val="3"/>
          </w:tcPr>
          <w:p>
            <w:pPr>
              <w:ind w:left="40"/>
              <w:spacing w:after="0"/>
              <w:rPr>
                <w:sz w:val="20"/>
                <w:szCs w:val="20"/>
                <w:color w:val="auto"/>
              </w:rPr>
            </w:pPr>
            <w:r>
              <w:rPr>
                <w:rFonts w:ascii="Arial" w:cs="Arial" w:eastAsia="Arial" w:hAnsi="Arial"/>
                <w:sz w:val="18"/>
                <w:szCs w:val="18"/>
                <w:color w:val="auto"/>
              </w:rPr>
              <w:t>Average Price Paid per</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93"/>
              </w:rPr>
              <w:t>Part of Publicly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May Yet Be Purchased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gridSpan w:val="2"/>
          </w:tcPr>
          <w:p>
            <w:pPr>
              <w:ind w:left="1360"/>
              <w:spacing w:after="0"/>
              <w:rPr>
                <w:sz w:val="20"/>
                <w:szCs w:val="20"/>
                <w:color w:val="auto"/>
              </w:rPr>
            </w:pPr>
            <w:r>
              <w:rPr>
                <w:rFonts w:ascii="Arial" w:cs="Arial" w:eastAsia="Arial" w:hAnsi="Arial"/>
                <w:sz w:val="18"/>
                <w:szCs w:val="18"/>
                <w:color w:val="auto"/>
              </w:rPr>
              <w:t>Period</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Purchased</w:t>
            </w:r>
          </w:p>
        </w:tc>
        <w:tc>
          <w:tcPr>
            <w:tcW w:w="1360" w:type="dxa"/>
            <w:vAlign w:val="bottom"/>
          </w:tcPr>
          <w:p>
            <w:pPr>
              <w:jc w:val="right"/>
              <w:ind w:right="219"/>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Announced Plans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Under 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 November 30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9"/>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December 1 - December 31</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tcPr>
          <w:p>
            <w:pPr>
              <w:jc w:val="right"/>
              <w:ind w:right="1199"/>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9"/>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5"/>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3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i w:val="1"/>
                <w:iCs w:val="1"/>
                <w:color w:val="auto"/>
              </w:rPr>
              <w:t>EXHIBIT INDEX</w:t>
            </w:r>
          </w:p>
        </w:tc>
      </w:tr>
      <w:tr>
        <w:trPr>
          <w:trHeight w:val="419"/>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6"/>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Sales Agreement between the Company and A.G.P./Alliance Global Partners (incorporated by reference to Exhibit 10.1 to Form 8-K filed with</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the SEC on January 7, 2019)</w:t>
              </w:r>
            </w:hyperlink>
          </w:p>
        </w:tc>
        <w:tc>
          <w:tcPr>
            <w:tcW w:w="82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Contract between U.S. Navy and the Company dated February 11, 2019.</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Certification of Chief Executive Officer pursuant to Section 302 of the Sarbanes-Oxley Act of 2002</w:t>
              </w:r>
            </w:hyperlink>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140" w:type="dxa"/>
            <w:vAlign w:val="bottom"/>
            <w:gridSpan w:val="2"/>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gridSpan w:val="8"/>
          </w:tcPr>
          <w:p>
            <w:pPr>
              <w:ind w:left="2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7">
              <w:r>
                <w:rPr>
                  <w:rFonts w:ascii="Arial" w:cs="Arial" w:eastAsia="Arial" w:hAnsi="Arial"/>
                  <w:sz w:val="18"/>
                  <w:szCs w:val="18"/>
                  <w:color w:val="0000EE"/>
                </w:rPr>
                <w:t>Certification of Chief Executive Officer pursuant to Section 302 of the Sarbanes-Oxley Act of 2002</w:t>
              </w:r>
            </w:hyperlink>
          </w:p>
        </w:tc>
      </w:tr>
      <w:tr>
        <w:trPr>
          <w:trHeight w:val="20"/>
        </w:trPr>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180" w:type="dxa"/>
            <w:vAlign w:val="bottom"/>
            <w:gridSpan w:val="4"/>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gridSpan w:val="8"/>
          </w:tcPr>
          <w:p>
            <w:pPr>
              <w:ind w:left="2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9">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100" w:hanging="1092"/>
        <w:spacing w:after="0" w:line="273"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financial information from Ocean Power Technologies, Inc.’s Quarterly Report on Form 10-Q for the quarter ended January 31, 2019, formatted in eXtensible Business Reporting Language (XBRL): (i) Consolidated Balance Sheets – January 31, 2019 (unaudited) and April 30, 2018, (ii) Consolidated Statements of Operations (unaudited) – three and nine months ended January 31, 2019 and 2018, (iii) Consolidated Statements of Comprehensive Loss (unaudited) – three and nine months ended January 31, 2019 and 2018, (iv) Consolidated Statements of Cash Flows (unaudited) – nine months ended January 31, 2019 and 2018, (v) Consolidated Statement of Stockholders’ Equity (unaudited) – nine months ended January 31, 2019 (vi) Notes to Consolidated Financial Statements.**</w:t>
      </w:r>
    </w:p>
    <w:p>
      <w:pPr>
        <w:spacing w:after="0" w:line="178"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ind w:left="1100" w:firstLine="2"/>
        <w:spacing w:after="0" w:line="308" w:lineRule="auto"/>
        <w:tabs>
          <w:tab w:leader="none" w:pos="14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filed with the Securities and Exchange Commission and this exhibit has been filed separately with the Securities and Exchange Commission in connection with such request.</w:t>
      </w:r>
    </w:p>
    <w:p>
      <w:pPr>
        <w:spacing w:after="0" w:line="147" w:lineRule="exact"/>
        <w:rPr>
          <w:sz w:val="20"/>
          <w:szCs w:val="20"/>
          <w:color w:val="auto"/>
        </w:rPr>
      </w:pPr>
    </w:p>
    <w:p>
      <w:pPr>
        <w:jc w:val="both"/>
        <w:ind w:left="1100" w:firstLine="2"/>
        <w:spacing w:after="0" w:line="264" w:lineRule="auto"/>
        <w:tabs>
          <w:tab w:leader="none" w:pos="12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both"/>
        <w:ind w:left="1100" w:firstLine="2"/>
        <w:spacing w:after="0" w:line="264" w:lineRule="auto"/>
        <w:tabs>
          <w:tab w:leader="none" w:pos="13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30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ind w:left="814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11, 2019</w:t>
      </w:r>
      <w:r>
        <w:rPr>
          <w:sz w:val="20"/>
          <w:szCs w:val="20"/>
          <w:color w:val="auto"/>
        </w:rPr>
        <w:tab/>
      </w:r>
      <w:r>
        <w:rPr>
          <w:rFonts w:ascii="Arial" w:cs="Arial" w:eastAsia="Arial" w:hAnsi="Arial"/>
          <w:sz w:val="17"/>
          <w:szCs w:val="17"/>
          <w:i w:val="1"/>
          <w:iCs w:val="1"/>
          <w:color w:val="auto"/>
        </w:rPr>
        <w:t>/s/ George H. Kirby III</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11, 2019</w:t>
      </w:r>
      <w:r>
        <w:rPr>
          <w:sz w:val="20"/>
          <w:szCs w:val="20"/>
          <w:color w:val="auto"/>
        </w:rPr>
        <w:tab/>
      </w:r>
      <w:r>
        <w:rPr>
          <w:rFonts w:ascii="Arial" w:cs="Arial" w:eastAsia="Arial" w:hAnsi="Arial"/>
          <w:sz w:val="16"/>
          <w:szCs w:val="16"/>
          <w:i w:val="1"/>
          <w:iCs w:val="1"/>
          <w:color w:val="auto"/>
        </w:rPr>
        <w:t>/s/ Matthew T. Shafer</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112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078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8078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8390255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79584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112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left="34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2019,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11, 2019</w:t>
      </w: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2019,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11, 2019</w:t>
      </w: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2"/>
    </w:lvl>
  </w:abstractNum>
  <w:abstractNum w:abstractNumId="5">
    <w:nsid w:val="431BD7B7"/>
    <w:multiLevelType w:val="hybridMultilevel"/>
    <w:lvl w:ilvl="0">
      <w:lvlJc w:val="left"/>
      <w:lvlText w:val="%1)"/>
      <w:numFmt w:val="lowerLetter"/>
      <w:start w:val="3"/>
    </w:lvl>
  </w:abstractNum>
  <w:abstractNum w:abstractNumId="6">
    <w:nsid w:val="3F2DBA31"/>
    <w:multiLevelType w:val="hybridMultilevel"/>
    <w:lvl w:ilvl="0">
      <w:lvlJc w:val="left"/>
      <w:lvlText w:val="(%1)"/>
      <w:numFmt w:val="lowerLetter"/>
      <w:start w:val="12"/>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lvl w:ilvl="1">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0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57" Type="http://schemas.openxmlformats.org/officeDocument/2006/relationships/hyperlink" Target="http://www.sec.gov/Archives/edgar/data/1378140/00014931521900024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2019-12-28T15:05:21Z</dcterms:created>
  <dcterms:modified xsi:type="dcterms:W3CDTF">2019-12-28T15:05:21Z</dcterms:modified>
</cp:coreProperties>
</file>